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keepNext w:val="0"/>
        <w:keepLines w:val="0"/>
        <w:pageBreakBefore w:val="0"/>
        <w:widowControl w:val="0"/>
        <w:tabs>
          <w:tab w:val="right" w:leader="dot" w:pos="9072"/>
        </w:tabs>
        <w:kinsoku/>
        <w:wordWrap/>
        <w:overflowPunct/>
        <w:topLinePunct w:val="0"/>
        <w:autoSpaceDE/>
        <w:autoSpaceDN/>
        <w:bidi w:val="0"/>
        <w:adjustRightInd/>
        <w:snapToGrid/>
        <w:spacing w:before="313" w:beforeLines="100" w:after="313" w:afterLines="100"/>
        <w:ind w:firstLine="0" w:firstLineChars="0"/>
        <w:jc w:val="center"/>
        <w:textAlignment w:val="auto"/>
        <w:rPr>
          <w:rFonts w:hint="default" w:ascii="Times New Roman" w:hAnsi="Times New Roman" w:cs="Times New Roman"/>
          <w:b/>
          <w:bCs/>
          <w:color w:val="auto"/>
          <w:sz w:val="36"/>
          <w:szCs w:val="36"/>
          <w:highlight w:val="none"/>
          <w:lang w:val="en-US" w:eastAsia="zh-CN"/>
        </w:rPr>
        <w:sectPr>
          <w:pgSz w:w="23811" w:h="16838" w:orient="landscape"/>
          <w:pgMar w:top="1304" w:right="1417" w:bottom="1304" w:left="1304" w:header="1020" w:footer="1020" w:gutter="0"/>
          <w:pgBorders w:offsetFrom="page">
            <w:top w:val="none" w:sz="0" w:space="0"/>
            <w:left w:val="none" w:sz="0" w:space="0"/>
            <w:bottom w:val="none" w:sz="0" w:space="0"/>
            <w:right w:val="none" w:sz="0" w:space="0"/>
          </w:pgBorders>
          <w:pgNumType w:fmt="upperRoman" w:start="1"/>
          <w:cols w:space="425" w:num="1"/>
          <w:docGrid w:type="lines" w:linePitch="312" w:charSpace="0"/>
        </w:sectPr>
      </w:pPr>
      <w:bookmarkStart w:id="0" w:name="_Toc311725524"/>
      <w:bookmarkStart w:id="1" w:name="_Toc29441"/>
      <w:bookmarkStart w:id="2" w:name="_Toc10588"/>
      <w:bookmarkStart w:id="3" w:name="_Toc9293"/>
      <w:r>
        <w:rPr>
          <w:color w:val="auto"/>
          <w:sz w:val="21"/>
        </w:rPr>
        <mc:AlternateContent>
          <mc:Choice Requires="wpg">
            <w:drawing>
              <wp:anchor distT="0" distB="0" distL="114300" distR="114300" simplePos="0" relativeHeight="251665408" behindDoc="0" locked="0" layoutInCell="1" allowOverlap="1">
                <wp:simplePos x="0" y="0"/>
                <wp:positionH relativeFrom="column">
                  <wp:posOffset>6167120</wp:posOffset>
                </wp:positionH>
                <wp:positionV relativeFrom="paragraph">
                  <wp:posOffset>-191135</wp:posOffset>
                </wp:positionV>
                <wp:extent cx="7070090" cy="8999855"/>
                <wp:effectExtent l="0" t="0" r="0" b="0"/>
                <wp:wrapNone/>
                <wp:docPr id="14" name="组合 14"/>
                <wp:cNvGraphicFramePr/>
                <a:graphic xmlns:a="http://schemas.openxmlformats.org/drawingml/2006/main">
                  <a:graphicData uri="http://schemas.microsoft.com/office/word/2010/wordprocessingGroup">
                    <wpg:wgp>
                      <wpg:cNvGrpSpPr/>
                      <wpg:grpSpPr>
                        <a:xfrm>
                          <a:off x="0" y="0"/>
                          <a:ext cx="7070090" cy="8999855"/>
                          <a:chOff x="11412" y="1399"/>
                          <a:chExt cx="11134" cy="14173"/>
                        </a:xfrm>
                      </wpg:grpSpPr>
                      <wps:wsp>
                        <wps:cNvPr id="326" name="文本框 326"/>
                        <wps:cNvSpPr txBox="1"/>
                        <wps:spPr>
                          <a:xfrm>
                            <a:off x="11485" y="1399"/>
                            <a:ext cx="1080" cy="7670"/>
                          </a:xfrm>
                          <a:prstGeom prst="rect">
                            <a:avLst/>
                          </a:prstGeom>
                          <a:noFill/>
                          <a:ln>
                            <a:noFill/>
                          </a:ln>
                          <a:effectLst/>
                        </wps:spPr>
                        <wps:txbx>
                          <w:txbxContent>
                            <w:p>
                              <w:pPr>
                                <w:ind w:firstLine="721" w:firstLineChars="300"/>
                                <w:jc w:val="both"/>
                                <w:rPr>
                                  <w:rFonts w:hint="eastAsia" w:ascii="宋体" w:hAnsi="宋体"/>
                                  <w:b/>
                                  <w:sz w:val="24"/>
                                  <w:szCs w:val="24"/>
                                </w:rPr>
                              </w:pPr>
                              <w:r>
                                <w:rPr>
                                  <w:rFonts w:hint="default" w:ascii="Times New Roman" w:hAnsi="Times New Roman" w:eastAsia="华文中宋" w:cs="Times New Roman"/>
                                  <w:b/>
                                  <w:sz w:val="24"/>
                                  <w:szCs w:val="24"/>
                                  <w:lang w:val="en-US" w:eastAsia="zh-CN"/>
                                </w:rPr>
                                <w:t>年产5万吨PET再生纤维生产线</w:t>
                              </w:r>
                              <w:r>
                                <w:rPr>
                                  <w:rFonts w:hint="eastAsia" w:ascii="华文中宋" w:hAnsi="华文中宋" w:eastAsia="华文中宋"/>
                                  <w:b/>
                                  <w:sz w:val="24"/>
                                  <w:szCs w:val="24"/>
                                  <w:lang w:val="en-US" w:eastAsia="zh-CN"/>
                                </w:rPr>
                                <w:t>项目</w:t>
                              </w:r>
                              <w:r>
                                <w:rPr>
                                  <w:rFonts w:hint="eastAsia" w:ascii="华文中宋" w:hAnsi="华文中宋" w:eastAsia="华文中宋"/>
                                  <w:b/>
                                  <w:sz w:val="24"/>
                                  <w:szCs w:val="24"/>
                                </w:rPr>
                                <w:t>（</w:t>
                              </w:r>
                              <w:r>
                                <w:rPr>
                                  <w:rFonts w:hint="eastAsia" w:ascii="华文中宋" w:hAnsi="华文中宋" w:eastAsia="华文中宋"/>
                                  <w:b/>
                                  <w:sz w:val="24"/>
                                  <w:szCs w:val="24"/>
                                  <w:lang w:val="en-US" w:eastAsia="zh-CN"/>
                                </w:rPr>
                                <w:t>报批本</w:t>
                              </w:r>
                              <w:r>
                                <w:rPr>
                                  <w:rFonts w:hint="eastAsia" w:ascii="华文中宋" w:hAnsi="华文中宋" w:eastAsia="华文中宋"/>
                                  <w:b/>
                                  <w:sz w:val="24"/>
                                  <w:szCs w:val="24"/>
                                </w:rPr>
                                <w:t>）</w:t>
                              </w:r>
                            </w:p>
                            <w:p>
                              <w:pPr>
                                <w:rPr>
                                  <w:rFonts w:hint="eastAsia"/>
                                  <w:sz w:val="24"/>
                                  <w:szCs w:val="24"/>
                                </w:rPr>
                              </w:pPr>
                            </w:p>
                          </w:txbxContent>
                        </wps:txbx>
                        <wps:bodyPr vert="eaVert" upright="1"/>
                      </wps:wsp>
                      <wps:wsp>
                        <wps:cNvPr id="325" name="文本框 325"/>
                        <wps:cNvSpPr txBox="1"/>
                        <wps:spPr>
                          <a:xfrm>
                            <a:off x="13571" y="2307"/>
                            <a:ext cx="8975" cy="1976"/>
                          </a:xfrm>
                          <a:prstGeom prst="rect">
                            <a:avLst/>
                          </a:prstGeom>
                          <a:noFill/>
                          <a:ln>
                            <a:noFill/>
                          </a:ln>
                          <a:effectLst/>
                        </wps:spPr>
                        <wps:txbx>
                          <w:txbxContent>
                            <w:p>
                              <w:pPr>
                                <w:jc w:val="center"/>
                                <w:rPr>
                                  <w:rFonts w:hint="default" w:ascii="Times New Roman" w:hAnsi="Times New Roman" w:eastAsia="华文中宋" w:cs="Times New Roman"/>
                                  <w:b/>
                                  <w:sz w:val="52"/>
                                  <w:szCs w:val="52"/>
                                  <w:lang w:val="en-US" w:eastAsia="zh-CN"/>
                                </w:rPr>
                              </w:pPr>
                              <w:r>
                                <w:rPr>
                                  <w:rFonts w:hint="default" w:ascii="Times New Roman" w:hAnsi="Times New Roman" w:eastAsia="华文中宋" w:cs="Times New Roman"/>
                                  <w:b/>
                                  <w:sz w:val="52"/>
                                  <w:szCs w:val="52"/>
                                  <w:lang w:val="en-US" w:eastAsia="zh-CN"/>
                                </w:rPr>
                                <w:t>福建闽宏纤维有限公司</w:t>
                              </w:r>
                            </w:p>
                            <w:p>
                              <w:pPr>
                                <w:jc w:val="center"/>
                                <w:rPr>
                                  <w:rFonts w:hint="default" w:ascii="Times New Roman" w:hAnsi="Times New Roman" w:cs="Times New Roman"/>
                                  <w:szCs w:val="52"/>
                                </w:rPr>
                              </w:pPr>
                              <w:r>
                                <w:rPr>
                                  <w:rFonts w:hint="default" w:ascii="Times New Roman" w:hAnsi="Times New Roman" w:eastAsia="华文中宋" w:cs="Times New Roman"/>
                                  <w:b/>
                                  <w:sz w:val="52"/>
                                  <w:szCs w:val="52"/>
                                  <w:lang w:val="en-US" w:eastAsia="zh-CN"/>
                                </w:rPr>
                                <w:t>年产5万吨PET再生纤维生产线项目</w:t>
                              </w:r>
                            </w:p>
                          </w:txbxContent>
                        </wps:txbx>
                        <wps:bodyPr upright="1"/>
                      </wps:wsp>
                      <wps:wsp>
                        <wps:cNvPr id="327" name="文本框 327"/>
                        <wps:cNvSpPr txBox="1"/>
                        <wps:spPr>
                          <a:xfrm>
                            <a:off x="11412" y="9343"/>
                            <a:ext cx="1080" cy="6229"/>
                          </a:xfrm>
                          <a:prstGeom prst="rect">
                            <a:avLst/>
                          </a:prstGeom>
                          <a:noFill/>
                          <a:ln>
                            <a:noFill/>
                          </a:ln>
                          <a:effectLst/>
                        </wps:spPr>
                        <wps:txbx>
                          <w:txbxContent>
                            <w:p>
                              <w:pPr>
                                <w:rPr>
                                  <w:rFonts w:hint="eastAsia" w:eastAsia="宋体"/>
                                  <w:b/>
                                  <w:sz w:val="24"/>
                                  <w:szCs w:val="24"/>
                                  <w:lang w:val="en-US" w:eastAsia="zh-CN"/>
                                </w:rPr>
                              </w:pPr>
                              <w:r>
                                <w:rPr>
                                  <w:b/>
                                  <w:sz w:val="24"/>
                                  <w:szCs w:val="24"/>
                                </w:rPr>
                                <w:t>福建省</w:t>
                              </w:r>
                              <w:r>
                                <w:rPr>
                                  <w:rFonts w:hint="eastAsia"/>
                                  <w:b/>
                                  <w:sz w:val="24"/>
                                  <w:szCs w:val="24"/>
                                  <w:lang w:eastAsia="zh-CN"/>
                                </w:rPr>
                                <w:t>闽创</w:t>
                              </w:r>
                              <w:r>
                                <w:rPr>
                                  <w:b/>
                                  <w:sz w:val="24"/>
                                  <w:szCs w:val="24"/>
                                </w:rPr>
                                <w:t>环保科技有限公司</w:t>
                              </w:r>
                              <w:r>
                                <w:rPr>
                                  <w:rFonts w:hint="eastAsia"/>
                                  <w:b/>
                                  <w:sz w:val="24"/>
                                  <w:szCs w:val="24"/>
                                </w:rPr>
                                <w:t xml:space="preserve">  20</w:t>
                              </w:r>
                              <w:r>
                                <w:rPr>
                                  <w:b/>
                                  <w:sz w:val="24"/>
                                  <w:szCs w:val="24"/>
                                </w:rPr>
                                <w:t>2</w:t>
                              </w:r>
                              <w:r>
                                <w:rPr>
                                  <w:rFonts w:hint="eastAsia"/>
                                  <w:b/>
                                  <w:sz w:val="24"/>
                                  <w:szCs w:val="24"/>
                                  <w:lang w:val="en-US" w:eastAsia="zh-CN"/>
                                </w:rPr>
                                <w:t>2</w:t>
                              </w:r>
                              <w:r>
                                <w:rPr>
                                  <w:rFonts w:hint="eastAsia"/>
                                  <w:b/>
                                  <w:sz w:val="24"/>
                                  <w:szCs w:val="24"/>
                                </w:rPr>
                                <w:t>年</w:t>
                              </w:r>
                              <w:r>
                                <w:rPr>
                                  <w:rFonts w:hint="eastAsia"/>
                                  <w:b/>
                                  <w:sz w:val="24"/>
                                  <w:szCs w:val="24"/>
                                  <w:lang w:val="en-US" w:eastAsia="zh-CN"/>
                                </w:rPr>
                                <w:t>元月</w:t>
                              </w:r>
                            </w:p>
                          </w:txbxContent>
                        </wps:txbx>
                        <wps:bodyPr vert="eaVert" upright="1"/>
                      </wps:wsp>
                      <wps:wsp>
                        <wps:cNvPr id="330" name="文本框 330"/>
                        <wps:cNvSpPr txBox="1"/>
                        <wps:spPr>
                          <a:xfrm>
                            <a:off x="14268" y="4202"/>
                            <a:ext cx="8115" cy="8184"/>
                          </a:xfrm>
                          <a:prstGeom prst="rect">
                            <a:avLst/>
                          </a:prstGeom>
                          <a:noFill/>
                          <a:ln>
                            <a:noFill/>
                          </a:ln>
                          <a:effectLst/>
                        </wps:spPr>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华文中宋" w:hAnsi="华文中宋" w:eastAsia="华文中宋"/>
                                  <w:sz w:val="84"/>
                                  <w:szCs w:val="84"/>
                                </w:rPr>
                              </w:pPr>
                              <w:r>
                                <w:rPr>
                                  <w:rFonts w:hint="eastAsia" w:ascii="华文中宋" w:hAnsi="华文中宋" w:eastAsia="华文中宋"/>
                                  <w:sz w:val="84"/>
                                  <w:szCs w:val="84"/>
                                </w:rPr>
                                <w:t>环境影响报告书</w:t>
                              </w:r>
                            </w:p>
                            <w:p>
                              <w:pPr>
                                <w:ind w:firstLine="2640" w:firstLineChars="600"/>
                                <w:jc w:val="both"/>
                                <w:rPr>
                                  <w:rFonts w:hint="eastAsia" w:ascii="华文中宋" w:hAnsi="华文中宋" w:eastAsia="华文中宋"/>
                                  <w:sz w:val="44"/>
                                  <w:szCs w:val="44"/>
                                </w:rPr>
                              </w:pPr>
                              <w:r>
                                <w:rPr>
                                  <w:rFonts w:hint="eastAsia" w:ascii="华文中宋" w:hAnsi="华文中宋" w:eastAsia="华文中宋"/>
                                  <w:sz w:val="44"/>
                                  <w:szCs w:val="44"/>
                                </w:rPr>
                                <w:t>（</w:t>
                              </w:r>
                              <w:r>
                                <w:rPr>
                                  <w:rFonts w:hint="eastAsia" w:ascii="华文中宋" w:hAnsi="华文中宋" w:eastAsia="华文中宋"/>
                                  <w:sz w:val="44"/>
                                  <w:szCs w:val="44"/>
                                  <w:lang w:val="en-US" w:eastAsia="zh-CN"/>
                                </w:rPr>
                                <w:t>报批本</w:t>
                              </w:r>
                              <w:r>
                                <w:rPr>
                                  <w:rFonts w:hint="eastAsia" w:ascii="华文中宋" w:hAnsi="华文中宋" w:eastAsia="华文中宋"/>
                                  <w:sz w:val="44"/>
                                  <w:szCs w:val="44"/>
                                </w:rPr>
                                <w:t>）</w:t>
                              </w:r>
                            </w:p>
                            <w:p>
                              <w:pPr>
                                <w:pStyle w:val="2"/>
                                <w:numPr>
                                  <w:ilvl w:val="0"/>
                                  <w:numId w:val="0"/>
                                </w:numPr>
                                <w:tabs>
                                  <w:tab w:val="left" w:pos="1960"/>
                                </w:tabs>
                                <w:rPr>
                                  <w:rFonts w:hint="eastAsia"/>
                                </w:rPr>
                              </w:pPr>
                            </w:p>
                            <w:p>
                              <w:pPr>
                                <w:pStyle w:val="2"/>
                                <w:numPr>
                                  <w:ilvl w:val="0"/>
                                  <w:numId w:val="0"/>
                                </w:numPr>
                                <w:tabs>
                                  <w:tab w:val="left" w:pos="1960"/>
                                </w:tabs>
                                <w:jc w:val="center"/>
                                <w:rPr>
                                  <w:rFonts w:hint="eastAsia"/>
                                </w:rPr>
                              </w:pPr>
                            </w:p>
                          </w:txbxContent>
                        </wps:txbx>
                        <wps:bodyPr upright="1"/>
                      </wps:wsp>
                      <wps:wsp>
                        <wps:cNvPr id="329" name="文本框 329"/>
                        <wps:cNvSpPr txBox="1"/>
                        <wps:spPr>
                          <a:xfrm>
                            <a:off x="14034" y="13397"/>
                            <a:ext cx="8100" cy="2081"/>
                          </a:xfrm>
                          <a:prstGeom prst="rect">
                            <a:avLst/>
                          </a:prstGeom>
                          <a:noFill/>
                          <a:ln>
                            <a:noFill/>
                          </a:ln>
                          <a:effectLst/>
                        </wps:spPr>
                        <wps:txbx>
                          <w:txbxContent>
                            <w:p>
                              <w:pPr>
                                <w:jc w:val="center"/>
                                <w:rPr>
                                  <w:rFonts w:hint="eastAsia" w:ascii="华文中宋" w:hAnsi="华文中宋" w:eastAsia="华文中宋"/>
                                  <w:b/>
                                  <w:sz w:val="32"/>
                                  <w:szCs w:val="32"/>
                                  <w:lang w:eastAsia="zh-CN"/>
                                </w:rPr>
                              </w:pPr>
                              <w:r>
                                <w:rPr>
                                  <w:rFonts w:hint="eastAsia" w:ascii="华文中宋" w:hAnsi="华文中宋" w:eastAsia="华文中宋"/>
                                  <w:b/>
                                  <w:sz w:val="32"/>
                                  <w:szCs w:val="32"/>
                                  <w:lang w:eastAsia="zh-CN"/>
                                </w:rPr>
                                <w:t>建设单位：</w:t>
                              </w:r>
                              <w:r>
                                <w:rPr>
                                  <w:rFonts w:hint="default" w:ascii="华文中宋" w:hAnsi="华文中宋" w:eastAsia="华文中宋" w:cs="Times New Roman"/>
                                  <w:b/>
                                  <w:sz w:val="32"/>
                                  <w:szCs w:val="32"/>
                                  <w:lang w:val="en-US" w:eastAsia="zh-CN"/>
                                </w:rPr>
                                <w:t>福建闽宏纤维有限公</w:t>
                              </w:r>
                              <w:r>
                                <w:rPr>
                                  <w:rFonts w:hint="default" w:ascii="华文中宋" w:hAnsi="华文中宋" w:eastAsia="华文中宋" w:cs="Times New Roman"/>
                                  <w:b/>
                                  <w:sz w:val="32"/>
                                  <w:szCs w:val="32"/>
                                  <w:lang w:eastAsia="zh-CN"/>
                                </w:rPr>
                                <w:t>司</w:t>
                              </w:r>
                            </w:p>
                            <w:p>
                              <w:pPr>
                                <w:jc w:val="center"/>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环评单位：福建省闽创环保科技有限公司</w:t>
                              </w:r>
                            </w:p>
                            <w:p>
                              <w:pPr>
                                <w:jc w:val="center"/>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二〇二</w:t>
                              </w:r>
                              <w:r>
                                <w:rPr>
                                  <w:rFonts w:hint="eastAsia" w:ascii="华文中宋" w:hAnsi="华文中宋" w:eastAsia="华文中宋" w:cs="Times New Roman"/>
                                  <w:b/>
                                  <w:sz w:val="32"/>
                                  <w:szCs w:val="32"/>
                                  <w:lang w:val="en-US" w:eastAsia="zh-CN"/>
                                </w:rPr>
                                <w:t>二</w:t>
                              </w:r>
                              <w:r>
                                <w:rPr>
                                  <w:rFonts w:hint="eastAsia" w:ascii="华文中宋" w:hAnsi="华文中宋" w:eastAsia="华文中宋" w:cs="Times New Roman"/>
                                  <w:b/>
                                  <w:sz w:val="32"/>
                                  <w:szCs w:val="32"/>
                                  <w:lang w:eastAsia="zh-CN"/>
                                </w:rPr>
                                <w:t>年</w:t>
                              </w:r>
                              <w:r>
                                <w:rPr>
                                  <w:rFonts w:hint="eastAsia" w:ascii="华文中宋" w:hAnsi="华文中宋" w:eastAsia="华文中宋" w:cs="Times New Roman"/>
                                  <w:b/>
                                  <w:sz w:val="32"/>
                                  <w:szCs w:val="32"/>
                                  <w:lang w:val="en-US" w:eastAsia="zh-CN"/>
                                </w:rPr>
                                <w:t>元</w:t>
                              </w:r>
                              <w:r>
                                <w:rPr>
                                  <w:rFonts w:hint="eastAsia" w:ascii="华文中宋" w:hAnsi="华文中宋" w:eastAsia="华文中宋" w:cs="Times New Roman"/>
                                  <w:b/>
                                  <w:sz w:val="32"/>
                                  <w:szCs w:val="32"/>
                                  <w:lang w:eastAsia="zh-CN"/>
                                </w:rPr>
                                <w:t>月</w:t>
                              </w:r>
                            </w:p>
                          </w:txbxContent>
                        </wps:txbx>
                        <wps:bodyPr upright="1"/>
                      </wps:wsp>
                    </wpg:wgp>
                  </a:graphicData>
                </a:graphic>
              </wp:anchor>
            </w:drawing>
          </mc:Choice>
          <mc:Fallback>
            <w:pict>
              <v:group id="_x0000_s1026" o:spid="_x0000_s1026" o:spt="203" style="position:absolute;left:0pt;margin-left:485.6pt;margin-top:-15.05pt;height:708.65pt;width:556.7pt;z-index:251665408;mso-width-relative:page;mso-height-relative:page;" coordorigin="11412,1399" coordsize="11134,14173" o:gfxdata="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BtRix23QAAAA0BAAAPAAAAAAAAAAEAIAAAACIAAABkcnMvZG93bnJldi54bWxQSwEC&#10;FAAUAAAACACHTuJAKIRdwNMCAADFCgAADgAAAAAAAAABACAAAAAsAQAAZHJzL2Uyb0RvYy54bWxQ&#10;SwUGAAAAAAYABgBZAQAAcQYAAAAA&#10;">
                <o:lock v:ext="edit" aspectratio="f"/>
                <v:shape id="_x0000_s1026" o:spid="_x0000_s1026" o:spt="202" type="#_x0000_t202" style="position:absolute;left:11485;top:1399;height:7670;width:1080;" filled="f" stroked="f" coordsize="21600,21600" o:gfxdata="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CGU&#10;wAAAANwAAAAPAAAAAAAAAAEAIAAAACIAAABkcnMvZG93bnJldi54bWxQSwECFAAUAAAACACHTuJA&#10;My8FnjsAAAA5AAAAEAAAAAAAAAABACAAAAAPAQAAZHJzL3NoYXBleG1sLnhtbFBLBQYAAAAABgAG&#10;AFsBAAC5AwAAAAA=&#10;">
                  <v:fill on="f" focussize="0,0"/>
                  <v:stroke on="f"/>
                  <v:imagedata o:title=""/>
                  <o:lock v:ext="edit" aspectratio="f"/>
                  <v:textbox style="layout-flow:vertical-ideographic;">
                    <w:txbxContent>
                      <w:p>
                        <w:pPr>
                          <w:ind w:firstLine="721" w:firstLineChars="300"/>
                          <w:jc w:val="both"/>
                          <w:rPr>
                            <w:rFonts w:hint="eastAsia" w:ascii="宋体" w:hAnsi="宋体"/>
                            <w:b/>
                            <w:sz w:val="24"/>
                            <w:szCs w:val="24"/>
                          </w:rPr>
                        </w:pPr>
                        <w:r>
                          <w:rPr>
                            <w:rFonts w:hint="default" w:ascii="Times New Roman" w:hAnsi="Times New Roman" w:eastAsia="华文中宋" w:cs="Times New Roman"/>
                            <w:b/>
                            <w:sz w:val="24"/>
                            <w:szCs w:val="24"/>
                            <w:lang w:val="en-US" w:eastAsia="zh-CN"/>
                          </w:rPr>
                          <w:t>年产5万吨PET再生纤维生产线</w:t>
                        </w:r>
                        <w:r>
                          <w:rPr>
                            <w:rFonts w:hint="eastAsia" w:ascii="华文中宋" w:hAnsi="华文中宋" w:eastAsia="华文中宋"/>
                            <w:b/>
                            <w:sz w:val="24"/>
                            <w:szCs w:val="24"/>
                            <w:lang w:val="en-US" w:eastAsia="zh-CN"/>
                          </w:rPr>
                          <w:t>项目</w:t>
                        </w:r>
                        <w:r>
                          <w:rPr>
                            <w:rFonts w:hint="eastAsia" w:ascii="华文中宋" w:hAnsi="华文中宋" w:eastAsia="华文中宋"/>
                            <w:b/>
                            <w:sz w:val="24"/>
                            <w:szCs w:val="24"/>
                          </w:rPr>
                          <w:t>（</w:t>
                        </w:r>
                        <w:r>
                          <w:rPr>
                            <w:rFonts w:hint="eastAsia" w:ascii="华文中宋" w:hAnsi="华文中宋" w:eastAsia="华文中宋"/>
                            <w:b/>
                            <w:sz w:val="24"/>
                            <w:szCs w:val="24"/>
                            <w:lang w:val="en-US" w:eastAsia="zh-CN"/>
                          </w:rPr>
                          <w:t>报批本</w:t>
                        </w:r>
                        <w:r>
                          <w:rPr>
                            <w:rFonts w:hint="eastAsia" w:ascii="华文中宋" w:hAnsi="华文中宋" w:eastAsia="华文中宋"/>
                            <w:b/>
                            <w:sz w:val="24"/>
                            <w:szCs w:val="24"/>
                          </w:rPr>
                          <w:t>）</w:t>
                        </w:r>
                      </w:p>
                      <w:p>
                        <w:pPr>
                          <w:rPr>
                            <w:rFonts w:hint="eastAsia"/>
                            <w:sz w:val="24"/>
                            <w:szCs w:val="24"/>
                          </w:rPr>
                        </w:pPr>
                      </w:p>
                    </w:txbxContent>
                  </v:textbox>
                </v:shape>
                <v:shape id="_x0000_s1026" o:spid="_x0000_s1026" o:spt="202" type="#_x0000_t202" style="position:absolute;left:13571;top:2307;height:1976;width:8975;" filled="f" stroked="f" coordsize="21600,21600" o:gfxdata="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IiX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ascii="Times New Roman" w:hAnsi="Times New Roman" w:eastAsia="华文中宋" w:cs="Times New Roman"/>
                            <w:b/>
                            <w:sz w:val="52"/>
                            <w:szCs w:val="52"/>
                            <w:lang w:val="en-US" w:eastAsia="zh-CN"/>
                          </w:rPr>
                        </w:pPr>
                        <w:r>
                          <w:rPr>
                            <w:rFonts w:hint="default" w:ascii="Times New Roman" w:hAnsi="Times New Roman" w:eastAsia="华文中宋" w:cs="Times New Roman"/>
                            <w:b/>
                            <w:sz w:val="52"/>
                            <w:szCs w:val="52"/>
                            <w:lang w:val="en-US" w:eastAsia="zh-CN"/>
                          </w:rPr>
                          <w:t>福建闽宏纤维有限公司</w:t>
                        </w:r>
                      </w:p>
                      <w:p>
                        <w:pPr>
                          <w:jc w:val="center"/>
                          <w:rPr>
                            <w:rFonts w:hint="default" w:ascii="Times New Roman" w:hAnsi="Times New Roman" w:cs="Times New Roman"/>
                            <w:szCs w:val="52"/>
                          </w:rPr>
                        </w:pPr>
                        <w:r>
                          <w:rPr>
                            <w:rFonts w:hint="default" w:ascii="Times New Roman" w:hAnsi="Times New Roman" w:eastAsia="华文中宋" w:cs="Times New Roman"/>
                            <w:b/>
                            <w:sz w:val="52"/>
                            <w:szCs w:val="52"/>
                            <w:lang w:val="en-US" w:eastAsia="zh-CN"/>
                          </w:rPr>
                          <w:t>年产5万吨PET再生纤维生产线项目</w:t>
                        </w:r>
                      </w:p>
                    </w:txbxContent>
                  </v:textbox>
                </v:shape>
                <v:shape id="_x0000_s1026" o:spid="_x0000_s1026" o:spt="202" type="#_x0000_t202" style="position:absolute;left:11412;top:9343;height:6229;width:1080;" filled="f" stroked="f" coordsize="21600,21600" o:gfxdata="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WSE&#10;D8EAAADcAAAADwAAAAAAAAABACAAAAAiAAAAZHJzL2Rvd25yZXYueG1sUEsBAhQAFAAAAAgAh07i&#10;QDMvBZ47AAAAOQAAABAAAAAAAAAAAQAgAAAAEAEAAGRycy9zaGFwZXhtbC54bWxQSwUGAAAAAAYA&#10;BgBbAQAAugMAAAAA&#10;">
                  <v:fill on="f" focussize="0,0"/>
                  <v:stroke on="f"/>
                  <v:imagedata o:title=""/>
                  <o:lock v:ext="edit" aspectratio="f"/>
                  <v:textbox style="layout-flow:vertical-ideographic;">
                    <w:txbxContent>
                      <w:p>
                        <w:pPr>
                          <w:rPr>
                            <w:rFonts w:hint="eastAsia" w:eastAsia="宋体"/>
                            <w:b/>
                            <w:sz w:val="24"/>
                            <w:szCs w:val="24"/>
                            <w:lang w:val="en-US" w:eastAsia="zh-CN"/>
                          </w:rPr>
                        </w:pPr>
                        <w:r>
                          <w:rPr>
                            <w:b/>
                            <w:sz w:val="24"/>
                            <w:szCs w:val="24"/>
                          </w:rPr>
                          <w:t>福建省</w:t>
                        </w:r>
                        <w:r>
                          <w:rPr>
                            <w:rFonts w:hint="eastAsia"/>
                            <w:b/>
                            <w:sz w:val="24"/>
                            <w:szCs w:val="24"/>
                            <w:lang w:eastAsia="zh-CN"/>
                          </w:rPr>
                          <w:t>闽创</w:t>
                        </w:r>
                        <w:r>
                          <w:rPr>
                            <w:b/>
                            <w:sz w:val="24"/>
                            <w:szCs w:val="24"/>
                          </w:rPr>
                          <w:t>环保科技有限公司</w:t>
                        </w:r>
                        <w:r>
                          <w:rPr>
                            <w:rFonts w:hint="eastAsia"/>
                            <w:b/>
                            <w:sz w:val="24"/>
                            <w:szCs w:val="24"/>
                          </w:rPr>
                          <w:t xml:space="preserve">  20</w:t>
                        </w:r>
                        <w:r>
                          <w:rPr>
                            <w:b/>
                            <w:sz w:val="24"/>
                            <w:szCs w:val="24"/>
                          </w:rPr>
                          <w:t>2</w:t>
                        </w:r>
                        <w:r>
                          <w:rPr>
                            <w:rFonts w:hint="eastAsia"/>
                            <w:b/>
                            <w:sz w:val="24"/>
                            <w:szCs w:val="24"/>
                            <w:lang w:val="en-US" w:eastAsia="zh-CN"/>
                          </w:rPr>
                          <w:t>2</w:t>
                        </w:r>
                        <w:r>
                          <w:rPr>
                            <w:rFonts w:hint="eastAsia"/>
                            <w:b/>
                            <w:sz w:val="24"/>
                            <w:szCs w:val="24"/>
                          </w:rPr>
                          <w:t>年</w:t>
                        </w:r>
                        <w:r>
                          <w:rPr>
                            <w:rFonts w:hint="eastAsia"/>
                            <w:b/>
                            <w:sz w:val="24"/>
                            <w:szCs w:val="24"/>
                            <w:lang w:val="en-US" w:eastAsia="zh-CN"/>
                          </w:rPr>
                          <w:t>元月</w:t>
                        </w:r>
                      </w:p>
                    </w:txbxContent>
                  </v:textbox>
                </v:shape>
                <v:shape id="_x0000_s1026" o:spid="_x0000_s1026" o:spt="202" type="#_x0000_t202" style="position:absolute;left:14268;top:4202;height:8184;width:8115;" filled="f" stroked="f" coordsize="21600,21600" o:gfxdata="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prwx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华文中宋" w:hAnsi="华文中宋" w:eastAsia="华文中宋"/>
                            <w:sz w:val="84"/>
                            <w:szCs w:val="84"/>
                          </w:rPr>
                        </w:pPr>
                        <w:r>
                          <w:rPr>
                            <w:rFonts w:hint="eastAsia" w:ascii="华文中宋" w:hAnsi="华文中宋" w:eastAsia="华文中宋"/>
                            <w:sz w:val="84"/>
                            <w:szCs w:val="84"/>
                          </w:rPr>
                          <w:t>环境影响报告书</w:t>
                        </w:r>
                      </w:p>
                      <w:p>
                        <w:pPr>
                          <w:ind w:firstLine="2640" w:firstLineChars="600"/>
                          <w:jc w:val="both"/>
                          <w:rPr>
                            <w:rFonts w:hint="eastAsia" w:ascii="华文中宋" w:hAnsi="华文中宋" w:eastAsia="华文中宋"/>
                            <w:sz w:val="44"/>
                            <w:szCs w:val="44"/>
                          </w:rPr>
                        </w:pPr>
                        <w:r>
                          <w:rPr>
                            <w:rFonts w:hint="eastAsia" w:ascii="华文中宋" w:hAnsi="华文中宋" w:eastAsia="华文中宋"/>
                            <w:sz w:val="44"/>
                            <w:szCs w:val="44"/>
                          </w:rPr>
                          <w:t>（</w:t>
                        </w:r>
                        <w:r>
                          <w:rPr>
                            <w:rFonts w:hint="eastAsia" w:ascii="华文中宋" w:hAnsi="华文中宋" w:eastAsia="华文中宋"/>
                            <w:sz w:val="44"/>
                            <w:szCs w:val="44"/>
                            <w:lang w:val="en-US" w:eastAsia="zh-CN"/>
                          </w:rPr>
                          <w:t>报批本</w:t>
                        </w:r>
                        <w:r>
                          <w:rPr>
                            <w:rFonts w:hint="eastAsia" w:ascii="华文中宋" w:hAnsi="华文中宋" w:eastAsia="华文中宋"/>
                            <w:sz w:val="44"/>
                            <w:szCs w:val="44"/>
                          </w:rPr>
                          <w:t>）</w:t>
                        </w:r>
                      </w:p>
                      <w:p>
                        <w:pPr>
                          <w:pStyle w:val="2"/>
                          <w:numPr>
                            <w:ilvl w:val="0"/>
                            <w:numId w:val="0"/>
                          </w:numPr>
                          <w:tabs>
                            <w:tab w:val="left" w:pos="1960"/>
                          </w:tabs>
                          <w:rPr>
                            <w:rFonts w:hint="eastAsia"/>
                          </w:rPr>
                        </w:pPr>
                      </w:p>
                      <w:p>
                        <w:pPr>
                          <w:pStyle w:val="2"/>
                          <w:numPr>
                            <w:ilvl w:val="0"/>
                            <w:numId w:val="0"/>
                          </w:numPr>
                          <w:tabs>
                            <w:tab w:val="left" w:pos="1960"/>
                          </w:tabs>
                          <w:jc w:val="center"/>
                          <w:rPr>
                            <w:rFonts w:hint="eastAsia"/>
                          </w:rPr>
                        </w:pPr>
                      </w:p>
                    </w:txbxContent>
                  </v:textbox>
                </v:shape>
                <v:shape id="_x0000_s1026" o:spid="_x0000_s1026" o:spt="202" type="#_x0000_t202" style="position:absolute;left:14034;top:13397;height:2081;width:8100;" filled="f" stroked="f" coordsize="21600,21600" o:gfxdata="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WDc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eastAsia" w:ascii="华文中宋" w:hAnsi="华文中宋" w:eastAsia="华文中宋"/>
                            <w:b/>
                            <w:sz w:val="32"/>
                            <w:szCs w:val="32"/>
                            <w:lang w:eastAsia="zh-CN"/>
                          </w:rPr>
                        </w:pPr>
                        <w:r>
                          <w:rPr>
                            <w:rFonts w:hint="eastAsia" w:ascii="华文中宋" w:hAnsi="华文中宋" w:eastAsia="华文中宋"/>
                            <w:b/>
                            <w:sz w:val="32"/>
                            <w:szCs w:val="32"/>
                            <w:lang w:eastAsia="zh-CN"/>
                          </w:rPr>
                          <w:t>建设单位：</w:t>
                        </w:r>
                        <w:r>
                          <w:rPr>
                            <w:rFonts w:hint="default" w:ascii="华文中宋" w:hAnsi="华文中宋" w:eastAsia="华文中宋" w:cs="Times New Roman"/>
                            <w:b/>
                            <w:sz w:val="32"/>
                            <w:szCs w:val="32"/>
                            <w:lang w:val="en-US" w:eastAsia="zh-CN"/>
                          </w:rPr>
                          <w:t>福建闽宏纤维有限公</w:t>
                        </w:r>
                        <w:r>
                          <w:rPr>
                            <w:rFonts w:hint="default" w:ascii="华文中宋" w:hAnsi="华文中宋" w:eastAsia="华文中宋" w:cs="Times New Roman"/>
                            <w:b/>
                            <w:sz w:val="32"/>
                            <w:szCs w:val="32"/>
                            <w:lang w:eastAsia="zh-CN"/>
                          </w:rPr>
                          <w:t>司</w:t>
                        </w:r>
                      </w:p>
                      <w:p>
                        <w:pPr>
                          <w:jc w:val="center"/>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环评单位：福建省闽创环保科技有限公司</w:t>
                        </w:r>
                      </w:p>
                      <w:p>
                        <w:pPr>
                          <w:jc w:val="center"/>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二〇二</w:t>
                        </w:r>
                        <w:r>
                          <w:rPr>
                            <w:rFonts w:hint="eastAsia" w:ascii="华文中宋" w:hAnsi="华文中宋" w:eastAsia="华文中宋" w:cs="Times New Roman"/>
                            <w:b/>
                            <w:sz w:val="32"/>
                            <w:szCs w:val="32"/>
                            <w:lang w:val="en-US" w:eastAsia="zh-CN"/>
                          </w:rPr>
                          <w:t>二</w:t>
                        </w:r>
                        <w:r>
                          <w:rPr>
                            <w:rFonts w:hint="eastAsia" w:ascii="华文中宋" w:hAnsi="华文中宋" w:eastAsia="华文中宋" w:cs="Times New Roman"/>
                            <w:b/>
                            <w:sz w:val="32"/>
                            <w:szCs w:val="32"/>
                            <w:lang w:eastAsia="zh-CN"/>
                          </w:rPr>
                          <w:t>年</w:t>
                        </w:r>
                        <w:r>
                          <w:rPr>
                            <w:rFonts w:hint="eastAsia" w:ascii="华文中宋" w:hAnsi="华文中宋" w:eastAsia="华文中宋" w:cs="Times New Roman"/>
                            <w:b/>
                            <w:sz w:val="32"/>
                            <w:szCs w:val="32"/>
                            <w:lang w:val="en-US" w:eastAsia="zh-CN"/>
                          </w:rPr>
                          <w:t>元</w:t>
                        </w:r>
                        <w:r>
                          <w:rPr>
                            <w:rFonts w:hint="eastAsia" w:ascii="华文中宋" w:hAnsi="华文中宋" w:eastAsia="华文中宋" w:cs="Times New Roman"/>
                            <w:b/>
                            <w:sz w:val="32"/>
                            <w:szCs w:val="32"/>
                            <w:lang w:eastAsia="zh-CN"/>
                          </w:rPr>
                          <w:t>月</w:t>
                        </w:r>
                      </w:p>
                    </w:txbxContent>
                  </v:textbox>
                </v:shape>
              </v:group>
            </w:pict>
          </mc:Fallback>
        </mc:AlternateContent>
      </w:r>
    </w:p>
    <w:p>
      <w:pPr>
        <w:pStyle w:val="15"/>
        <w:keepNext w:val="0"/>
        <w:keepLines w:val="0"/>
        <w:pageBreakBefore w:val="0"/>
        <w:widowControl w:val="0"/>
        <w:tabs>
          <w:tab w:val="right" w:leader="dot" w:pos="9072"/>
        </w:tabs>
        <w:kinsoku/>
        <w:wordWrap/>
        <w:overflowPunct/>
        <w:topLinePunct w:val="0"/>
        <w:autoSpaceDE/>
        <w:autoSpaceDN/>
        <w:bidi w:val="0"/>
        <w:adjustRightInd/>
        <w:snapToGrid/>
        <w:spacing w:before="313" w:beforeLines="100" w:after="313" w:afterLines="100"/>
        <w:ind w:firstLine="0" w:firstLineChars="0"/>
        <w:jc w:val="center"/>
        <w:textAlignment w:val="auto"/>
        <w:rPr>
          <w:rFonts w:hint="default" w:ascii="Times New Roman" w:hAnsi="Times New Roman" w:cs="Times New Roman"/>
          <w:b/>
          <w:bCs/>
          <w:color w:val="auto"/>
          <w:sz w:val="36"/>
          <w:szCs w:val="36"/>
          <w:highlight w:val="none"/>
          <w:lang w:val="en-US" w:eastAsia="zh-CN"/>
        </w:rPr>
      </w:pPr>
      <w:r>
        <w:rPr>
          <w:rFonts w:hint="default" w:ascii="Times New Roman" w:hAnsi="Times New Roman" w:cs="Times New Roman"/>
          <w:b/>
          <w:bCs/>
          <w:color w:val="auto"/>
          <w:sz w:val="36"/>
          <w:szCs w:val="36"/>
          <w:highlight w:val="none"/>
          <w:lang w:val="en-US" w:eastAsia="zh-CN"/>
        </w:rPr>
        <w:t>目  录</w:t>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TOC \o "1-2" \h \u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_Toc15048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概  述</w:t>
      </w:r>
      <w:r>
        <w:rPr>
          <w:color w:val="auto"/>
        </w:rPr>
        <w:tab/>
      </w:r>
      <w:r>
        <w:rPr>
          <w:color w:val="auto"/>
        </w:rPr>
        <w:fldChar w:fldCharType="begin"/>
      </w:r>
      <w:r>
        <w:rPr>
          <w:color w:val="auto"/>
        </w:rPr>
        <w:instrText xml:space="preserve"> PAGEREF _Toc15048 \h </w:instrText>
      </w:r>
      <w:r>
        <w:rPr>
          <w:color w:val="auto"/>
        </w:rPr>
        <w:fldChar w:fldCharType="separate"/>
      </w:r>
      <w:r>
        <w:rPr>
          <w:color w:val="auto"/>
        </w:rPr>
        <w:t>I</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_Toc3888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1 项目特点</w:t>
      </w:r>
      <w:r>
        <w:rPr>
          <w:color w:val="auto"/>
        </w:rPr>
        <w:tab/>
      </w:r>
      <w:r>
        <w:rPr>
          <w:color w:val="auto"/>
        </w:rPr>
        <w:fldChar w:fldCharType="begin"/>
      </w:r>
      <w:r>
        <w:rPr>
          <w:color w:val="auto"/>
        </w:rPr>
        <w:instrText xml:space="preserve"> PAGEREF _Toc3888 \h </w:instrText>
      </w:r>
      <w:r>
        <w:rPr>
          <w:color w:val="auto"/>
        </w:rPr>
        <w:fldChar w:fldCharType="separate"/>
      </w:r>
      <w:r>
        <w:rPr>
          <w:color w:val="auto"/>
        </w:rPr>
        <w:t>I</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_Toc23791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2 环境影响评价的工作过程</w:t>
      </w:r>
      <w:r>
        <w:rPr>
          <w:color w:val="auto"/>
        </w:rPr>
        <w:tab/>
      </w:r>
      <w:r>
        <w:rPr>
          <w:color w:val="auto"/>
        </w:rPr>
        <w:fldChar w:fldCharType="begin"/>
      </w:r>
      <w:r>
        <w:rPr>
          <w:color w:val="auto"/>
        </w:rPr>
        <w:instrText xml:space="preserve"> PAGEREF _Toc23791 \h </w:instrText>
      </w:r>
      <w:r>
        <w:rPr>
          <w:color w:val="auto"/>
        </w:rPr>
        <w:fldChar w:fldCharType="separate"/>
      </w:r>
      <w:r>
        <w:rPr>
          <w:color w:val="auto"/>
        </w:rPr>
        <w:t>IV</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_Toc5309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3 分析判定相关情况</w:t>
      </w:r>
      <w:r>
        <w:rPr>
          <w:color w:val="auto"/>
        </w:rPr>
        <w:tab/>
      </w:r>
      <w:r>
        <w:rPr>
          <w:color w:val="auto"/>
        </w:rPr>
        <w:fldChar w:fldCharType="begin"/>
      </w:r>
      <w:r>
        <w:rPr>
          <w:color w:val="auto"/>
        </w:rPr>
        <w:instrText xml:space="preserve"> PAGEREF _Toc5309 \h </w:instrText>
      </w:r>
      <w:r>
        <w:rPr>
          <w:color w:val="auto"/>
        </w:rPr>
        <w:fldChar w:fldCharType="separate"/>
      </w:r>
      <w:r>
        <w:rPr>
          <w:color w:val="auto"/>
        </w:rPr>
        <w:t>V</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_Toc17512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4 关注的主要环境问题</w:t>
      </w:r>
      <w:r>
        <w:rPr>
          <w:color w:val="auto"/>
        </w:rPr>
        <w:tab/>
      </w:r>
      <w:r>
        <w:rPr>
          <w:color w:val="auto"/>
        </w:rPr>
        <w:fldChar w:fldCharType="begin"/>
      </w:r>
      <w:r>
        <w:rPr>
          <w:color w:val="auto"/>
        </w:rPr>
        <w:instrText xml:space="preserve"> PAGEREF _Toc17512 \h </w:instrText>
      </w:r>
      <w:r>
        <w:rPr>
          <w:color w:val="auto"/>
        </w:rPr>
        <w:fldChar w:fldCharType="separate"/>
      </w:r>
      <w:r>
        <w:rPr>
          <w:color w:val="auto"/>
        </w:rPr>
        <w:t>X</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_Toc16790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5 环境影响评价的主要结论</w:t>
      </w:r>
      <w:r>
        <w:rPr>
          <w:color w:val="auto"/>
        </w:rPr>
        <w:tab/>
      </w:r>
      <w:r>
        <w:rPr>
          <w:color w:val="auto"/>
        </w:rPr>
        <w:fldChar w:fldCharType="begin"/>
      </w:r>
      <w:r>
        <w:rPr>
          <w:color w:val="auto"/>
        </w:rPr>
        <w:instrText xml:space="preserve"> PAGEREF _Toc16790 \h </w:instrText>
      </w:r>
      <w:r>
        <w:rPr>
          <w:color w:val="auto"/>
        </w:rPr>
        <w:fldChar w:fldCharType="separate"/>
      </w:r>
      <w:r>
        <w:rPr>
          <w:color w:val="auto"/>
        </w:rPr>
        <w:t>XI</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_Toc18926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第1章 </w:t>
      </w:r>
      <w:r>
        <w:rPr>
          <w:rFonts w:hint="default" w:ascii="Times New Roman" w:hAnsi="Times New Roman" w:cs="Times New Roman"/>
          <w:color w:val="auto"/>
          <w:highlight w:val="none"/>
          <w:lang w:val="en-US" w:eastAsia="zh-CN"/>
        </w:rPr>
        <w:t>总  则</w:t>
      </w:r>
      <w:r>
        <w:rPr>
          <w:color w:val="auto"/>
        </w:rPr>
        <w:tab/>
      </w:r>
      <w:r>
        <w:rPr>
          <w:color w:val="auto"/>
        </w:rPr>
        <w:fldChar w:fldCharType="begin"/>
      </w:r>
      <w:r>
        <w:rPr>
          <w:color w:val="auto"/>
        </w:rPr>
        <w:instrText xml:space="preserve"> PAGEREF _Toc18926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_Toc12869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1.1 </w:t>
      </w:r>
      <w:r>
        <w:rPr>
          <w:rFonts w:hint="default" w:ascii="Times New Roman" w:hAnsi="Times New Roman" w:cs="Times New Roman"/>
          <w:color w:val="auto"/>
          <w:highlight w:val="none"/>
          <w:lang w:val="en-US" w:eastAsia="zh-CN"/>
        </w:rPr>
        <w:t>编制依据</w:t>
      </w:r>
      <w:r>
        <w:rPr>
          <w:color w:val="auto"/>
        </w:rPr>
        <w:tab/>
      </w:r>
      <w:r>
        <w:rPr>
          <w:color w:val="auto"/>
        </w:rPr>
        <w:fldChar w:fldCharType="begin"/>
      </w:r>
      <w:r>
        <w:rPr>
          <w:color w:val="auto"/>
        </w:rPr>
        <w:instrText xml:space="preserve"> PAGEREF _Toc12869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_Toc26092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1.2 </w:t>
      </w:r>
      <w:r>
        <w:rPr>
          <w:rFonts w:hint="default" w:ascii="Times New Roman" w:hAnsi="Times New Roman" w:cs="Times New Roman"/>
          <w:color w:val="auto"/>
          <w:highlight w:val="none"/>
          <w:lang w:val="en-US" w:eastAsia="zh-CN"/>
        </w:rPr>
        <w:t>评价目的与原则</w:t>
      </w:r>
      <w:r>
        <w:rPr>
          <w:color w:val="auto"/>
        </w:rPr>
        <w:tab/>
      </w:r>
      <w:r>
        <w:rPr>
          <w:color w:val="auto"/>
        </w:rPr>
        <w:fldChar w:fldCharType="begin"/>
      </w:r>
      <w:r>
        <w:rPr>
          <w:color w:val="auto"/>
        </w:rPr>
        <w:instrText xml:space="preserve"> PAGEREF _Toc26092 \h </w:instrText>
      </w:r>
      <w:r>
        <w:rPr>
          <w:color w:val="auto"/>
        </w:rPr>
        <w:fldChar w:fldCharType="separate"/>
      </w:r>
      <w:r>
        <w:rPr>
          <w:color w:val="auto"/>
        </w:rPr>
        <w:t>4</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_Toc14242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1.3 </w:t>
      </w:r>
      <w:r>
        <w:rPr>
          <w:rFonts w:hint="default" w:ascii="Times New Roman" w:hAnsi="Times New Roman" w:cs="Times New Roman"/>
          <w:color w:val="auto"/>
          <w:highlight w:val="none"/>
          <w:lang w:val="en-US" w:eastAsia="zh-CN"/>
        </w:rPr>
        <w:t>环境影响要素识别与评价因子筛选</w:t>
      </w:r>
      <w:r>
        <w:rPr>
          <w:color w:val="auto"/>
        </w:rPr>
        <w:tab/>
      </w:r>
      <w:r>
        <w:rPr>
          <w:color w:val="auto"/>
        </w:rPr>
        <w:fldChar w:fldCharType="begin"/>
      </w:r>
      <w:r>
        <w:rPr>
          <w:color w:val="auto"/>
        </w:rPr>
        <w:instrText xml:space="preserve"> PAGEREF _Toc14242 \h </w:instrText>
      </w:r>
      <w:r>
        <w:rPr>
          <w:color w:val="auto"/>
        </w:rPr>
        <w:fldChar w:fldCharType="separate"/>
      </w:r>
      <w:r>
        <w:rPr>
          <w:color w:val="auto"/>
        </w:rPr>
        <w:t>5</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_Toc9331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1.4 </w:t>
      </w:r>
      <w:r>
        <w:rPr>
          <w:rFonts w:hint="default" w:ascii="Times New Roman" w:hAnsi="Times New Roman" w:cs="Times New Roman"/>
          <w:color w:val="auto"/>
          <w:highlight w:val="none"/>
          <w:lang w:val="en-US" w:eastAsia="zh-CN"/>
        </w:rPr>
        <w:t>环境功能区划及评价标准</w:t>
      </w:r>
      <w:r>
        <w:rPr>
          <w:color w:val="auto"/>
        </w:rPr>
        <w:tab/>
      </w:r>
      <w:r>
        <w:rPr>
          <w:color w:val="auto"/>
        </w:rPr>
        <w:fldChar w:fldCharType="begin"/>
      </w:r>
      <w:r>
        <w:rPr>
          <w:color w:val="auto"/>
        </w:rPr>
        <w:instrText xml:space="preserve"> PAGEREF _Toc9331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_Toc83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1.5 </w:t>
      </w:r>
      <w:r>
        <w:rPr>
          <w:rFonts w:hint="default" w:ascii="Times New Roman" w:hAnsi="Times New Roman" w:cs="Times New Roman"/>
          <w:color w:val="auto"/>
          <w:highlight w:val="none"/>
          <w:lang w:val="en-US" w:eastAsia="zh-CN"/>
        </w:rPr>
        <w:t>评价工作等级及评价范围</w:t>
      </w:r>
      <w:r>
        <w:rPr>
          <w:color w:val="auto"/>
        </w:rPr>
        <w:tab/>
      </w:r>
      <w:r>
        <w:rPr>
          <w:color w:val="auto"/>
        </w:rPr>
        <w:fldChar w:fldCharType="begin"/>
      </w:r>
      <w:r>
        <w:rPr>
          <w:color w:val="auto"/>
        </w:rPr>
        <w:instrText xml:space="preserve"> PAGEREF _Toc83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_Toc27945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1.6 </w:t>
      </w:r>
      <w:r>
        <w:rPr>
          <w:rFonts w:hint="default" w:ascii="Times New Roman" w:hAnsi="Times New Roman" w:cs="Times New Roman"/>
          <w:color w:val="auto"/>
          <w:highlight w:val="none"/>
          <w:lang w:val="en-US" w:eastAsia="zh-CN"/>
        </w:rPr>
        <w:t>主要环境保护目标</w:t>
      </w:r>
      <w:r>
        <w:rPr>
          <w:color w:val="auto"/>
        </w:rPr>
        <w:tab/>
      </w:r>
      <w:r>
        <w:rPr>
          <w:color w:val="auto"/>
        </w:rPr>
        <w:fldChar w:fldCharType="begin"/>
      </w:r>
      <w:r>
        <w:rPr>
          <w:color w:val="auto"/>
        </w:rPr>
        <w:instrText xml:space="preserve"> PAGEREF _Toc27945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_Toc12021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第2章 </w:t>
      </w:r>
      <w:r>
        <w:rPr>
          <w:rFonts w:hint="default" w:ascii="Times New Roman" w:hAnsi="Times New Roman" w:cs="Times New Roman"/>
          <w:color w:val="auto"/>
          <w:highlight w:val="none"/>
          <w:lang w:val="en-US" w:eastAsia="zh-CN"/>
        </w:rPr>
        <w:t>现有工程回顾性分析</w:t>
      </w:r>
      <w:r>
        <w:rPr>
          <w:color w:val="auto"/>
        </w:rPr>
        <w:tab/>
      </w:r>
      <w:r>
        <w:rPr>
          <w:color w:val="auto"/>
        </w:rPr>
        <w:fldChar w:fldCharType="begin"/>
      </w:r>
      <w:r>
        <w:rPr>
          <w:color w:val="auto"/>
        </w:rPr>
        <w:instrText xml:space="preserve"> PAGEREF _Toc12021 \h </w:instrText>
      </w:r>
      <w:r>
        <w:rPr>
          <w:color w:val="auto"/>
        </w:rPr>
        <w:fldChar w:fldCharType="separate"/>
      </w:r>
      <w:r>
        <w:rPr>
          <w:color w:val="auto"/>
        </w:rPr>
        <w:t>28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_Toc29597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2.1 </w:t>
      </w:r>
      <w:r>
        <w:rPr>
          <w:rFonts w:hint="default" w:ascii="Times New Roman" w:hAnsi="Times New Roman" w:cs="Times New Roman"/>
          <w:color w:val="auto"/>
          <w:highlight w:val="none"/>
          <w:lang w:val="en-US" w:eastAsia="zh-CN"/>
        </w:rPr>
        <w:t>现有工程概况</w:t>
      </w:r>
      <w:r>
        <w:rPr>
          <w:color w:val="auto"/>
        </w:rPr>
        <w:tab/>
      </w:r>
      <w:r>
        <w:rPr>
          <w:color w:val="auto"/>
        </w:rPr>
        <w:fldChar w:fldCharType="begin"/>
      </w:r>
      <w:r>
        <w:rPr>
          <w:color w:val="auto"/>
        </w:rPr>
        <w:instrText xml:space="preserve"> PAGEREF _Toc29597 \h </w:instrText>
      </w:r>
      <w:r>
        <w:rPr>
          <w:color w:val="auto"/>
        </w:rPr>
        <w:fldChar w:fldCharType="separate"/>
      </w:r>
      <w:r>
        <w:rPr>
          <w:color w:val="auto"/>
        </w:rPr>
        <w:t>28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_Toc24241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2.2 </w:t>
      </w:r>
      <w:r>
        <w:rPr>
          <w:rFonts w:hint="default" w:ascii="Times New Roman" w:hAnsi="Times New Roman" w:cs="Times New Roman"/>
          <w:color w:val="auto"/>
          <w:highlight w:val="none"/>
          <w:lang w:val="en-US" w:eastAsia="zh-CN"/>
        </w:rPr>
        <w:t>现有工程产品方案及规模</w:t>
      </w:r>
      <w:r>
        <w:rPr>
          <w:color w:val="auto"/>
        </w:rPr>
        <w:tab/>
      </w:r>
      <w:r>
        <w:rPr>
          <w:color w:val="auto"/>
        </w:rPr>
        <w:fldChar w:fldCharType="begin"/>
      </w:r>
      <w:r>
        <w:rPr>
          <w:color w:val="auto"/>
        </w:rPr>
        <w:instrText xml:space="preserve"> PAGEREF _Toc24241 \h </w:instrText>
      </w:r>
      <w:r>
        <w:rPr>
          <w:color w:val="auto"/>
        </w:rPr>
        <w:fldChar w:fldCharType="separate"/>
      </w:r>
      <w:r>
        <w:rPr>
          <w:color w:val="auto"/>
        </w:rPr>
        <w:t>32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_Toc11456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2.3 </w:t>
      </w:r>
      <w:r>
        <w:rPr>
          <w:rFonts w:hint="default" w:ascii="Times New Roman" w:hAnsi="Times New Roman" w:cs="Times New Roman"/>
          <w:color w:val="auto"/>
          <w:highlight w:val="none"/>
          <w:lang w:val="en-US" w:eastAsia="zh-CN"/>
        </w:rPr>
        <w:t>现有工程主要原辅材料</w:t>
      </w:r>
      <w:r>
        <w:rPr>
          <w:rFonts w:hint="eastAsia" w:cs="Times New Roman"/>
          <w:color w:val="auto"/>
          <w:highlight w:val="none"/>
          <w:lang w:val="en-US" w:eastAsia="zh-CN"/>
        </w:rPr>
        <w:t>及能源消耗</w:t>
      </w:r>
      <w:r>
        <w:rPr>
          <w:color w:val="auto"/>
        </w:rPr>
        <w:tab/>
      </w:r>
      <w:r>
        <w:rPr>
          <w:color w:val="auto"/>
        </w:rPr>
        <w:fldChar w:fldCharType="begin"/>
      </w:r>
      <w:r>
        <w:rPr>
          <w:color w:val="auto"/>
        </w:rPr>
        <w:instrText xml:space="preserve"> PAGEREF _Toc11456 \h </w:instrText>
      </w:r>
      <w:r>
        <w:rPr>
          <w:color w:val="auto"/>
        </w:rPr>
        <w:fldChar w:fldCharType="separate"/>
      </w:r>
      <w:r>
        <w:rPr>
          <w:color w:val="auto"/>
        </w:rPr>
        <w:t>33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_Toc9567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2.4 </w:t>
      </w:r>
      <w:r>
        <w:rPr>
          <w:rFonts w:hint="default" w:ascii="Times New Roman" w:hAnsi="Times New Roman" w:cs="Times New Roman"/>
          <w:color w:val="auto"/>
          <w:highlight w:val="none"/>
          <w:lang w:val="en-US" w:eastAsia="zh-CN"/>
        </w:rPr>
        <w:t>现有工程厂区平面布置</w:t>
      </w:r>
      <w:r>
        <w:rPr>
          <w:color w:val="auto"/>
        </w:rPr>
        <w:tab/>
      </w:r>
      <w:r>
        <w:rPr>
          <w:color w:val="auto"/>
        </w:rPr>
        <w:fldChar w:fldCharType="begin"/>
      </w:r>
      <w:r>
        <w:rPr>
          <w:color w:val="auto"/>
        </w:rPr>
        <w:instrText xml:space="preserve"> PAGEREF _Toc9567 \h </w:instrText>
      </w:r>
      <w:r>
        <w:rPr>
          <w:color w:val="auto"/>
        </w:rPr>
        <w:fldChar w:fldCharType="separate"/>
      </w:r>
      <w:r>
        <w:rPr>
          <w:color w:val="auto"/>
        </w:rPr>
        <w:t>33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_Toc8464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2.5 </w:t>
      </w:r>
      <w:r>
        <w:rPr>
          <w:rFonts w:hint="default" w:ascii="Times New Roman" w:hAnsi="Times New Roman" w:cs="Times New Roman"/>
          <w:color w:val="auto"/>
          <w:highlight w:val="none"/>
          <w:lang w:val="en-US" w:eastAsia="zh-CN"/>
        </w:rPr>
        <w:t>现有工程生产工艺流程及产污环节</w:t>
      </w:r>
      <w:r>
        <w:rPr>
          <w:color w:val="auto"/>
        </w:rPr>
        <w:tab/>
      </w:r>
      <w:r>
        <w:rPr>
          <w:color w:val="auto"/>
        </w:rPr>
        <w:fldChar w:fldCharType="begin"/>
      </w:r>
      <w:r>
        <w:rPr>
          <w:color w:val="auto"/>
        </w:rPr>
        <w:instrText xml:space="preserve"> PAGEREF _Toc8464 \h </w:instrText>
      </w:r>
      <w:r>
        <w:rPr>
          <w:color w:val="auto"/>
        </w:rPr>
        <w:fldChar w:fldCharType="separate"/>
      </w:r>
      <w:r>
        <w:rPr>
          <w:color w:val="auto"/>
        </w:rPr>
        <w:t>37</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_Toc4990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2.6 </w:t>
      </w:r>
      <w:r>
        <w:rPr>
          <w:rFonts w:hint="default" w:ascii="Times New Roman" w:hAnsi="Times New Roman" w:cs="Times New Roman"/>
          <w:color w:val="auto"/>
          <w:highlight w:val="none"/>
          <w:lang w:val="en-US" w:eastAsia="zh-CN"/>
        </w:rPr>
        <w:t>现有工程公用工程</w:t>
      </w:r>
      <w:r>
        <w:rPr>
          <w:color w:val="auto"/>
        </w:rPr>
        <w:tab/>
      </w:r>
      <w:r>
        <w:rPr>
          <w:color w:val="auto"/>
        </w:rPr>
        <w:fldChar w:fldCharType="begin"/>
      </w:r>
      <w:r>
        <w:rPr>
          <w:color w:val="auto"/>
        </w:rPr>
        <w:instrText xml:space="preserve"> PAGEREF _Toc4990 \h </w:instrText>
      </w:r>
      <w:r>
        <w:rPr>
          <w:color w:val="auto"/>
        </w:rPr>
        <w:fldChar w:fldCharType="separate"/>
      </w:r>
      <w:r>
        <w:rPr>
          <w:color w:val="auto"/>
        </w:rPr>
        <w:t>42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_Toc2338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2.7 </w:t>
      </w:r>
      <w:r>
        <w:rPr>
          <w:rFonts w:hint="default" w:ascii="Times New Roman" w:hAnsi="Times New Roman" w:cs="Times New Roman"/>
          <w:color w:val="auto"/>
          <w:highlight w:val="none"/>
          <w:lang w:val="en-US" w:eastAsia="zh-CN"/>
        </w:rPr>
        <w:t>现有工程污染物排放情况及环保措施</w:t>
      </w:r>
      <w:r>
        <w:rPr>
          <w:color w:val="auto"/>
        </w:rPr>
        <w:tab/>
      </w:r>
      <w:r>
        <w:rPr>
          <w:color w:val="auto"/>
        </w:rPr>
        <w:fldChar w:fldCharType="begin"/>
      </w:r>
      <w:r>
        <w:rPr>
          <w:color w:val="auto"/>
        </w:rPr>
        <w:instrText xml:space="preserve"> PAGEREF _Toc2338 \h </w:instrText>
      </w:r>
      <w:r>
        <w:rPr>
          <w:color w:val="auto"/>
        </w:rPr>
        <w:fldChar w:fldCharType="separate"/>
      </w:r>
      <w:r>
        <w:rPr>
          <w:color w:val="auto"/>
        </w:rPr>
        <w:t>45</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_Toc20332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2.8 </w:t>
      </w:r>
      <w:r>
        <w:rPr>
          <w:rFonts w:hint="default" w:ascii="Times New Roman" w:hAnsi="Times New Roman" w:cs="Times New Roman"/>
          <w:color w:val="auto"/>
          <w:highlight w:val="none"/>
          <w:lang w:val="en-US" w:eastAsia="zh-CN"/>
        </w:rPr>
        <w:t>现有工程污染物排放统计</w:t>
      </w:r>
      <w:r>
        <w:rPr>
          <w:color w:val="auto"/>
        </w:rPr>
        <w:tab/>
      </w:r>
      <w:r>
        <w:rPr>
          <w:color w:val="auto"/>
        </w:rPr>
        <w:fldChar w:fldCharType="begin"/>
      </w:r>
      <w:r>
        <w:rPr>
          <w:color w:val="auto"/>
        </w:rPr>
        <w:instrText xml:space="preserve"> PAGEREF _Toc20332 \h </w:instrText>
      </w:r>
      <w:r>
        <w:rPr>
          <w:color w:val="auto"/>
        </w:rPr>
        <w:fldChar w:fldCharType="separate"/>
      </w:r>
      <w:r>
        <w:rPr>
          <w:color w:val="auto"/>
        </w:rPr>
        <w:t>63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_Toc12014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2.9 </w:t>
      </w:r>
      <w:r>
        <w:rPr>
          <w:rFonts w:hint="default" w:ascii="Times New Roman" w:hAnsi="Times New Roman" w:cs="Times New Roman"/>
          <w:color w:val="auto"/>
          <w:highlight w:val="none"/>
          <w:lang w:val="en-US" w:eastAsia="zh-CN"/>
        </w:rPr>
        <w:t>现有工程环保“三同时”制度落实情况</w:t>
      </w:r>
      <w:r>
        <w:rPr>
          <w:color w:val="auto"/>
        </w:rPr>
        <w:tab/>
      </w:r>
      <w:r>
        <w:rPr>
          <w:color w:val="auto"/>
        </w:rPr>
        <w:fldChar w:fldCharType="begin"/>
      </w:r>
      <w:r>
        <w:rPr>
          <w:color w:val="auto"/>
        </w:rPr>
        <w:instrText xml:space="preserve"> PAGEREF _Toc12014 \h </w:instrText>
      </w:r>
      <w:r>
        <w:rPr>
          <w:color w:val="auto"/>
        </w:rPr>
        <w:fldChar w:fldCharType="separate"/>
      </w:r>
      <w:r>
        <w:rPr>
          <w:color w:val="auto"/>
        </w:rPr>
        <w:t>64</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_Toc7454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2.10 </w:t>
      </w:r>
      <w:r>
        <w:rPr>
          <w:rFonts w:hint="default" w:ascii="Times New Roman" w:hAnsi="Times New Roman" w:cs="Times New Roman"/>
          <w:color w:val="auto"/>
          <w:highlight w:val="none"/>
          <w:lang w:val="en-US" w:eastAsia="zh-CN"/>
        </w:rPr>
        <w:t>现有工程存在的问题及整改要求</w:t>
      </w:r>
      <w:r>
        <w:rPr>
          <w:color w:val="auto"/>
        </w:rPr>
        <w:tab/>
      </w:r>
      <w:r>
        <w:rPr>
          <w:color w:val="auto"/>
        </w:rPr>
        <w:fldChar w:fldCharType="begin"/>
      </w:r>
      <w:r>
        <w:rPr>
          <w:color w:val="auto"/>
        </w:rPr>
        <w:instrText xml:space="preserve"> PAGEREF _Toc7454 \h </w:instrText>
      </w:r>
      <w:r>
        <w:rPr>
          <w:color w:val="auto"/>
        </w:rPr>
        <w:fldChar w:fldCharType="separate"/>
      </w:r>
      <w:r>
        <w:rPr>
          <w:color w:val="auto"/>
        </w:rPr>
        <w:t>70</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_Toc19501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2.11 </w:t>
      </w:r>
      <w:r>
        <w:rPr>
          <w:rFonts w:hint="eastAsia"/>
          <w:color w:val="auto"/>
          <w:lang w:val="en-US" w:eastAsia="zh-CN"/>
        </w:rPr>
        <w:t>现有工程拟实施的“以新带老”措施</w:t>
      </w:r>
      <w:r>
        <w:rPr>
          <w:color w:val="auto"/>
        </w:rPr>
        <w:tab/>
      </w:r>
      <w:r>
        <w:rPr>
          <w:color w:val="auto"/>
        </w:rPr>
        <w:fldChar w:fldCharType="begin"/>
      </w:r>
      <w:r>
        <w:rPr>
          <w:color w:val="auto"/>
        </w:rPr>
        <w:instrText xml:space="preserve"> PAGEREF _Toc19501 \h </w:instrText>
      </w:r>
      <w:r>
        <w:rPr>
          <w:color w:val="auto"/>
        </w:rPr>
        <w:fldChar w:fldCharType="separate"/>
      </w:r>
      <w:r>
        <w:rPr>
          <w:color w:val="auto"/>
        </w:rPr>
        <w:t>71</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_Toc17821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第3章 </w:t>
      </w:r>
      <w:r>
        <w:rPr>
          <w:rFonts w:hint="default" w:ascii="Times New Roman" w:hAnsi="Times New Roman" w:cs="Times New Roman"/>
          <w:color w:val="auto"/>
          <w:highlight w:val="none"/>
          <w:lang w:val="en-US" w:eastAsia="zh-CN"/>
        </w:rPr>
        <w:t>扩建工程分析</w:t>
      </w:r>
      <w:r>
        <w:rPr>
          <w:color w:val="auto"/>
        </w:rPr>
        <w:tab/>
      </w:r>
      <w:r>
        <w:rPr>
          <w:color w:val="auto"/>
        </w:rPr>
        <w:fldChar w:fldCharType="begin"/>
      </w:r>
      <w:r>
        <w:rPr>
          <w:color w:val="auto"/>
        </w:rPr>
        <w:instrText xml:space="preserve"> PAGEREF _Toc17821 \h </w:instrText>
      </w:r>
      <w:r>
        <w:rPr>
          <w:color w:val="auto"/>
        </w:rPr>
        <w:fldChar w:fldCharType="separate"/>
      </w:r>
      <w:r>
        <w:rPr>
          <w:color w:val="auto"/>
        </w:rPr>
        <w:t>74</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_Toc6371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3.1 </w:t>
      </w:r>
      <w:r>
        <w:rPr>
          <w:rFonts w:hint="default" w:ascii="Times New Roman" w:hAnsi="Times New Roman" w:cs="Times New Roman"/>
          <w:color w:val="auto"/>
          <w:highlight w:val="none"/>
          <w:lang w:val="en-US" w:eastAsia="zh-CN"/>
        </w:rPr>
        <w:t>项目工程概况</w:t>
      </w:r>
      <w:r>
        <w:rPr>
          <w:color w:val="auto"/>
        </w:rPr>
        <w:tab/>
      </w:r>
      <w:r>
        <w:rPr>
          <w:color w:val="auto"/>
        </w:rPr>
        <w:fldChar w:fldCharType="begin"/>
      </w:r>
      <w:r>
        <w:rPr>
          <w:color w:val="auto"/>
        </w:rPr>
        <w:instrText xml:space="preserve"> PAGEREF _Toc6371 \h </w:instrText>
      </w:r>
      <w:r>
        <w:rPr>
          <w:color w:val="auto"/>
        </w:rPr>
        <w:fldChar w:fldCharType="separate"/>
      </w:r>
      <w:r>
        <w:rPr>
          <w:color w:val="auto"/>
        </w:rPr>
        <w:t>74</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_Toc9727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3.2 </w:t>
      </w:r>
      <w:r>
        <w:rPr>
          <w:rFonts w:hint="default" w:ascii="Times New Roman" w:hAnsi="Times New Roman" w:cs="Times New Roman"/>
          <w:color w:val="auto"/>
          <w:highlight w:val="none"/>
          <w:lang w:val="en-US" w:eastAsia="zh-CN"/>
        </w:rPr>
        <w:t>主要原辅材料及生产设备</w:t>
      </w:r>
      <w:r>
        <w:rPr>
          <w:color w:val="auto"/>
        </w:rPr>
        <w:tab/>
      </w:r>
      <w:r>
        <w:rPr>
          <w:color w:val="auto"/>
        </w:rPr>
        <w:fldChar w:fldCharType="begin"/>
      </w:r>
      <w:r>
        <w:rPr>
          <w:color w:val="auto"/>
        </w:rPr>
        <w:instrText xml:space="preserve"> PAGEREF _Toc9727 \h </w:instrText>
      </w:r>
      <w:r>
        <w:rPr>
          <w:color w:val="auto"/>
        </w:rPr>
        <w:fldChar w:fldCharType="separate"/>
      </w:r>
      <w:r>
        <w:rPr>
          <w:color w:val="auto"/>
        </w:rPr>
        <w:t>78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_Toc22736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3.3 </w:t>
      </w:r>
      <w:r>
        <w:rPr>
          <w:rFonts w:hint="default" w:ascii="Times New Roman" w:hAnsi="Times New Roman" w:cs="Times New Roman"/>
          <w:color w:val="auto"/>
          <w:highlight w:val="none"/>
          <w:lang w:val="en-US" w:eastAsia="zh-CN"/>
        </w:rPr>
        <w:t>项目平面布置分析</w:t>
      </w:r>
      <w:r>
        <w:rPr>
          <w:color w:val="auto"/>
        </w:rPr>
        <w:tab/>
      </w:r>
      <w:r>
        <w:rPr>
          <w:color w:val="auto"/>
        </w:rPr>
        <w:fldChar w:fldCharType="begin"/>
      </w:r>
      <w:r>
        <w:rPr>
          <w:color w:val="auto"/>
        </w:rPr>
        <w:instrText xml:space="preserve"> PAGEREF _Toc22736 \h </w:instrText>
      </w:r>
      <w:r>
        <w:rPr>
          <w:color w:val="auto"/>
        </w:rPr>
        <w:fldChar w:fldCharType="separate"/>
      </w:r>
      <w:r>
        <w:rPr>
          <w:color w:val="auto"/>
        </w:rPr>
        <w:t>82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_Toc9507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3.4 </w:t>
      </w:r>
      <w:r>
        <w:rPr>
          <w:rFonts w:hint="default" w:ascii="Times New Roman" w:hAnsi="Times New Roman" w:cs="Times New Roman"/>
          <w:color w:val="auto"/>
          <w:highlight w:val="none"/>
          <w:lang w:val="en-US" w:eastAsia="zh-CN"/>
        </w:rPr>
        <w:t>生产工艺及产污环节分析</w:t>
      </w:r>
      <w:r>
        <w:rPr>
          <w:color w:val="auto"/>
        </w:rPr>
        <w:tab/>
      </w:r>
      <w:r>
        <w:rPr>
          <w:color w:val="auto"/>
        </w:rPr>
        <w:fldChar w:fldCharType="begin"/>
      </w:r>
      <w:r>
        <w:rPr>
          <w:color w:val="auto"/>
        </w:rPr>
        <w:instrText xml:space="preserve"> PAGEREF _Toc9507 \h </w:instrText>
      </w:r>
      <w:r>
        <w:rPr>
          <w:color w:val="auto"/>
        </w:rPr>
        <w:fldChar w:fldCharType="separate"/>
      </w:r>
      <w:r>
        <w:rPr>
          <w:color w:val="auto"/>
        </w:rPr>
        <w:t>85</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_Toc30790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3.5 </w:t>
      </w:r>
      <w:r>
        <w:rPr>
          <w:rFonts w:hint="default" w:ascii="Times New Roman" w:hAnsi="Times New Roman" w:cs="Times New Roman"/>
          <w:color w:val="auto"/>
          <w:highlight w:val="none"/>
          <w:lang w:val="en-US" w:eastAsia="zh-CN"/>
        </w:rPr>
        <w:t>水平衡和物料平衡</w:t>
      </w:r>
      <w:r>
        <w:rPr>
          <w:color w:val="auto"/>
        </w:rPr>
        <w:tab/>
      </w:r>
      <w:r>
        <w:rPr>
          <w:color w:val="auto"/>
        </w:rPr>
        <w:fldChar w:fldCharType="begin"/>
      </w:r>
      <w:r>
        <w:rPr>
          <w:color w:val="auto"/>
        </w:rPr>
        <w:instrText xml:space="preserve"> PAGEREF _Toc30790 \h </w:instrText>
      </w:r>
      <w:r>
        <w:rPr>
          <w:color w:val="auto"/>
        </w:rPr>
        <w:fldChar w:fldCharType="separate"/>
      </w:r>
      <w:r>
        <w:rPr>
          <w:color w:val="auto"/>
        </w:rPr>
        <w:t>93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_Toc25401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3.6 </w:t>
      </w:r>
      <w:r>
        <w:rPr>
          <w:rFonts w:hint="default" w:ascii="Times New Roman" w:hAnsi="Times New Roman" w:cs="Times New Roman"/>
          <w:color w:val="auto"/>
          <w:highlight w:val="none"/>
          <w:lang w:val="en-US" w:eastAsia="zh-CN"/>
        </w:rPr>
        <w:t>污染源强分析</w:t>
      </w:r>
      <w:r>
        <w:rPr>
          <w:color w:val="auto"/>
        </w:rPr>
        <w:tab/>
      </w:r>
      <w:r>
        <w:rPr>
          <w:color w:val="auto"/>
        </w:rPr>
        <w:fldChar w:fldCharType="begin"/>
      </w:r>
      <w:r>
        <w:rPr>
          <w:color w:val="auto"/>
        </w:rPr>
        <w:instrText xml:space="preserve"> PAGEREF _Toc25401 \h </w:instrText>
      </w:r>
      <w:r>
        <w:rPr>
          <w:color w:val="auto"/>
        </w:rPr>
        <w:fldChar w:fldCharType="separate"/>
      </w:r>
      <w:r>
        <w:rPr>
          <w:color w:val="auto"/>
        </w:rPr>
        <w:t>98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_Toc3896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3.7 </w:t>
      </w:r>
      <w:r>
        <w:rPr>
          <w:rFonts w:hint="default" w:ascii="Times New Roman" w:hAnsi="Times New Roman" w:cs="Times New Roman"/>
          <w:color w:val="auto"/>
          <w:highlight w:val="none"/>
          <w:lang w:val="en-US" w:eastAsia="zh-CN"/>
        </w:rPr>
        <w:t>产业政策符合性分析</w:t>
      </w:r>
      <w:r>
        <w:rPr>
          <w:color w:val="auto"/>
        </w:rPr>
        <w:tab/>
      </w:r>
      <w:r>
        <w:rPr>
          <w:color w:val="auto"/>
        </w:rPr>
        <w:fldChar w:fldCharType="begin"/>
      </w:r>
      <w:r>
        <w:rPr>
          <w:color w:val="auto"/>
        </w:rPr>
        <w:instrText xml:space="preserve"> PAGEREF _Toc3896 \h </w:instrText>
      </w:r>
      <w:r>
        <w:rPr>
          <w:color w:val="auto"/>
        </w:rPr>
        <w:fldChar w:fldCharType="separate"/>
      </w:r>
      <w:r>
        <w:rPr>
          <w:color w:val="auto"/>
        </w:rPr>
        <w:t>132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_Toc14056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3.8 </w:t>
      </w:r>
      <w:r>
        <w:rPr>
          <w:rFonts w:hint="default" w:ascii="Times New Roman" w:hAnsi="Times New Roman" w:cs="Times New Roman"/>
          <w:color w:val="auto"/>
          <w:highlight w:val="none"/>
          <w:lang w:val="en-US" w:eastAsia="zh-CN"/>
        </w:rPr>
        <w:t>选址规划符合性分析</w:t>
      </w:r>
      <w:r>
        <w:rPr>
          <w:color w:val="auto"/>
        </w:rPr>
        <w:tab/>
      </w:r>
      <w:r>
        <w:rPr>
          <w:color w:val="auto"/>
        </w:rPr>
        <w:fldChar w:fldCharType="begin"/>
      </w:r>
      <w:r>
        <w:rPr>
          <w:color w:val="auto"/>
        </w:rPr>
        <w:instrText xml:space="preserve"> PAGEREF _Toc14056 \h </w:instrText>
      </w:r>
      <w:r>
        <w:rPr>
          <w:color w:val="auto"/>
        </w:rPr>
        <w:fldChar w:fldCharType="separate"/>
      </w:r>
      <w:r>
        <w:rPr>
          <w:color w:val="auto"/>
        </w:rPr>
        <w:t>133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_Toc9796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3.9 </w:t>
      </w:r>
      <w:r>
        <w:rPr>
          <w:rFonts w:hint="default" w:ascii="Times New Roman" w:hAnsi="Times New Roman" w:cs="Times New Roman"/>
          <w:color w:val="auto"/>
          <w:highlight w:val="none"/>
          <w:lang w:val="en-US" w:eastAsia="zh-CN"/>
        </w:rPr>
        <w:t>清洁生产分析</w:t>
      </w:r>
      <w:r>
        <w:rPr>
          <w:color w:val="auto"/>
        </w:rPr>
        <w:tab/>
      </w:r>
      <w:r>
        <w:rPr>
          <w:color w:val="auto"/>
        </w:rPr>
        <w:fldChar w:fldCharType="begin"/>
      </w:r>
      <w:r>
        <w:rPr>
          <w:color w:val="auto"/>
        </w:rPr>
        <w:instrText xml:space="preserve"> PAGEREF _Toc9796 \h </w:instrText>
      </w:r>
      <w:r>
        <w:rPr>
          <w:color w:val="auto"/>
        </w:rPr>
        <w:fldChar w:fldCharType="separate"/>
      </w:r>
      <w:r>
        <w:rPr>
          <w:color w:val="auto"/>
        </w:rPr>
        <w:t>137</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_Toc10393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3.10 </w:t>
      </w:r>
      <w:r>
        <w:rPr>
          <w:rFonts w:hint="default" w:ascii="Times New Roman" w:hAnsi="Times New Roman" w:cs="Times New Roman"/>
          <w:color w:val="auto"/>
          <w:highlight w:val="none"/>
          <w:lang w:val="en-US" w:eastAsia="zh-CN"/>
        </w:rPr>
        <w:t>与国家、省市当前相关环保政策符合性分析</w:t>
      </w:r>
      <w:r>
        <w:rPr>
          <w:color w:val="auto"/>
        </w:rPr>
        <w:tab/>
      </w:r>
      <w:r>
        <w:rPr>
          <w:color w:val="auto"/>
        </w:rPr>
        <w:fldChar w:fldCharType="begin"/>
      </w:r>
      <w:r>
        <w:rPr>
          <w:color w:val="auto"/>
        </w:rPr>
        <w:instrText xml:space="preserve"> PAGEREF _Toc10393 \h </w:instrText>
      </w:r>
      <w:r>
        <w:rPr>
          <w:color w:val="auto"/>
        </w:rPr>
        <w:fldChar w:fldCharType="separate"/>
      </w:r>
      <w:r>
        <w:rPr>
          <w:color w:val="auto"/>
        </w:rPr>
        <w:t>146</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_Toc25935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rPr>
        <w:t xml:space="preserve">第4章 </w:t>
      </w:r>
      <w:r>
        <w:rPr>
          <w:rFonts w:hint="default" w:ascii="Times New Roman" w:hAnsi="Times New Roman" w:cs="Times New Roman"/>
          <w:color w:val="auto"/>
          <w:highlight w:val="none"/>
          <w:lang w:val="en-US" w:eastAsia="zh-CN"/>
        </w:rPr>
        <w:t>环境现状调查与评价</w:t>
      </w:r>
      <w:r>
        <w:rPr>
          <w:color w:val="auto"/>
        </w:rPr>
        <w:tab/>
      </w:r>
      <w:r>
        <w:rPr>
          <w:color w:val="auto"/>
        </w:rPr>
        <w:fldChar w:fldCharType="begin"/>
      </w:r>
      <w:r>
        <w:rPr>
          <w:color w:val="auto"/>
        </w:rPr>
        <w:instrText xml:space="preserve"> PAGEREF _Toc25935 \h </w:instrText>
      </w:r>
      <w:r>
        <w:rPr>
          <w:color w:val="auto"/>
        </w:rPr>
        <w:fldChar w:fldCharType="separate"/>
      </w:r>
      <w:r>
        <w:rPr>
          <w:color w:val="auto"/>
        </w:rPr>
        <w:t>155</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_Toc1338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4.1 </w:t>
      </w:r>
      <w:r>
        <w:rPr>
          <w:rFonts w:hint="default" w:ascii="Times New Roman" w:hAnsi="Times New Roman" w:cs="Times New Roman"/>
          <w:color w:val="auto"/>
          <w:highlight w:val="none"/>
          <w:lang w:val="en-US" w:eastAsia="zh-CN"/>
        </w:rPr>
        <w:t>自然环境概况</w:t>
      </w:r>
      <w:r>
        <w:rPr>
          <w:color w:val="auto"/>
        </w:rPr>
        <w:tab/>
      </w:r>
      <w:r>
        <w:rPr>
          <w:color w:val="auto"/>
        </w:rPr>
        <w:fldChar w:fldCharType="begin"/>
      </w:r>
      <w:r>
        <w:rPr>
          <w:color w:val="auto"/>
        </w:rPr>
        <w:instrText xml:space="preserve"> PAGEREF _Toc1338 \h </w:instrText>
      </w:r>
      <w:r>
        <w:rPr>
          <w:color w:val="auto"/>
        </w:rPr>
        <w:fldChar w:fldCharType="separate"/>
      </w:r>
      <w:r>
        <w:rPr>
          <w:color w:val="auto"/>
        </w:rPr>
        <w:t>155</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_Toc32709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4.2 </w:t>
      </w:r>
      <w:r>
        <w:rPr>
          <w:rFonts w:hint="default" w:ascii="Times New Roman" w:hAnsi="Times New Roman" w:cs="Times New Roman"/>
          <w:color w:val="auto"/>
          <w:highlight w:val="none"/>
          <w:lang w:val="en-US" w:eastAsia="zh-CN"/>
        </w:rPr>
        <w:t>宁德市霞浦县牙城镇东洋工业园概况</w:t>
      </w:r>
      <w:r>
        <w:rPr>
          <w:color w:val="auto"/>
        </w:rPr>
        <w:tab/>
      </w:r>
      <w:r>
        <w:rPr>
          <w:color w:val="auto"/>
        </w:rPr>
        <w:fldChar w:fldCharType="begin"/>
      </w:r>
      <w:r>
        <w:rPr>
          <w:color w:val="auto"/>
        </w:rPr>
        <w:instrText xml:space="preserve"> PAGEREF _Toc32709 \h </w:instrText>
      </w:r>
      <w:r>
        <w:rPr>
          <w:color w:val="auto"/>
        </w:rPr>
        <w:fldChar w:fldCharType="separate"/>
      </w:r>
      <w:r>
        <w:rPr>
          <w:color w:val="auto"/>
        </w:rPr>
        <w:t>168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_Toc11249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4.3 </w:t>
      </w:r>
      <w:r>
        <w:rPr>
          <w:rFonts w:hint="default" w:ascii="Times New Roman" w:hAnsi="Times New Roman" w:cs="Times New Roman"/>
          <w:color w:val="auto"/>
          <w:highlight w:val="none"/>
          <w:lang w:val="en-US" w:eastAsia="zh-CN"/>
        </w:rPr>
        <w:t>环境质量现状调查与评价</w:t>
      </w:r>
      <w:r>
        <w:rPr>
          <w:color w:val="auto"/>
        </w:rPr>
        <w:tab/>
      </w:r>
      <w:r>
        <w:rPr>
          <w:color w:val="auto"/>
        </w:rPr>
        <w:fldChar w:fldCharType="begin"/>
      </w:r>
      <w:r>
        <w:rPr>
          <w:color w:val="auto"/>
        </w:rPr>
        <w:instrText xml:space="preserve"> PAGEREF _Toc11249 \h </w:instrText>
      </w:r>
      <w:r>
        <w:rPr>
          <w:color w:val="auto"/>
        </w:rPr>
        <w:fldChar w:fldCharType="separate"/>
      </w:r>
      <w:r>
        <w:rPr>
          <w:color w:val="auto"/>
        </w:rPr>
        <w:t>175</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_Toc5104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rPr>
        <w:t xml:space="preserve">第5章 </w:t>
      </w:r>
      <w:r>
        <w:rPr>
          <w:rFonts w:hint="default" w:ascii="Times New Roman" w:hAnsi="Times New Roman" w:cs="Times New Roman"/>
          <w:color w:val="auto"/>
          <w:highlight w:val="none"/>
          <w:lang w:val="en-US" w:eastAsia="zh-CN"/>
        </w:rPr>
        <w:t>环境影响预测与评价</w:t>
      </w:r>
      <w:r>
        <w:rPr>
          <w:color w:val="auto"/>
        </w:rPr>
        <w:tab/>
      </w:r>
      <w:r>
        <w:rPr>
          <w:color w:val="auto"/>
        </w:rPr>
        <w:fldChar w:fldCharType="begin"/>
      </w:r>
      <w:r>
        <w:rPr>
          <w:color w:val="auto"/>
        </w:rPr>
        <w:instrText xml:space="preserve"> PAGEREF _Toc5104 \h </w:instrText>
      </w:r>
      <w:r>
        <w:rPr>
          <w:color w:val="auto"/>
        </w:rPr>
        <w:fldChar w:fldCharType="separate"/>
      </w:r>
      <w:r>
        <w:rPr>
          <w:color w:val="auto"/>
        </w:rPr>
        <w:t>192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_Toc5788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rPr>
        <w:t xml:space="preserve">5.1 </w:t>
      </w:r>
      <w:r>
        <w:rPr>
          <w:rFonts w:hint="default" w:ascii="Times New Roman" w:hAnsi="Times New Roman" w:cs="Times New Roman"/>
          <w:color w:val="auto"/>
          <w:highlight w:val="none"/>
          <w:lang w:val="en-US" w:eastAsia="zh-CN"/>
        </w:rPr>
        <w:t>施工期环境影响分析</w:t>
      </w:r>
      <w:r>
        <w:rPr>
          <w:color w:val="auto"/>
        </w:rPr>
        <w:tab/>
      </w:r>
      <w:r>
        <w:rPr>
          <w:color w:val="auto"/>
        </w:rPr>
        <w:fldChar w:fldCharType="begin"/>
      </w:r>
      <w:r>
        <w:rPr>
          <w:color w:val="auto"/>
        </w:rPr>
        <w:instrText xml:space="preserve"> PAGEREF _Toc5788 \h </w:instrText>
      </w:r>
      <w:r>
        <w:rPr>
          <w:color w:val="auto"/>
        </w:rPr>
        <w:fldChar w:fldCharType="separate"/>
      </w:r>
      <w:r>
        <w:rPr>
          <w:color w:val="auto"/>
        </w:rPr>
        <w:t>192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_Toc7693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5.2 </w:t>
      </w:r>
      <w:r>
        <w:rPr>
          <w:rFonts w:hint="default" w:ascii="Times New Roman" w:hAnsi="Times New Roman" w:cs="Times New Roman"/>
          <w:color w:val="auto"/>
          <w:highlight w:val="none"/>
          <w:lang w:val="en-US" w:eastAsia="zh-CN"/>
        </w:rPr>
        <w:t>运营期大气环境影响预测与评价</w:t>
      </w:r>
      <w:r>
        <w:rPr>
          <w:color w:val="auto"/>
        </w:rPr>
        <w:tab/>
      </w:r>
      <w:r>
        <w:rPr>
          <w:color w:val="auto"/>
        </w:rPr>
        <w:fldChar w:fldCharType="begin"/>
      </w:r>
      <w:r>
        <w:rPr>
          <w:color w:val="auto"/>
        </w:rPr>
        <w:instrText xml:space="preserve"> PAGEREF _Toc7693 \h </w:instrText>
      </w:r>
      <w:r>
        <w:rPr>
          <w:color w:val="auto"/>
        </w:rPr>
        <w:fldChar w:fldCharType="separate"/>
      </w:r>
      <w:r>
        <w:rPr>
          <w:color w:val="auto"/>
        </w:rPr>
        <w:t>196</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_Toc23310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5.3 </w:t>
      </w:r>
      <w:r>
        <w:rPr>
          <w:rFonts w:hint="eastAsia" w:cs="Times New Roman"/>
          <w:color w:val="auto"/>
          <w:highlight w:val="none"/>
          <w:lang w:val="en-US" w:eastAsia="zh-CN"/>
        </w:rPr>
        <w:t>运</w:t>
      </w:r>
      <w:r>
        <w:rPr>
          <w:rFonts w:hint="default" w:ascii="Times New Roman" w:hAnsi="Times New Roman" w:cs="Times New Roman"/>
          <w:color w:val="auto"/>
          <w:highlight w:val="none"/>
          <w:lang w:val="en-US" w:eastAsia="zh-CN"/>
        </w:rPr>
        <w:t>营期地表水环境影响评价</w:t>
      </w:r>
      <w:r>
        <w:rPr>
          <w:color w:val="auto"/>
        </w:rPr>
        <w:tab/>
      </w:r>
      <w:r>
        <w:rPr>
          <w:color w:val="auto"/>
        </w:rPr>
        <w:fldChar w:fldCharType="begin"/>
      </w:r>
      <w:r>
        <w:rPr>
          <w:color w:val="auto"/>
        </w:rPr>
        <w:instrText xml:space="preserve"> PAGEREF _Toc23310 \h </w:instrText>
      </w:r>
      <w:r>
        <w:rPr>
          <w:color w:val="auto"/>
        </w:rPr>
        <w:fldChar w:fldCharType="separate"/>
      </w:r>
      <w:r>
        <w:rPr>
          <w:color w:val="auto"/>
        </w:rPr>
        <w:t>254</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_Toc25861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5.4 </w:t>
      </w:r>
      <w:r>
        <w:rPr>
          <w:rFonts w:hint="default" w:ascii="Times New Roman" w:hAnsi="Times New Roman" w:cs="Times New Roman"/>
          <w:color w:val="auto"/>
          <w:highlight w:val="none"/>
          <w:lang w:val="en-US" w:eastAsia="zh-CN"/>
        </w:rPr>
        <w:t>运营期地下水环境影响预测与评价</w:t>
      </w:r>
      <w:r>
        <w:rPr>
          <w:color w:val="auto"/>
        </w:rPr>
        <w:tab/>
      </w:r>
      <w:r>
        <w:rPr>
          <w:color w:val="auto"/>
        </w:rPr>
        <w:fldChar w:fldCharType="begin"/>
      </w:r>
      <w:r>
        <w:rPr>
          <w:color w:val="auto"/>
        </w:rPr>
        <w:instrText xml:space="preserve"> PAGEREF _Toc25861 \h </w:instrText>
      </w:r>
      <w:r>
        <w:rPr>
          <w:color w:val="auto"/>
        </w:rPr>
        <w:fldChar w:fldCharType="separate"/>
      </w:r>
      <w:r>
        <w:rPr>
          <w:color w:val="auto"/>
        </w:rPr>
        <w:t>263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_Toc4961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5.5 </w:t>
      </w:r>
      <w:r>
        <w:rPr>
          <w:rFonts w:hint="default" w:ascii="Times New Roman" w:hAnsi="Times New Roman" w:cs="Times New Roman"/>
          <w:color w:val="auto"/>
          <w:highlight w:val="none"/>
          <w:lang w:val="en-US" w:eastAsia="zh-CN"/>
        </w:rPr>
        <w:t>运营期声环境影响预测与评价</w:t>
      </w:r>
      <w:r>
        <w:rPr>
          <w:color w:val="auto"/>
        </w:rPr>
        <w:tab/>
      </w:r>
      <w:r>
        <w:rPr>
          <w:color w:val="auto"/>
        </w:rPr>
        <w:fldChar w:fldCharType="begin"/>
      </w:r>
      <w:r>
        <w:rPr>
          <w:color w:val="auto"/>
        </w:rPr>
        <w:instrText xml:space="preserve"> PAGEREF _Toc4961 \h </w:instrText>
      </w:r>
      <w:r>
        <w:rPr>
          <w:color w:val="auto"/>
        </w:rPr>
        <w:fldChar w:fldCharType="separate"/>
      </w:r>
      <w:r>
        <w:rPr>
          <w:color w:val="auto"/>
        </w:rPr>
        <w:t>272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_Toc13814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5.6 </w:t>
      </w:r>
      <w:r>
        <w:rPr>
          <w:rFonts w:hint="default" w:ascii="Times New Roman" w:hAnsi="Times New Roman" w:cs="Times New Roman"/>
          <w:color w:val="auto"/>
          <w:highlight w:val="none"/>
          <w:lang w:val="en-US" w:eastAsia="zh-CN"/>
        </w:rPr>
        <w:t>运营期固体废物环境影响分析</w:t>
      </w:r>
      <w:r>
        <w:rPr>
          <w:color w:val="auto"/>
        </w:rPr>
        <w:tab/>
      </w:r>
      <w:r>
        <w:rPr>
          <w:color w:val="auto"/>
        </w:rPr>
        <w:fldChar w:fldCharType="begin"/>
      </w:r>
      <w:r>
        <w:rPr>
          <w:color w:val="auto"/>
        </w:rPr>
        <w:instrText xml:space="preserve"> PAGEREF _Toc13814 \h </w:instrText>
      </w:r>
      <w:r>
        <w:rPr>
          <w:color w:val="auto"/>
        </w:rPr>
        <w:fldChar w:fldCharType="separate"/>
      </w:r>
      <w:r>
        <w:rPr>
          <w:color w:val="auto"/>
        </w:rPr>
        <w:t>277</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_Toc11500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5.7 </w:t>
      </w:r>
      <w:r>
        <w:rPr>
          <w:rFonts w:hint="default" w:ascii="Times New Roman" w:hAnsi="Times New Roman" w:cs="Times New Roman"/>
          <w:color w:val="auto"/>
          <w:highlight w:val="none"/>
          <w:lang w:val="en-US" w:eastAsia="zh-CN"/>
        </w:rPr>
        <w:t>运营期土壤环境影响分析</w:t>
      </w:r>
      <w:r>
        <w:rPr>
          <w:color w:val="auto"/>
        </w:rPr>
        <w:tab/>
      </w:r>
      <w:r>
        <w:rPr>
          <w:color w:val="auto"/>
        </w:rPr>
        <w:fldChar w:fldCharType="begin"/>
      </w:r>
      <w:r>
        <w:rPr>
          <w:color w:val="auto"/>
        </w:rPr>
        <w:instrText xml:space="preserve"> PAGEREF _Toc11500 \h </w:instrText>
      </w:r>
      <w:r>
        <w:rPr>
          <w:color w:val="auto"/>
        </w:rPr>
        <w:fldChar w:fldCharType="separate"/>
      </w:r>
      <w:r>
        <w:rPr>
          <w:color w:val="auto"/>
        </w:rPr>
        <w:t>282</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_Toc27002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5.8 </w:t>
      </w:r>
      <w:r>
        <w:rPr>
          <w:rFonts w:hint="default" w:ascii="Times New Roman" w:hAnsi="Times New Roman" w:cs="Times New Roman"/>
          <w:color w:val="auto"/>
          <w:highlight w:val="none"/>
          <w:lang w:val="en-US" w:eastAsia="zh-CN"/>
        </w:rPr>
        <w:t>环境风险评价</w:t>
      </w:r>
      <w:r>
        <w:rPr>
          <w:color w:val="auto"/>
        </w:rPr>
        <w:tab/>
      </w:r>
      <w:r>
        <w:rPr>
          <w:color w:val="auto"/>
        </w:rPr>
        <w:fldChar w:fldCharType="begin"/>
      </w:r>
      <w:r>
        <w:rPr>
          <w:color w:val="auto"/>
        </w:rPr>
        <w:instrText xml:space="preserve"> PAGEREF _Toc27002 \h </w:instrText>
      </w:r>
      <w:r>
        <w:rPr>
          <w:color w:val="auto"/>
        </w:rPr>
        <w:fldChar w:fldCharType="separate"/>
      </w:r>
      <w:r>
        <w:rPr>
          <w:color w:val="auto"/>
        </w:rPr>
        <w:t>284</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_Toc31868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rPr>
        <w:t xml:space="preserve">第6章 </w:t>
      </w:r>
      <w:r>
        <w:rPr>
          <w:rFonts w:hint="eastAsia"/>
          <w:color w:val="auto"/>
          <w:lang w:val="en-US" w:eastAsia="zh-CN"/>
        </w:rPr>
        <w:t>环境保护措施及其可行性论证</w:t>
      </w:r>
      <w:r>
        <w:rPr>
          <w:color w:val="auto"/>
        </w:rPr>
        <w:tab/>
      </w:r>
      <w:r>
        <w:rPr>
          <w:color w:val="auto"/>
        </w:rPr>
        <w:fldChar w:fldCharType="begin"/>
      </w:r>
      <w:r>
        <w:rPr>
          <w:color w:val="auto"/>
        </w:rPr>
        <w:instrText xml:space="preserve"> PAGEREF _Toc31868 \h </w:instrText>
      </w:r>
      <w:r>
        <w:rPr>
          <w:color w:val="auto"/>
        </w:rPr>
        <w:fldChar w:fldCharType="separate"/>
      </w:r>
      <w:r>
        <w:rPr>
          <w:color w:val="auto"/>
        </w:rPr>
        <w:t>301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_Toc10529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6.1 </w:t>
      </w:r>
      <w:r>
        <w:rPr>
          <w:rFonts w:hint="eastAsia"/>
          <w:color w:val="auto"/>
          <w:highlight w:val="none"/>
          <w:lang w:val="en-US" w:eastAsia="zh-CN"/>
        </w:rPr>
        <w:t>施工期环境保护措施</w:t>
      </w:r>
      <w:r>
        <w:rPr>
          <w:color w:val="auto"/>
        </w:rPr>
        <w:tab/>
      </w:r>
      <w:r>
        <w:rPr>
          <w:color w:val="auto"/>
        </w:rPr>
        <w:fldChar w:fldCharType="begin"/>
      </w:r>
      <w:r>
        <w:rPr>
          <w:color w:val="auto"/>
        </w:rPr>
        <w:instrText xml:space="preserve"> PAGEREF _Toc10529 \h </w:instrText>
      </w:r>
      <w:r>
        <w:rPr>
          <w:color w:val="auto"/>
        </w:rPr>
        <w:fldChar w:fldCharType="separate"/>
      </w:r>
      <w:r>
        <w:rPr>
          <w:color w:val="auto"/>
        </w:rPr>
        <w:t>301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_Toc29472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6.2 </w:t>
      </w:r>
      <w:r>
        <w:rPr>
          <w:rFonts w:hint="eastAsia"/>
          <w:color w:val="auto"/>
          <w:highlight w:val="none"/>
          <w:lang w:val="en-US" w:eastAsia="zh-CN"/>
        </w:rPr>
        <w:t>现有工程污染防治措施</w:t>
      </w:r>
      <w:r>
        <w:rPr>
          <w:color w:val="auto"/>
        </w:rPr>
        <w:tab/>
      </w:r>
      <w:r>
        <w:rPr>
          <w:color w:val="auto"/>
        </w:rPr>
        <w:fldChar w:fldCharType="begin"/>
      </w:r>
      <w:r>
        <w:rPr>
          <w:color w:val="auto"/>
        </w:rPr>
        <w:instrText xml:space="preserve"> PAGEREF _Toc29472 \h </w:instrText>
      </w:r>
      <w:r>
        <w:rPr>
          <w:color w:val="auto"/>
        </w:rPr>
        <w:fldChar w:fldCharType="separate"/>
      </w:r>
      <w:r>
        <w:rPr>
          <w:color w:val="auto"/>
        </w:rPr>
        <w:t>303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_Toc25229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6.3 </w:t>
      </w:r>
      <w:r>
        <w:rPr>
          <w:rFonts w:hint="eastAsia"/>
          <w:color w:val="auto"/>
          <w:highlight w:val="none"/>
          <w:lang w:val="en-US" w:eastAsia="zh-CN"/>
        </w:rPr>
        <w:t>扩建项目运营期污染防治措施</w:t>
      </w:r>
      <w:r>
        <w:rPr>
          <w:color w:val="auto"/>
        </w:rPr>
        <w:tab/>
      </w:r>
      <w:r>
        <w:rPr>
          <w:color w:val="auto"/>
        </w:rPr>
        <w:fldChar w:fldCharType="begin"/>
      </w:r>
      <w:r>
        <w:rPr>
          <w:color w:val="auto"/>
        </w:rPr>
        <w:instrText xml:space="preserve"> PAGEREF _Toc25229 \h </w:instrText>
      </w:r>
      <w:r>
        <w:rPr>
          <w:color w:val="auto"/>
        </w:rPr>
        <w:fldChar w:fldCharType="separate"/>
      </w:r>
      <w:r>
        <w:rPr>
          <w:color w:val="auto"/>
        </w:rPr>
        <w:t>305</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_Toc13439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第7章 </w:t>
      </w:r>
      <w:r>
        <w:rPr>
          <w:rFonts w:hint="default"/>
          <w:color w:val="auto"/>
          <w:highlight w:val="none"/>
          <w:lang w:val="en-US" w:eastAsia="zh-CN"/>
        </w:rPr>
        <w:t>环境影响经济损益分析</w:t>
      </w:r>
      <w:r>
        <w:rPr>
          <w:color w:val="auto"/>
        </w:rPr>
        <w:tab/>
      </w:r>
      <w:r>
        <w:rPr>
          <w:color w:val="auto"/>
        </w:rPr>
        <w:fldChar w:fldCharType="begin"/>
      </w:r>
      <w:r>
        <w:rPr>
          <w:color w:val="auto"/>
        </w:rPr>
        <w:instrText xml:space="preserve"> PAGEREF _Toc13439 \h </w:instrText>
      </w:r>
      <w:r>
        <w:rPr>
          <w:color w:val="auto"/>
        </w:rPr>
        <w:fldChar w:fldCharType="separate"/>
      </w:r>
      <w:r>
        <w:rPr>
          <w:color w:val="auto"/>
        </w:rPr>
        <w:t>328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_Toc3605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7.1 </w:t>
      </w:r>
      <w:r>
        <w:rPr>
          <w:rFonts w:hint="default"/>
          <w:color w:val="auto"/>
          <w:highlight w:val="none"/>
          <w:lang w:val="en-US" w:eastAsia="zh-CN"/>
        </w:rPr>
        <w:t>环保费用估算</w:t>
      </w:r>
      <w:r>
        <w:rPr>
          <w:color w:val="auto"/>
        </w:rPr>
        <w:tab/>
      </w:r>
      <w:r>
        <w:rPr>
          <w:color w:val="auto"/>
        </w:rPr>
        <w:fldChar w:fldCharType="begin"/>
      </w:r>
      <w:r>
        <w:rPr>
          <w:color w:val="auto"/>
        </w:rPr>
        <w:instrText xml:space="preserve"> PAGEREF _Toc3605 \h </w:instrText>
      </w:r>
      <w:r>
        <w:rPr>
          <w:color w:val="auto"/>
        </w:rPr>
        <w:fldChar w:fldCharType="separate"/>
      </w:r>
      <w:r>
        <w:rPr>
          <w:color w:val="auto"/>
        </w:rPr>
        <w:t>328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_Toc24647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7.2 </w:t>
      </w:r>
      <w:r>
        <w:rPr>
          <w:rFonts w:hint="default"/>
          <w:color w:val="auto"/>
          <w:highlight w:val="none"/>
          <w:lang w:val="en-US" w:eastAsia="zh-CN"/>
        </w:rPr>
        <w:t>社会效益分析</w:t>
      </w:r>
      <w:r>
        <w:rPr>
          <w:color w:val="auto"/>
        </w:rPr>
        <w:tab/>
      </w:r>
      <w:r>
        <w:rPr>
          <w:color w:val="auto"/>
        </w:rPr>
        <w:fldChar w:fldCharType="begin"/>
      </w:r>
      <w:r>
        <w:rPr>
          <w:color w:val="auto"/>
        </w:rPr>
        <w:instrText xml:space="preserve"> PAGEREF _Toc24647 \h </w:instrText>
      </w:r>
      <w:r>
        <w:rPr>
          <w:color w:val="auto"/>
        </w:rPr>
        <w:fldChar w:fldCharType="separate"/>
      </w:r>
      <w:r>
        <w:rPr>
          <w:color w:val="auto"/>
        </w:rPr>
        <w:t>329</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_Toc18885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7.3 </w:t>
      </w:r>
      <w:r>
        <w:rPr>
          <w:rFonts w:hint="default"/>
          <w:color w:val="auto"/>
          <w:highlight w:val="none"/>
          <w:lang w:val="en-US" w:eastAsia="zh-CN"/>
        </w:rPr>
        <w:t>经济效益分析</w:t>
      </w:r>
      <w:r>
        <w:rPr>
          <w:color w:val="auto"/>
        </w:rPr>
        <w:tab/>
      </w:r>
      <w:r>
        <w:rPr>
          <w:color w:val="auto"/>
        </w:rPr>
        <w:fldChar w:fldCharType="begin"/>
      </w:r>
      <w:r>
        <w:rPr>
          <w:color w:val="auto"/>
        </w:rPr>
        <w:instrText xml:space="preserve"> PAGEREF _Toc18885 \h </w:instrText>
      </w:r>
      <w:r>
        <w:rPr>
          <w:color w:val="auto"/>
        </w:rPr>
        <w:fldChar w:fldCharType="separate"/>
      </w:r>
      <w:r>
        <w:rPr>
          <w:color w:val="auto"/>
        </w:rPr>
        <w:t>329</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_Toc10942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7.4 </w:t>
      </w:r>
      <w:r>
        <w:rPr>
          <w:rFonts w:hint="default"/>
          <w:color w:val="auto"/>
          <w:highlight w:val="none"/>
          <w:lang w:val="en-US" w:eastAsia="zh-CN"/>
        </w:rPr>
        <w:t>环境损益评价</w:t>
      </w:r>
      <w:r>
        <w:rPr>
          <w:color w:val="auto"/>
        </w:rPr>
        <w:tab/>
      </w:r>
      <w:r>
        <w:rPr>
          <w:color w:val="auto"/>
        </w:rPr>
        <w:fldChar w:fldCharType="begin"/>
      </w:r>
      <w:r>
        <w:rPr>
          <w:color w:val="auto"/>
        </w:rPr>
        <w:instrText xml:space="preserve"> PAGEREF _Toc10942 \h </w:instrText>
      </w:r>
      <w:r>
        <w:rPr>
          <w:color w:val="auto"/>
        </w:rPr>
        <w:fldChar w:fldCharType="separate"/>
      </w:r>
      <w:r>
        <w:rPr>
          <w:color w:val="auto"/>
        </w:rPr>
        <w:t>329</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_Toc13923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7.5 </w:t>
      </w:r>
      <w:r>
        <w:rPr>
          <w:rFonts w:hint="default"/>
          <w:color w:val="auto"/>
          <w:highlight w:val="none"/>
          <w:lang w:val="en-US" w:eastAsia="zh-CN"/>
        </w:rPr>
        <w:t>小结</w:t>
      </w:r>
      <w:r>
        <w:rPr>
          <w:color w:val="auto"/>
        </w:rPr>
        <w:tab/>
      </w:r>
      <w:r>
        <w:rPr>
          <w:color w:val="auto"/>
        </w:rPr>
        <w:fldChar w:fldCharType="begin"/>
      </w:r>
      <w:r>
        <w:rPr>
          <w:color w:val="auto"/>
        </w:rPr>
        <w:instrText xml:space="preserve"> PAGEREF _Toc13923 \h </w:instrText>
      </w:r>
      <w:r>
        <w:rPr>
          <w:color w:val="auto"/>
        </w:rPr>
        <w:fldChar w:fldCharType="separate"/>
      </w:r>
      <w:r>
        <w:rPr>
          <w:color w:val="auto"/>
        </w:rPr>
        <w:t>329</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_Toc13042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第8章 </w:t>
      </w:r>
      <w:r>
        <w:rPr>
          <w:rFonts w:hint="default"/>
          <w:color w:val="auto"/>
          <w:highlight w:val="none"/>
          <w:lang w:val="en-US" w:eastAsia="zh-CN"/>
        </w:rPr>
        <w:t>环境管理与监测计划</w:t>
      </w:r>
      <w:r>
        <w:rPr>
          <w:color w:val="auto"/>
        </w:rPr>
        <w:tab/>
      </w:r>
      <w:r>
        <w:rPr>
          <w:color w:val="auto"/>
        </w:rPr>
        <w:fldChar w:fldCharType="begin"/>
      </w:r>
      <w:r>
        <w:rPr>
          <w:color w:val="auto"/>
        </w:rPr>
        <w:instrText xml:space="preserve"> PAGEREF _Toc13042 \h </w:instrText>
      </w:r>
      <w:r>
        <w:rPr>
          <w:color w:val="auto"/>
        </w:rPr>
        <w:fldChar w:fldCharType="separate"/>
      </w:r>
      <w:r>
        <w:rPr>
          <w:color w:val="auto"/>
        </w:rPr>
        <w:t>331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_Toc7487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8.1 </w:t>
      </w:r>
      <w:r>
        <w:rPr>
          <w:rFonts w:hint="default"/>
          <w:color w:val="auto"/>
          <w:highlight w:val="none"/>
          <w:lang w:val="en-US" w:eastAsia="zh-CN"/>
        </w:rPr>
        <w:t>环境管理</w:t>
      </w:r>
      <w:r>
        <w:rPr>
          <w:color w:val="auto"/>
        </w:rPr>
        <w:tab/>
      </w:r>
      <w:r>
        <w:rPr>
          <w:color w:val="auto"/>
        </w:rPr>
        <w:fldChar w:fldCharType="begin"/>
      </w:r>
      <w:r>
        <w:rPr>
          <w:color w:val="auto"/>
        </w:rPr>
        <w:instrText xml:space="preserve"> PAGEREF _Toc7487 \h </w:instrText>
      </w:r>
      <w:r>
        <w:rPr>
          <w:color w:val="auto"/>
        </w:rPr>
        <w:fldChar w:fldCharType="separate"/>
      </w:r>
      <w:r>
        <w:rPr>
          <w:color w:val="auto"/>
        </w:rPr>
        <w:t>331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_Toc17181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rPr>
        <w:t xml:space="preserve">8.2 </w:t>
      </w:r>
      <w:r>
        <w:rPr>
          <w:rFonts w:hint="default"/>
          <w:color w:val="auto"/>
          <w:highlight w:val="none"/>
        </w:rPr>
        <w:t>污染物排放清单</w:t>
      </w:r>
      <w:r>
        <w:rPr>
          <w:color w:val="auto"/>
        </w:rPr>
        <w:tab/>
      </w:r>
      <w:r>
        <w:rPr>
          <w:color w:val="auto"/>
        </w:rPr>
        <w:fldChar w:fldCharType="begin"/>
      </w:r>
      <w:r>
        <w:rPr>
          <w:color w:val="auto"/>
        </w:rPr>
        <w:instrText xml:space="preserve"> PAGEREF _Toc17181 \h </w:instrText>
      </w:r>
      <w:r>
        <w:rPr>
          <w:color w:val="auto"/>
        </w:rPr>
        <w:fldChar w:fldCharType="separate"/>
      </w:r>
      <w:r>
        <w:rPr>
          <w:color w:val="auto"/>
        </w:rPr>
        <w:t>340</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_Toc21799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8.3 </w:t>
      </w:r>
      <w:r>
        <w:rPr>
          <w:rFonts w:hint="default"/>
          <w:color w:val="auto"/>
          <w:lang w:val="en-US" w:eastAsia="zh-CN"/>
        </w:rPr>
        <w:t>环境监测计划</w:t>
      </w:r>
      <w:r>
        <w:rPr>
          <w:color w:val="auto"/>
        </w:rPr>
        <w:tab/>
      </w:r>
      <w:r>
        <w:rPr>
          <w:color w:val="auto"/>
        </w:rPr>
        <w:fldChar w:fldCharType="begin"/>
      </w:r>
      <w:r>
        <w:rPr>
          <w:color w:val="auto"/>
        </w:rPr>
        <w:instrText xml:space="preserve"> PAGEREF _Toc21799 \h </w:instrText>
      </w:r>
      <w:r>
        <w:rPr>
          <w:color w:val="auto"/>
        </w:rPr>
        <w:fldChar w:fldCharType="separate"/>
      </w:r>
      <w:r>
        <w:rPr>
          <w:color w:val="auto"/>
        </w:rPr>
        <w:t>343</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_Toc15946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8.4 </w:t>
      </w:r>
      <w:r>
        <w:rPr>
          <w:rFonts w:hint="default"/>
          <w:color w:val="auto"/>
          <w:highlight w:val="none"/>
          <w:lang w:val="en-US" w:eastAsia="zh-CN"/>
        </w:rPr>
        <w:t>总量控制</w:t>
      </w:r>
      <w:r>
        <w:rPr>
          <w:color w:val="auto"/>
        </w:rPr>
        <w:tab/>
      </w:r>
      <w:r>
        <w:rPr>
          <w:color w:val="auto"/>
        </w:rPr>
        <w:fldChar w:fldCharType="begin"/>
      </w:r>
      <w:r>
        <w:rPr>
          <w:color w:val="auto"/>
        </w:rPr>
        <w:instrText xml:space="preserve"> PAGEREF _Toc15946 \h </w:instrText>
      </w:r>
      <w:r>
        <w:rPr>
          <w:color w:val="auto"/>
        </w:rPr>
        <w:fldChar w:fldCharType="separate"/>
      </w:r>
      <w:r>
        <w:rPr>
          <w:color w:val="auto"/>
        </w:rPr>
        <w:t>344</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_Toc26253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8.5 </w:t>
      </w:r>
      <w:r>
        <w:rPr>
          <w:rFonts w:hint="default"/>
          <w:color w:val="auto"/>
          <w:highlight w:val="none"/>
          <w:lang w:val="en-US" w:eastAsia="zh-CN"/>
        </w:rPr>
        <w:t>排污口规范化管理</w:t>
      </w:r>
      <w:r>
        <w:rPr>
          <w:color w:val="auto"/>
        </w:rPr>
        <w:tab/>
      </w:r>
      <w:r>
        <w:rPr>
          <w:color w:val="auto"/>
        </w:rPr>
        <w:fldChar w:fldCharType="begin"/>
      </w:r>
      <w:r>
        <w:rPr>
          <w:color w:val="auto"/>
        </w:rPr>
        <w:instrText xml:space="preserve"> PAGEREF _Toc26253 \h </w:instrText>
      </w:r>
      <w:r>
        <w:rPr>
          <w:color w:val="auto"/>
        </w:rPr>
        <w:fldChar w:fldCharType="separate"/>
      </w:r>
      <w:r>
        <w:rPr>
          <w:color w:val="auto"/>
        </w:rPr>
        <w:t>345</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_Toc15986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第9章 </w:t>
      </w:r>
      <w:r>
        <w:rPr>
          <w:rFonts w:hint="default"/>
          <w:color w:val="auto"/>
          <w:lang w:val="en-US" w:eastAsia="zh-CN"/>
        </w:rPr>
        <w:t>结论与建议</w:t>
      </w:r>
      <w:r>
        <w:rPr>
          <w:color w:val="auto"/>
        </w:rPr>
        <w:tab/>
      </w:r>
      <w:r>
        <w:rPr>
          <w:color w:val="auto"/>
        </w:rPr>
        <w:fldChar w:fldCharType="begin"/>
      </w:r>
      <w:r>
        <w:rPr>
          <w:color w:val="auto"/>
        </w:rPr>
        <w:instrText xml:space="preserve"> PAGEREF _Toc15986 \h </w:instrText>
      </w:r>
      <w:r>
        <w:rPr>
          <w:color w:val="auto"/>
        </w:rPr>
        <w:fldChar w:fldCharType="separate"/>
      </w:r>
      <w:r>
        <w:rPr>
          <w:color w:val="auto"/>
        </w:rPr>
        <w:t>348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_Toc4518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9.1 </w:t>
      </w:r>
      <w:r>
        <w:rPr>
          <w:rFonts w:hint="default" w:ascii="Times New Roman" w:hAnsi="Times New Roman" w:cs="Times New Roman"/>
          <w:color w:val="auto"/>
          <w:highlight w:val="none"/>
          <w:lang w:val="en-US" w:eastAsia="zh-CN"/>
        </w:rPr>
        <w:t>项目概况</w:t>
      </w:r>
      <w:r>
        <w:rPr>
          <w:color w:val="auto"/>
        </w:rPr>
        <w:tab/>
      </w:r>
      <w:r>
        <w:rPr>
          <w:color w:val="auto"/>
        </w:rPr>
        <w:fldChar w:fldCharType="begin"/>
      </w:r>
      <w:r>
        <w:rPr>
          <w:color w:val="auto"/>
        </w:rPr>
        <w:instrText xml:space="preserve"> PAGEREF _Toc4518 \h </w:instrText>
      </w:r>
      <w:r>
        <w:rPr>
          <w:color w:val="auto"/>
        </w:rPr>
        <w:fldChar w:fldCharType="separate"/>
      </w:r>
      <w:r>
        <w:rPr>
          <w:color w:val="auto"/>
        </w:rPr>
        <w:t>348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_Toc24716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9.2 </w:t>
      </w:r>
      <w:r>
        <w:rPr>
          <w:rFonts w:hint="default" w:ascii="Times New Roman" w:hAnsi="Times New Roman" w:cs="Times New Roman"/>
          <w:color w:val="auto"/>
          <w:highlight w:val="none"/>
          <w:lang w:val="en-US" w:eastAsia="zh-CN"/>
        </w:rPr>
        <w:t>环境质量现状</w:t>
      </w:r>
      <w:r>
        <w:rPr>
          <w:color w:val="auto"/>
        </w:rPr>
        <w:tab/>
      </w:r>
      <w:r>
        <w:rPr>
          <w:color w:val="auto"/>
        </w:rPr>
        <w:fldChar w:fldCharType="begin"/>
      </w:r>
      <w:r>
        <w:rPr>
          <w:color w:val="auto"/>
        </w:rPr>
        <w:instrText xml:space="preserve"> PAGEREF _Toc24716 \h </w:instrText>
      </w:r>
      <w:r>
        <w:rPr>
          <w:color w:val="auto"/>
        </w:rPr>
        <w:fldChar w:fldCharType="separate"/>
      </w:r>
      <w:r>
        <w:rPr>
          <w:color w:val="auto"/>
        </w:rPr>
        <w:t>348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_Toc20163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9.3 </w:t>
      </w:r>
      <w:r>
        <w:rPr>
          <w:rFonts w:hint="default" w:ascii="Times New Roman" w:hAnsi="Times New Roman" w:cs="Times New Roman"/>
          <w:color w:val="auto"/>
          <w:highlight w:val="none"/>
          <w:lang w:val="en-US" w:eastAsia="zh-CN"/>
        </w:rPr>
        <w:t>污染物排放情况</w:t>
      </w:r>
      <w:r>
        <w:rPr>
          <w:color w:val="auto"/>
        </w:rPr>
        <w:tab/>
      </w:r>
      <w:r>
        <w:rPr>
          <w:color w:val="auto"/>
        </w:rPr>
        <w:fldChar w:fldCharType="begin"/>
      </w:r>
      <w:r>
        <w:rPr>
          <w:color w:val="auto"/>
        </w:rPr>
        <w:instrText xml:space="preserve"> PAGEREF _Toc20163 \h </w:instrText>
      </w:r>
      <w:r>
        <w:rPr>
          <w:color w:val="auto"/>
        </w:rPr>
        <w:fldChar w:fldCharType="separate"/>
      </w:r>
      <w:r>
        <w:rPr>
          <w:color w:val="auto"/>
        </w:rPr>
        <w:t>350</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_Toc5651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9.4 </w:t>
      </w:r>
      <w:r>
        <w:rPr>
          <w:rFonts w:hint="default" w:ascii="Times New Roman" w:hAnsi="Times New Roman" w:cs="Times New Roman"/>
          <w:color w:val="auto"/>
          <w:highlight w:val="none"/>
          <w:lang w:val="en-US" w:eastAsia="zh-CN"/>
        </w:rPr>
        <w:t>主要环境影响及采取的措施</w:t>
      </w:r>
      <w:r>
        <w:rPr>
          <w:color w:val="auto"/>
        </w:rPr>
        <w:tab/>
      </w:r>
      <w:r>
        <w:rPr>
          <w:color w:val="auto"/>
        </w:rPr>
        <w:fldChar w:fldCharType="begin"/>
      </w:r>
      <w:r>
        <w:rPr>
          <w:color w:val="auto"/>
        </w:rPr>
        <w:instrText xml:space="preserve"> PAGEREF _Toc5651 \h </w:instrText>
      </w:r>
      <w:r>
        <w:rPr>
          <w:color w:val="auto"/>
        </w:rPr>
        <w:fldChar w:fldCharType="separate"/>
      </w:r>
      <w:r>
        <w:rPr>
          <w:color w:val="auto"/>
        </w:rPr>
        <w:t>351</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_Toc25140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9.5 </w:t>
      </w:r>
      <w:r>
        <w:rPr>
          <w:rFonts w:hint="default" w:ascii="Times New Roman" w:hAnsi="Times New Roman" w:cs="Times New Roman"/>
          <w:color w:val="auto"/>
          <w:highlight w:val="none"/>
          <w:lang w:val="en-US" w:eastAsia="zh-CN"/>
        </w:rPr>
        <w:t>建设项目环境可行性</w:t>
      </w:r>
      <w:r>
        <w:rPr>
          <w:color w:val="auto"/>
        </w:rPr>
        <w:tab/>
      </w:r>
      <w:r>
        <w:rPr>
          <w:color w:val="auto"/>
        </w:rPr>
        <w:fldChar w:fldCharType="begin"/>
      </w:r>
      <w:r>
        <w:rPr>
          <w:color w:val="auto"/>
        </w:rPr>
        <w:instrText xml:space="preserve"> PAGEREF _Toc25140 \h </w:instrText>
      </w:r>
      <w:r>
        <w:rPr>
          <w:color w:val="auto"/>
        </w:rPr>
        <w:fldChar w:fldCharType="separate"/>
      </w:r>
      <w:r>
        <w:rPr>
          <w:color w:val="auto"/>
        </w:rPr>
        <w:t>355</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_Toc20433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9.6 </w:t>
      </w:r>
      <w:r>
        <w:rPr>
          <w:rFonts w:hint="default" w:ascii="Times New Roman" w:hAnsi="Times New Roman" w:cs="Times New Roman"/>
          <w:color w:val="auto"/>
          <w:highlight w:val="none"/>
          <w:lang w:val="en-US" w:eastAsia="zh-CN"/>
        </w:rPr>
        <w:t>公众参与调查分析结论</w:t>
      </w:r>
      <w:r>
        <w:rPr>
          <w:color w:val="auto"/>
        </w:rPr>
        <w:tab/>
      </w:r>
      <w:r>
        <w:rPr>
          <w:color w:val="auto"/>
        </w:rPr>
        <w:fldChar w:fldCharType="begin"/>
      </w:r>
      <w:r>
        <w:rPr>
          <w:color w:val="auto"/>
        </w:rPr>
        <w:instrText xml:space="preserve"> PAGEREF _Toc20433 \h </w:instrText>
      </w:r>
      <w:r>
        <w:rPr>
          <w:color w:val="auto"/>
        </w:rPr>
        <w:fldChar w:fldCharType="separate"/>
      </w:r>
      <w:r>
        <w:rPr>
          <w:color w:val="auto"/>
        </w:rPr>
        <w:t>357</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_Toc10350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9.7 </w:t>
      </w:r>
      <w:r>
        <w:rPr>
          <w:rFonts w:hint="default" w:ascii="Times New Roman" w:hAnsi="Times New Roman" w:cs="Times New Roman"/>
          <w:color w:val="auto"/>
          <w:highlight w:val="none"/>
          <w:lang w:val="en-US" w:eastAsia="zh-CN"/>
        </w:rPr>
        <w:t>环境影响经济损益分析</w:t>
      </w:r>
      <w:r>
        <w:rPr>
          <w:color w:val="auto"/>
        </w:rPr>
        <w:tab/>
      </w:r>
      <w:r>
        <w:rPr>
          <w:color w:val="auto"/>
        </w:rPr>
        <w:fldChar w:fldCharType="begin"/>
      </w:r>
      <w:r>
        <w:rPr>
          <w:color w:val="auto"/>
        </w:rPr>
        <w:instrText xml:space="preserve"> PAGEREF _Toc10350 \h </w:instrText>
      </w:r>
      <w:r>
        <w:rPr>
          <w:color w:val="auto"/>
        </w:rPr>
        <w:fldChar w:fldCharType="separate"/>
      </w:r>
      <w:r>
        <w:rPr>
          <w:color w:val="auto"/>
        </w:rPr>
        <w:t>357</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_Toc13294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9.8 </w:t>
      </w:r>
      <w:r>
        <w:rPr>
          <w:rFonts w:hint="default" w:ascii="Times New Roman" w:hAnsi="Times New Roman" w:cs="Times New Roman"/>
          <w:color w:val="auto"/>
          <w:highlight w:val="none"/>
          <w:lang w:val="en-US" w:eastAsia="zh-CN"/>
        </w:rPr>
        <w:t>环境管理与监测计划</w:t>
      </w:r>
      <w:r>
        <w:rPr>
          <w:color w:val="auto"/>
        </w:rPr>
        <w:tab/>
      </w:r>
      <w:r>
        <w:rPr>
          <w:color w:val="auto"/>
        </w:rPr>
        <w:fldChar w:fldCharType="begin"/>
      </w:r>
      <w:r>
        <w:rPr>
          <w:color w:val="auto"/>
        </w:rPr>
        <w:instrText xml:space="preserve"> PAGEREF _Toc13294 \h </w:instrText>
      </w:r>
      <w:r>
        <w:rPr>
          <w:color w:val="auto"/>
        </w:rPr>
        <w:fldChar w:fldCharType="separate"/>
      </w:r>
      <w:r>
        <w:rPr>
          <w:color w:val="auto"/>
        </w:rPr>
        <w:t>358</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_Toc9301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9.9 </w:t>
      </w:r>
      <w:r>
        <w:rPr>
          <w:rFonts w:hint="default" w:ascii="Times New Roman" w:hAnsi="Times New Roman" w:cs="Times New Roman"/>
          <w:color w:val="auto"/>
          <w:highlight w:val="none"/>
          <w:lang w:val="en-US" w:eastAsia="zh-CN"/>
        </w:rPr>
        <w:t>环保措施竣工验收要求</w:t>
      </w:r>
      <w:r>
        <w:rPr>
          <w:color w:val="auto"/>
        </w:rPr>
        <w:tab/>
      </w:r>
      <w:r>
        <w:rPr>
          <w:color w:val="auto"/>
        </w:rPr>
        <w:fldChar w:fldCharType="begin"/>
      </w:r>
      <w:r>
        <w:rPr>
          <w:color w:val="auto"/>
        </w:rPr>
        <w:instrText xml:space="preserve"> PAGEREF _Toc9301 \h </w:instrText>
      </w:r>
      <w:r>
        <w:rPr>
          <w:color w:val="auto"/>
        </w:rPr>
        <w:fldChar w:fldCharType="separate"/>
      </w:r>
      <w:r>
        <w:rPr>
          <w:color w:val="auto"/>
        </w:rPr>
        <w:t>359</w:t>
      </w:r>
      <w:r>
        <w:rPr>
          <w:color w:val="auto"/>
        </w:rPr>
        <w:fldChar w:fldCharType="end"/>
      </w:r>
      <w:r>
        <w:rPr>
          <w:rFonts w:hint="default" w:ascii="Times New Roman" w:hAnsi="Times New Roman" w:cs="Times New Roman"/>
          <w:color w:val="auto"/>
          <w:highlight w:val="none"/>
          <w:lang w:val="en-US" w:eastAsia="zh-CN"/>
        </w:rPr>
        <w:fldChar w:fldCharType="end"/>
      </w:r>
    </w:p>
    <w:p>
      <w:pPr>
        <w:pStyle w:val="16"/>
        <w:tabs>
          <w:tab w:val="right" w:leader="dot" w:pos="9072"/>
        </w:tabs>
        <w:spacing w:line="360" w:lineRule="auto"/>
        <w:rPr>
          <w:color w:val="auto"/>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_Toc24986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宋体"/>
          <w:color w:val="auto"/>
          <w:lang w:val="en-US" w:eastAsia="zh-CN"/>
        </w:rPr>
        <w:t xml:space="preserve">9.10 </w:t>
      </w:r>
      <w:r>
        <w:rPr>
          <w:rFonts w:hint="default" w:ascii="Times New Roman" w:hAnsi="Times New Roman" w:cs="Times New Roman"/>
          <w:color w:val="auto"/>
          <w:highlight w:val="none"/>
          <w:lang w:val="en-US" w:eastAsia="zh-CN"/>
        </w:rPr>
        <w:t>结论与建议</w:t>
      </w:r>
      <w:r>
        <w:rPr>
          <w:color w:val="auto"/>
        </w:rPr>
        <w:tab/>
      </w:r>
      <w:r>
        <w:rPr>
          <w:color w:val="auto"/>
        </w:rPr>
        <w:fldChar w:fldCharType="begin"/>
      </w:r>
      <w:r>
        <w:rPr>
          <w:color w:val="auto"/>
        </w:rPr>
        <w:instrText xml:space="preserve"> PAGEREF _Toc24986 \h </w:instrText>
      </w:r>
      <w:r>
        <w:rPr>
          <w:color w:val="auto"/>
        </w:rPr>
        <w:fldChar w:fldCharType="separate"/>
      </w:r>
      <w:r>
        <w:rPr>
          <w:color w:val="auto"/>
        </w:rPr>
        <w:t>363</w:t>
      </w:r>
      <w:r>
        <w:rPr>
          <w:color w:val="auto"/>
        </w:rPr>
        <w:fldChar w:fldCharType="end"/>
      </w:r>
      <w:r>
        <w:rPr>
          <w:rFonts w:hint="default" w:ascii="Times New Roman" w:hAnsi="Times New Roman" w:cs="Times New Roman"/>
          <w:color w:val="auto"/>
          <w:highlight w:val="none"/>
          <w:lang w:val="en-US" w:eastAsia="zh-CN"/>
        </w:rPr>
        <w:fldChar w:fldCharType="end"/>
      </w:r>
    </w:p>
    <w:p>
      <w:pPr>
        <w:pStyle w:val="15"/>
        <w:tabs>
          <w:tab w:val="right" w:leader="dot" w:pos="9072"/>
        </w:tabs>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fldChar w:fldCharType="end"/>
      </w:r>
    </w:p>
    <w:p>
      <w:pPr>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sectPr>
          <w:pgSz w:w="11906" w:h="16838"/>
          <w:pgMar w:top="1417" w:right="1417" w:bottom="1417" w:left="1417" w:header="1020" w:footer="1020" w:gutter="0"/>
          <w:pgBorders w:offsetFrom="page">
            <w:top w:val="none" w:sz="0" w:space="0"/>
            <w:left w:val="none" w:sz="0" w:space="0"/>
            <w:bottom w:val="none" w:sz="0" w:space="0"/>
            <w:right w:val="none" w:sz="0" w:space="0"/>
          </w:pgBorders>
          <w:pgNumType w:fmt="upperRoman" w:start="1"/>
          <w:cols w:space="425" w:num="1"/>
          <w:docGrid w:type="lines" w:linePitch="312" w:charSpace="0"/>
        </w:sectPr>
      </w:pPr>
    </w:p>
    <w:p>
      <w:pPr>
        <w:bidi w:val="0"/>
        <w:ind w:left="0" w:leftChars="0" w:firstLine="0" w:firstLineChars="0"/>
        <w:rPr>
          <w:rFonts w:hint="default" w:ascii="Times New Roman" w:hAnsi="Times New Roman" w:cs="Times New Roman"/>
          <w:b/>
          <w:bCs/>
          <w:color w:val="auto"/>
          <w:sz w:val="28"/>
          <w:szCs w:val="28"/>
          <w:highlight w:val="none"/>
          <w:lang w:val="en-US" w:eastAsia="zh-CN"/>
        </w:rPr>
      </w:pPr>
      <w:r>
        <w:rPr>
          <w:rFonts w:hint="default" w:ascii="Times New Roman" w:hAnsi="Times New Roman" w:cs="Times New Roman"/>
          <w:b/>
          <w:bCs/>
          <w:color w:val="auto"/>
          <w:sz w:val="28"/>
          <w:szCs w:val="28"/>
          <w:highlight w:val="none"/>
          <w:lang w:val="en-US" w:eastAsia="zh-CN"/>
        </w:rPr>
        <w:t>附图及附件：</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附件1：委托书</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附件2：</w:t>
      </w:r>
      <w:r>
        <w:rPr>
          <w:rFonts w:hint="eastAsia" w:cs="Times New Roman"/>
          <w:color w:val="auto"/>
          <w:highlight w:val="none"/>
          <w:lang w:val="en-US" w:eastAsia="zh-CN"/>
        </w:rPr>
        <w:t>营业执照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扩建项目备案表</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扩建工程土地出让合同</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检测报告</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现有工程原环评批复（霞环保[2016] 21号）</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现有工程重新环评批复（霞环保审[2019] 6号）</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现有工程排污许可证</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现有工程应急预案备案表</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w:t>
      </w:r>
      <w:r>
        <w:rPr>
          <w:rFonts w:hint="default" w:ascii="Times New Roman" w:hAnsi="Times New Roman" w:cs="Times New Roman"/>
          <w:color w:val="auto"/>
          <w:highlight w:val="none"/>
          <w:lang w:val="en-US" w:eastAsia="zh-CN"/>
        </w:rPr>
        <w:t>总量交易凭证</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11</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现有工程污泥</w:t>
      </w:r>
      <w:r>
        <w:rPr>
          <w:rFonts w:hint="default" w:ascii="Times New Roman" w:hAnsi="Times New Roman" w:cs="Times New Roman"/>
          <w:color w:val="auto"/>
          <w:highlight w:val="none"/>
          <w:lang w:val="en-US" w:eastAsia="zh-CN"/>
        </w:rPr>
        <w:t>处置协议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12</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w:t>
      </w:r>
      <w:r>
        <w:rPr>
          <w:rFonts w:hint="default" w:ascii="Times New Roman" w:hAnsi="Times New Roman" w:cs="Times New Roman"/>
          <w:color w:val="auto"/>
          <w:highlight w:val="none"/>
          <w:lang w:val="en-US" w:eastAsia="zh-CN"/>
        </w:rPr>
        <w:t>废油剂处置协议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13</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现有工程</w:t>
      </w:r>
      <w:r>
        <w:rPr>
          <w:rFonts w:hint="default" w:ascii="Times New Roman" w:hAnsi="Times New Roman" w:cs="Times New Roman"/>
          <w:color w:val="auto"/>
          <w:highlight w:val="none"/>
          <w:lang w:val="en-US" w:eastAsia="zh-CN"/>
        </w:rPr>
        <w:t>真空煅烧废渣处置协议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14</w:t>
      </w:r>
      <w:r>
        <w:rPr>
          <w:rFonts w:hint="default" w:ascii="Times New Roman" w:hAnsi="Times New Roman" w:cs="Times New Roman"/>
          <w:color w:val="auto"/>
          <w:highlight w:val="none"/>
          <w:lang w:val="en-US" w:eastAsia="zh-CN"/>
        </w:rPr>
        <w:t>：现有工程新增锅炉环评批复</w:t>
      </w:r>
      <w:r>
        <w:rPr>
          <w:rFonts w:hint="eastAsia" w:cs="Times New Roman"/>
          <w:color w:val="auto"/>
          <w:highlight w:val="none"/>
          <w:lang w:val="en-US" w:eastAsia="zh-CN"/>
        </w:rPr>
        <w:t>（霞环保审[2021] 33号）</w:t>
      </w:r>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附件15：现有工程新增锅炉总量指标确认意见函（霞环保函[2021] 58号）</w:t>
      </w:r>
    </w:p>
    <w:p>
      <w:pPr>
        <w:bidi w:val="0"/>
        <w:rPr>
          <w:rFonts w:hint="eastAsia" w:cs="Times New Roman"/>
          <w:color w:val="auto"/>
          <w:highlight w:val="none"/>
          <w:lang w:val="en-US" w:eastAsia="zh-CN"/>
        </w:rPr>
      </w:pPr>
      <w:r>
        <w:rPr>
          <w:rFonts w:hint="eastAsia" w:cs="Times New Roman"/>
          <w:color w:val="auto"/>
          <w:highlight w:val="none"/>
          <w:lang w:val="en-US" w:eastAsia="zh-CN"/>
        </w:rPr>
        <w:t>附件16：规划环评批复及审查意见</w:t>
      </w:r>
    </w:p>
    <w:p>
      <w:pPr>
        <w:bidi w:val="0"/>
        <w:rPr>
          <w:rFonts w:hint="eastAsia" w:cs="Times New Roman"/>
          <w:color w:val="auto"/>
          <w:highlight w:val="none"/>
          <w:lang w:val="en-US" w:eastAsia="zh-CN"/>
        </w:rPr>
      </w:pPr>
      <w:r>
        <w:rPr>
          <w:rFonts w:hint="eastAsia" w:cs="Times New Roman"/>
          <w:color w:val="auto"/>
          <w:highlight w:val="none"/>
          <w:lang w:val="en-US" w:eastAsia="zh-CN"/>
        </w:rPr>
        <w:t>附件17：现有工程验收凭证</w:t>
      </w:r>
    </w:p>
    <w:p>
      <w:pPr>
        <w:bidi w:val="0"/>
        <w:rPr>
          <w:rFonts w:hint="eastAsia" w:cs="Times New Roman"/>
          <w:color w:val="auto"/>
          <w:highlight w:val="none"/>
          <w:lang w:val="en-US" w:eastAsia="zh-CN"/>
        </w:rPr>
      </w:pPr>
      <w:r>
        <w:rPr>
          <w:rFonts w:hint="eastAsia" w:cs="Times New Roman"/>
          <w:color w:val="auto"/>
          <w:highlight w:val="none"/>
          <w:lang w:val="en-US" w:eastAsia="zh-CN"/>
        </w:rPr>
        <w:t>附件18：专家评审意见及修改说明</w:t>
      </w:r>
    </w:p>
    <w:p>
      <w:pPr>
        <w:bidi w:val="0"/>
        <w:rPr>
          <w:rFonts w:hint="default" w:cs="Times New Roman"/>
          <w:color w:val="auto"/>
          <w:highlight w:val="none"/>
          <w:lang w:val="en-US" w:eastAsia="zh-CN"/>
        </w:rPr>
      </w:pPr>
      <w:r>
        <w:rPr>
          <w:rFonts w:hint="eastAsia" w:cs="Times New Roman"/>
          <w:color w:val="auto"/>
          <w:highlight w:val="none"/>
          <w:lang w:val="en-US" w:eastAsia="zh-CN"/>
        </w:rPr>
        <w:t>附件19：专家组长复审意见及修改说明</w:t>
      </w:r>
    </w:p>
    <w:p>
      <w:pPr>
        <w:bidi w:val="0"/>
        <w:rPr>
          <w:rFonts w:hint="default" w:cs="Times New Roman"/>
          <w:color w:val="auto"/>
          <w:highlight w:val="none"/>
          <w:lang w:val="en-US" w:eastAsia="zh-CN"/>
        </w:rPr>
      </w:pP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附图1：前纺楼1层车间平面布置图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：前纺楼</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层车间平面布置图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：前纺楼</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层车间平面布置图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：前纺楼</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层车间平面布置图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：前纺楼</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层车间平面布置图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：前纺楼</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层车间平面布置图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后纺楼</w:t>
      </w:r>
      <w:r>
        <w:rPr>
          <w:rFonts w:hint="default" w:ascii="Times New Roman" w:hAnsi="Times New Roman" w:cs="Times New Roman"/>
          <w:color w:val="auto"/>
          <w:highlight w:val="none"/>
          <w:lang w:val="en-US" w:eastAsia="zh-CN"/>
        </w:rPr>
        <w:t>车间平面布置图</w:t>
      </w:r>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附图8：扩建工程总平面布置图</w:t>
      </w:r>
    </w:p>
    <w:p>
      <w:pPr>
        <w:bidi w:val="0"/>
        <w:ind w:left="0" w:leftChars="0" w:firstLine="0" w:firstLineChars="0"/>
        <w:rPr>
          <w:rFonts w:hint="eastAsia" w:cs="Times New Roman"/>
          <w:b/>
          <w:bCs/>
          <w:color w:val="auto"/>
          <w:sz w:val="28"/>
          <w:szCs w:val="28"/>
          <w:highlight w:val="none"/>
          <w:lang w:val="en-US" w:eastAsia="zh-CN"/>
        </w:rPr>
      </w:pPr>
      <w:r>
        <w:rPr>
          <w:rFonts w:hint="eastAsia" w:cs="Times New Roman"/>
          <w:b/>
          <w:bCs/>
          <w:color w:val="auto"/>
          <w:sz w:val="28"/>
          <w:szCs w:val="28"/>
          <w:highlight w:val="none"/>
          <w:lang w:val="en-US" w:eastAsia="zh-CN"/>
        </w:rPr>
        <w:t>附表：</w:t>
      </w:r>
    </w:p>
    <w:p>
      <w:pPr>
        <w:bidi w:val="0"/>
        <w:rPr>
          <w:rFonts w:hint="default"/>
          <w:color w:val="auto"/>
          <w:highlight w:val="none"/>
          <w:lang w:val="en-US" w:eastAsia="zh-CN"/>
        </w:rPr>
      </w:pPr>
      <w:r>
        <w:rPr>
          <w:rFonts w:hint="eastAsia"/>
          <w:color w:val="auto"/>
          <w:highlight w:val="none"/>
          <w:lang w:val="en-US" w:eastAsia="zh-CN"/>
        </w:rPr>
        <w:t>建设项目环境影响报告书审批基础信息表</w:t>
      </w:r>
    </w:p>
    <w:p>
      <w:pPr>
        <w:keepNext w:val="0"/>
        <w:keepLines w:val="0"/>
        <w:pageBreakBefore w:val="0"/>
        <w:widowControl w:val="0"/>
        <w:kinsoku/>
        <w:wordWrap/>
        <w:overflowPunct/>
        <w:topLinePunct w:val="0"/>
        <w:autoSpaceDE/>
        <w:autoSpaceDN/>
        <w:bidi w:val="0"/>
        <w:adjustRightInd/>
        <w:snapToGrid/>
        <w:spacing w:line="120" w:lineRule="auto"/>
        <w:ind w:left="0" w:leftChars="0" w:firstLine="0" w:firstLineChars="0"/>
        <w:textAlignment w:val="auto"/>
        <w:rPr>
          <w:rFonts w:hint="default" w:ascii="Times New Roman" w:hAnsi="Times New Roman" w:cs="Times New Roman"/>
          <w:color w:val="auto"/>
          <w:highlight w:val="none"/>
          <w:lang w:val="en-US" w:eastAsia="zh-CN"/>
        </w:rPr>
        <w:sectPr>
          <w:footerReference r:id="rId5" w:type="default"/>
          <w:pgSz w:w="11906" w:h="16838"/>
          <w:pgMar w:top="1417" w:right="1417" w:bottom="1417" w:left="1417" w:header="1020" w:footer="1020" w:gutter="0"/>
          <w:pgBorders w:offsetFrom="page">
            <w:top w:val="none" w:sz="0" w:space="0"/>
            <w:left w:val="none" w:sz="0" w:space="0"/>
            <w:bottom w:val="none" w:sz="0" w:space="0"/>
            <w:right w:val="none" w:sz="0" w:space="0"/>
          </w:pgBorders>
          <w:pgNumType w:fmt="upperRoman"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120" w:lineRule="auto"/>
        <w:ind w:left="0" w:leftChars="0" w:firstLine="0" w:firstLineChars="0"/>
        <w:textAlignment w:val="auto"/>
        <w:rPr>
          <w:rFonts w:hint="default" w:ascii="Times New Roman" w:hAnsi="Times New Roman" w:cs="Times New Roman"/>
          <w:color w:val="auto"/>
          <w:highlight w:val="none"/>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cs="Times New Roman"/>
          <w:color w:val="auto"/>
          <w:highlight w:val="none"/>
          <w:lang w:val="en-US" w:eastAsia="zh-CN"/>
        </w:rPr>
      </w:pPr>
      <w:bookmarkStart w:id="4" w:name="_Toc10268"/>
      <w:bookmarkStart w:id="5" w:name="_Toc15048"/>
      <w:bookmarkStart w:id="6" w:name="_Toc60"/>
      <w:bookmarkStart w:id="7" w:name="_Toc32388"/>
      <w:r>
        <w:rPr>
          <w:rFonts w:hint="default" w:ascii="Times New Roman" w:hAnsi="Times New Roman" w:cs="Times New Roman"/>
          <w:color w:val="auto"/>
          <w:highlight w:val="none"/>
          <w:lang w:val="en-US" w:eastAsia="zh-CN"/>
        </w:rPr>
        <w:t>概  述</w:t>
      </w:r>
      <w:bookmarkEnd w:id="4"/>
      <w:bookmarkEnd w:id="5"/>
      <w:bookmarkEnd w:id="6"/>
      <w:bookmarkEnd w:id="7"/>
    </w:p>
    <w:p>
      <w:pPr>
        <w:pStyle w:val="3"/>
        <w:numPr>
          <w:ilvl w:val="1"/>
          <w:numId w:val="0"/>
        </w:numPr>
        <w:tabs>
          <w:tab w:val="clear" w:pos="0"/>
        </w:tabs>
        <w:bidi w:val="0"/>
        <w:ind w:leftChars="0"/>
        <w:rPr>
          <w:rFonts w:hint="default" w:ascii="Times New Roman" w:hAnsi="Times New Roman" w:cs="Times New Roman"/>
          <w:color w:val="auto"/>
          <w:highlight w:val="none"/>
          <w:lang w:val="en-US" w:eastAsia="zh-CN"/>
        </w:rPr>
      </w:pPr>
      <w:bookmarkStart w:id="8" w:name="_Toc1193"/>
      <w:bookmarkStart w:id="9" w:name="_Toc3888"/>
      <w:bookmarkStart w:id="10" w:name="_Toc6028"/>
      <w:bookmarkStart w:id="11" w:name="_Toc27179"/>
      <w:r>
        <w:rPr>
          <w:rFonts w:hint="default" w:ascii="Times New Roman" w:hAnsi="Times New Roman" w:cs="Times New Roman"/>
          <w:color w:val="auto"/>
          <w:highlight w:val="none"/>
          <w:lang w:val="en-US" w:eastAsia="zh-CN"/>
        </w:rPr>
        <w:t>1 项目特点</w:t>
      </w:r>
      <w:bookmarkEnd w:id="8"/>
      <w:bookmarkEnd w:id="9"/>
      <w:bookmarkEnd w:id="10"/>
      <w:bookmarkEnd w:id="11"/>
    </w:p>
    <w:p>
      <w:pPr>
        <w:pStyle w:val="4"/>
        <w:numPr>
          <w:ilvl w:val="2"/>
          <w:numId w:val="0"/>
        </w:numPr>
        <w:tabs>
          <w:tab w:val="left" w:pos="420"/>
          <w:tab w:val="clear" w:pos="0"/>
        </w:tabs>
        <w:bidi w:val="0"/>
        <w:ind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 项目背景</w:t>
      </w:r>
    </w:p>
    <w:p>
      <w:pPr>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highlight w:val="none"/>
          <w:lang w:val="en-US" w:eastAsia="zh-CN"/>
        </w:rPr>
        <w:t>宁德市</w:t>
      </w:r>
      <w:r>
        <w:rPr>
          <w:rFonts w:hint="default" w:ascii="Times New Roman" w:hAnsi="Times New Roman" w:cs="Times New Roman"/>
          <w:color w:val="auto"/>
          <w:highlight w:val="none"/>
          <w:lang w:eastAsia="zh-CN"/>
        </w:rPr>
        <w:t>霞浦县牙城</w:t>
      </w:r>
      <w:r>
        <w:rPr>
          <w:rFonts w:hint="default" w:ascii="Times New Roman" w:hAnsi="Times New Roman" w:cs="Times New Roman"/>
          <w:color w:val="auto"/>
          <w:highlight w:val="none"/>
          <w:lang w:val="en-US" w:eastAsia="zh-CN"/>
        </w:rPr>
        <w:t>镇工业园</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原</w:t>
      </w:r>
      <w:r>
        <w:rPr>
          <w:rFonts w:hint="default" w:ascii="Times New Roman" w:hAnsi="Times New Roman" w:cs="Times New Roman"/>
          <w:color w:val="auto"/>
          <w:highlight w:val="none"/>
          <w:lang w:eastAsia="zh-CN"/>
        </w:rPr>
        <w:t>霞浦县牙城镇东洋工业园），</w:t>
      </w:r>
      <w:r>
        <w:rPr>
          <w:rFonts w:hint="default" w:ascii="Times New Roman" w:hAnsi="Times New Roman" w:eastAsia="宋体" w:cs="Times New Roman"/>
          <w:color w:val="auto"/>
          <w:highlight w:val="none"/>
          <w:lang w:val="en-US" w:eastAsia="zh-CN"/>
        </w:rPr>
        <w:t>公司成立于2014年10月11日，</w:t>
      </w:r>
      <w:r>
        <w:rPr>
          <w:rFonts w:hint="default" w:ascii="Times New Roman" w:hAnsi="Times New Roman" w:cs="Times New Roman"/>
          <w:color w:val="auto"/>
          <w:highlight w:val="none"/>
          <w:lang w:val="en-US" w:eastAsia="zh-CN"/>
        </w:rPr>
        <w:t>主</w:t>
      </w:r>
      <w:r>
        <w:rPr>
          <w:rFonts w:hint="default" w:ascii="Times New Roman" w:hAnsi="Times New Roman" w:eastAsia="宋体" w:cs="Times New Roman"/>
          <w:color w:val="auto"/>
          <w:highlight w:val="none"/>
          <w:lang w:val="en-US" w:eastAsia="zh-CN"/>
        </w:rPr>
        <w:t>要利用涤纶织物下脚料、瓶片等生产PET再生纤维。PET纤维作为合成纤维的一个重要品种，可以广泛应用于家纺用品睡袋、靠垫、无胶棉、喷胶棉、仿丝棉沙发、玩具等的填充物，并可应用于非织造布、土工材料、造纸、复合材料的填充料等领域，应用市场覆盖非织造布、地毯、家纺、汽车用纺织品等领域。</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2016年10月</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该公司</w:t>
      </w:r>
      <w:r>
        <w:rPr>
          <w:rFonts w:hint="default" w:ascii="Times New Roman" w:hAnsi="Times New Roman" w:cs="Times New Roman"/>
          <w:color w:val="auto"/>
          <w:highlight w:val="none"/>
        </w:rPr>
        <w:t>委托北京中环瑞德环境工程技术有限公司编制《福建闽宏纤维有限公司年产3万吨的PET再生纤维项目环境影响报告书》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于</w:t>
      </w:r>
      <w:r>
        <w:rPr>
          <w:rFonts w:hint="default" w:ascii="Times New Roman" w:hAnsi="Times New Roman" w:eastAsia="宋体" w:cs="Times New Roman"/>
          <w:color w:val="auto"/>
          <w:sz w:val="24"/>
          <w:highlight w:val="none"/>
          <w:lang w:val="en-US" w:eastAsia="zh-CN"/>
        </w:rPr>
        <w:t>2016年10月31</w:t>
      </w:r>
      <w:r>
        <w:rPr>
          <w:rFonts w:hint="default" w:ascii="Times New Roman" w:hAnsi="Times New Roman" w:cs="Times New Roman"/>
          <w:color w:val="auto"/>
          <w:sz w:val="24"/>
          <w:highlight w:val="none"/>
          <w:lang w:val="en-US" w:eastAsia="zh-CN"/>
        </w:rPr>
        <w:t>日</w:t>
      </w:r>
      <w:r>
        <w:rPr>
          <w:rFonts w:hint="default" w:ascii="Times New Roman" w:hAnsi="Times New Roman" w:cs="Times New Roman"/>
          <w:color w:val="auto"/>
          <w:highlight w:val="none"/>
          <w:lang w:val="en-US" w:eastAsia="zh-CN"/>
        </w:rPr>
        <w:t>获得了宁德市霞浦生态环境局（原</w:t>
      </w:r>
      <w:r>
        <w:rPr>
          <w:rFonts w:hint="default" w:ascii="Times New Roman" w:hAnsi="Times New Roman" w:cs="Times New Roman"/>
          <w:color w:val="auto"/>
          <w:highlight w:val="none"/>
        </w:rPr>
        <w:t>霞浦县环境保护局</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的批复（霞环保</w:t>
      </w:r>
      <w:r>
        <w:rPr>
          <w:rFonts w:hint="default" w:ascii="Times New Roman" w:hAnsi="Times New Roman" w:cs="Times New Roman"/>
          <w:color w:val="auto"/>
          <w:highlight w:val="none"/>
          <w:lang w:val="en-US" w:eastAsia="zh-CN"/>
        </w:rPr>
        <w:t>监[</w:t>
      </w:r>
      <w:r>
        <w:rPr>
          <w:rFonts w:hint="default" w:ascii="Times New Roman" w:hAnsi="Times New Roman" w:cs="Times New Roman"/>
          <w:color w:val="auto"/>
          <w:highlight w:val="none"/>
        </w:rPr>
        <w:t>2016</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2</w:t>
      </w:r>
      <w:r>
        <w:rPr>
          <w:rFonts w:hint="default" w:ascii="Times New Roman" w:hAnsi="Times New Roman" w:cs="Times New Roman"/>
          <w:b w:val="0"/>
          <w:bCs w:val="0"/>
          <w:color w:val="auto"/>
          <w:highlight w:val="none"/>
        </w:rPr>
        <w:t>1号）</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见</w:t>
      </w:r>
      <w:r>
        <w:rPr>
          <w:rFonts w:hint="default" w:ascii="Times New Roman" w:hAnsi="Times New Roman" w:cs="Times New Roman"/>
          <w:b w:val="0"/>
          <w:bCs w:val="0"/>
          <w:color w:val="auto"/>
          <w:highlight w:val="none"/>
        </w:rPr>
        <w:t>附件</w:t>
      </w:r>
      <w:r>
        <w:rPr>
          <w:rFonts w:hint="eastAsia" w:cs="Times New Roman"/>
          <w:b w:val="0"/>
          <w:bCs w:val="0"/>
          <w:color w:val="auto"/>
          <w:highlight w:val="none"/>
          <w:lang w:val="en-US" w:eastAsia="zh-CN"/>
        </w:rPr>
        <w:t>6</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后期</w:t>
      </w:r>
      <w:r>
        <w:rPr>
          <w:rFonts w:hint="default" w:ascii="Times New Roman" w:hAnsi="Times New Roman" w:cs="Times New Roman"/>
          <w:b w:val="0"/>
          <w:bCs w:val="0"/>
          <w:color w:val="auto"/>
          <w:highlight w:val="none"/>
        </w:rPr>
        <w:t>由于</w:t>
      </w:r>
      <w:r>
        <w:rPr>
          <w:rFonts w:hint="default" w:ascii="Times New Roman" w:hAnsi="Times New Roman" w:cs="Times New Roman"/>
          <w:b w:val="0"/>
          <w:bCs w:val="0"/>
          <w:color w:val="auto"/>
          <w:highlight w:val="none"/>
          <w:lang w:val="en-US" w:eastAsia="zh-CN"/>
        </w:rPr>
        <w:t>项目</w:t>
      </w:r>
      <w:r>
        <w:rPr>
          <w:rFonts w:hint="default" w:ascii="Times New Roman" w:hAnsi="Times New Roman" w:cs="Times New Roman"/>
          <w:b w:val="0"/>
          <w:bCs w:val="0"/>
          <w:color w:val="auto"/>
          <w:highlight w:val="none"/>
        </w:rPr>
        <w:t>生产设备工序、生产工艺和总平</w:t>
      </w:r>
      <w:r>
        <w:rPr>
          <w:rFonts w:hint="default" w:ascii="Times New Roman" w:hAnsi="Times New Roman" w:cs="Times New Roman"/>
          <w:b w:val="0"/>
          <w:bCs w:val="0"/>
          <w:color w:val="auto"/>
          <w:highlight w:val="none"/>
          <w:lang w:val="en-US" w:eastAsia="zh-CN"/>
        </w:rPr>
        <w:t>面布置图</w:t>
      </w:r>
      <w:r>
        <w:rPr>
          <w:rFonts w:hint="default" w:ascii="Times New Roman" w:hAnsi="Times New Roman" w:cs="Times New Roman"/>
          <w:b w:val="0"/>
          <w:bCs w:val="0"/>
          <w:color w:val="auto"/>
          <w:highlight w:val="none"/>
        </w:rPr>
        <w:t>发生变更，根据《中国人民共和国环境影响评价法》第二十四条规定建设单位应当重新报批环评文件，</w:t>
      </w:r>
      <w:r>
        <w:rPr>
          <w:rFonts w:hint="default" w:ascii="Times New Roman" w:hAnsi="Times New Roman" w:cs="Times New Roman"/>
          <w:b w:val="0"/>
          <w:bCs w:val="0"/>
          <w:color w:val="auto"/>
          <w:highlight w:val="none"/>
          <w:lang w:val="en-US" w:eastAsia="zh-CN"/>
        </w:rPr>
        <w:t>并</w:t>
      </w:r>
      <w:r>
        <w:rPr>
          <w:rFonts w:hint="default" w:ascii="Times New Roman" w:hAnsi="Times New Roman" w:cs="Times New Roman"/>
          <w:b w:val="0"/>
          <w:bCs w:val="0"/>
          <w:color w:val="auto"/>
          <w:highlight w:val="none"/>
        </w:rPr>
        <w:t>于2018年1月22日委托福建省环境保护</w:t>
      </w:r>
      <w:r>
        <w:rPr>
          <w:rFonts w:hint="default" w:ascii="Times New Roman" w:hAnsi="Times New Roman" w:cs="Times New Roman"/>
          <w:b w:val="0"/>
          <w:bCs w:val="0"/>
          <w:color w:val="auto"/>
          <w:highlight w:val="none"/>
          <w:lang w:val="en-US" w:eastAsia="zh-CN"/>
        </w:rPr>
        <w:t>股份</w:t>
      </w:r>
      <w:r>
        <w:rPr>
          <w:rFonts w:hint="default" w:ascii="Times New Roman" w:hAnsi="Times New Roman" w:cs="Times New Roman"/>
          <w:b w:val="0"/>
          <w:bCs w:val="0"/>
          <w:color w:val="auto"/>
          <w:highlight w:val="none"/>
        </w:rPr>
        <w:t>公司编制《年产3万吨的PET再生纤维项目环境影响报告书》，向</w:t>
      </w:r>
      <w:r>
        <w:rPr>
          <w:rFonts w:hint="default" w:ascii="Times New Roman" w:hAnsi="Times New Roman" w:cs="Times New Roman"/>
          <w:b w:val="0"/>
          <w:bCs w:val="0"/>
          <w:color w:val="auto"/>
          <w:highlight w:val="none"/>
          <w:lang w:val="en-US" w:eastAsia="zh-CN"/>
        </w:rPr>
        <w:t>宁德市霞浦生态环境局（原</w:t>
      </w:r>
      <w:r>
        <w:rPr>
          <w:rFonts w:hint="default" w:ascii="Times New Roman" w:hAnsi="Times New Roman" w:cs="Times New Roman"/>
          <w:b w:val="0"/>
          <w:bCs w:val="0"/>
          <w:color w:val="auto"/>
          <w:highlight w:val="none"/>
        </w:rPr>
        <w:t>霞浦县环境保护局</w:t>
      </w:r>
      <w:r>
        <w:rPr>
          <w:rFonts w:hint="default" w:ascii="Times New Roman" w:hAnsi="Times New Roman" w:cs="Times New Roman"/>
          <w:b w:val="0"/>
          <w:bCs w:val="0"/>
          <w:color w:val="auto"/>
          <w:highlight w:val="none"/>
          <w:lang w:val="en-US" w:eastAsia="zh-CN"/>
        </w:rPr>
        <w:t>）</w:t>
      </w:r>
      <w:r>
        <w:rPr>
          <w:rFonts w:hint="default" w:ascii="Times New Roman" w:hAnsi="Times New Roman" w:cs="Times New Roman"/>
          <w:b w:val="0"/>
          <w:bCs w:val="0"/>
          <w:color w:val="auto"/>
          <w:highlight w:val="none"/>
        </w:rPr>
        <w:t>申请重新环评，于2019年2月14日取得环评批复（霞环保审</w:t>
      </w:r>
      <w:r>
        <w:rPr>
          <w:rFonts w:hint="default" w:ascii="Times New Roman" w:hAnsi="Times New Roman" w:cs="Times New Roman"/>
          <w:b w:val="0"/>
          <w:bCs w:val="0"/>
          <w:color w:val="auto"/>
          <w:highlight w:val="none"/>
          <w:lang w:val="en-US" w:eastAsia="zh-CN"/>
        </w:rPr>
        <w:t>[</w:t>
      </w:r>
      <w:r>
        <w:rPr>
          <w:rFonts w:hint="default" w:ascii="Times New Roman" w:hAnsi="Times New Roman" w:cs="Times New Roman"/>
          <w:b w:val="0"/>
          <w:bCs w:val="0"/>
          <w:color w:val="auto"/>
          <w:highlight w:val="none"/>
        </w:rPr>
        <w:t>2019</w:t>
      </w:r>
      <w:r>
        <w:rPr>
          <w:rFonts w:hint="default" w:ascii="Times New Roman" w:hAnsi="Times New Roman" w:cs="Times New Roman"/>
          <w:b w:val="0"/>
          <w:bCs w:val="0"/>
          <w:color w:val="auto"/>
          <w:highlight w:val="none"/>
          <w:lang w:val="en-US" w:eastAsia="zh-CN"/>
        </w:rPr>
        <w:t xml:space="preserve">] </w:t>
      </w:r>
      <w:r>
        <w:rPr>
          <w:rFonts w:hint="default" w:ascii="Times New Roman" w:hAnsi="Times New Roman" w:cs="Times New Roman"/>
          <w:b w:val="0"/>
          <w:bCs w:val="0"/>
          <w:color w:val="auto"/>
          <w:highlight w:val="none"/>
        </w:rPr>
        <w:t>6号）</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见</w:t>
      </w:r>
      <w:r>
        <w:rPr>
          <w:rFonts w:hint="default" w:ascii="Times New Roman" w:hAnsi="Times New Roman" w:cs="Times New Roman"/>
          <w:b w:val="0"/>
          <w:bCs w:val="0"/>
          <w:color w:val="auto"/>
          <w:highlight w:val="none"/>
        </w:rPr>
        <w:t>附件</w:t>
      </w:r>
      <w:r>
        <w:rPr>
          <w:rFonts w:hint="eastAsia" w:cs="Times New Roman"/>
          <w:b w:val="0"/>
          <w:bCs w:val="0"/>
          <w:color w:val="auto"/>
          <w:highlight w:val="none"/>
          <w:lang w:val="en-US" w:eastAsia="zh-CN"/>
        </w:rPr>
        <w:t>7</w:t>
      </w:r>
      <w:r>
        <w:rPr>
          <w:rFonts w:hint="default" w:ascii="Times New Roman" w:hAnsi="Times New Roman" w:cs="Times New Roman"/>
          <w:b w:val="0"/>
          <w:bCs w:val="0"/>
          <w:color w:val="auto"/>
          <w:highlight w:val="none"/>
          <w:lang w:val="en-US" w:eastAsia="zh-CN"/>
        </w:rPr>
        <w:t>。该</w:t>
      </w:r>
      <w:r>
        <w:rPr>
          <w:rFonts w:hint="default" w:ascii="Times New Roman" w:hAnsi="Times New Roman" w:cs="Times New Roman"/>
          <w:color w:val="auto"/>
          <w:highlight w:val="none"/>
        </w:rPr>
        <w:t>项目分两期建设，其中一期工程</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rPr>
        <w:t>年产1.2万</w:t>
      </w:r>
      <w:r>
        <w:rPr>
          <w:rFonts w:hint="default" w:ascii="Times New Roman" w:hAnsi="Times New Roman" w:cs="Times New Roman"/>
          <w:color w:val="auto"/>
          <w:highlight w:val="none"/>
          <w:lang w:val="en-US" w:eastAsia="zh-CN"/>
        </w:rPr>
        <w:t>吨的PET再生纤维，已于2019年3月完成了竣工环境保护自主验收</w:t>
      </w:r>
      <w:r>
        <w:rPr>
          <w:rFonts w:hint="default" w:ascii="Times New Roman" w:hAnsi="Times New Roman" w:cs="Times New Roman"/>
          <w:color w:val="auto"/>
          <w:highlight w:val="none"/>
        </w:rPr>
        <w:t>；二期工程为年产1.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万</w:t>
      </w:r>
      <w:r>
        <w:rPr>
          <w:rFonts w:hint="default" w:ascii="Times New Roman" w:hAnsi="Times New Roman" w:cs="Times New Roman"/>
          <w:color w:val="auto"/>
          <w:highlight w:val="none"/>
          <w:lang w:val="en-US" w:eastAsia="zh-CN"/>
        </w:rPr>
        <w:t>吨的PET再生纤维，已于2021年9月完成了竣工环境保护自主验收。目前，公司已投产总产能为年产3万吨PET再生纤维。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2021年3月，建设单位为提高产品质量，在保持现有工程产能不变的前提下，拟新增1台6 t/h的天然气锅炉用于二期工程中造粒生产线供热。为此，建设单位于2021年3月委托福建省闽创环保科技有限公司编制了《闽宏年产3万吨PET再生纤维技改项目环境影响报告表》并于2021年7月2日取得了宁德市霞浦生态环境局的批复（霞环保审〔</w:t>
      </w:r>
      <w:r>
        <w:rPr>
          <w:rFonts w:hint="default" w:ascii="Times New Roman" w:hAnsi="Times New Roman" w:cs="Times New Roman"/>
          <w:color w:val="auto"/>
          <w:highlight w:val="none"/>
        </w:rPr>
        <w:t>20</w:t>
      </w:r>
      <w:r>
        <w:rPr>
          <w:rFonts w:hint="default" w:ascii="Times New Roman" w:hAnsi="Times New Roman" w:cs="Times New Roman"/>
          <w:color w:val="auto"/>
          <w:highlight w:val="none"/>
          <w:lang w:val="en-US" w:eastAsia="zh-CN"/>
        </w:rPr>
        <w:t>21〕</w:t>
      </w:r>
      <w:r>
        <w:rPr>
          <w:rFonts w:hint="default" w:ascii="Times New Roman" w:hAnsi="Times New Roman" w:cs="Times New Roman"/>
          <w:b w:val="0"/>
          <w:bCs w:val="0"/>
          <w:color w:val="auto"/>
          <w:highlight w:val="none"/>
          <w:lang w:val="en-US" w:eastAsia="zh-CN"/>
        </w:rPr>
        <w:t>33</w:t>
      </w:r>
      <w:r>
        <w:rPr>
          <w:rFonts w:hint="default" w:ascii="Times New Roman" w:hAnsi="Times New Roman" w:cs="Times New Roman"/>
          <w:b w:val="0"/>
          <w:bCs w:val="0"/>
          <w:color w:val="auto"/>
          <w:highlight w:val="none"/>
        </w:rPr>
        <w:t>号</w:t>
      </w:r>
      <w:r>
        <w:rPr>
          <w:rFonts w:hint="default" w:ascii="Times New Roman" w:hAnsi="Times New Roman" w:cs="Times New Roman"/>
          <w:color w:val="auto"/>
          <w:highlight w:val="none"/>
          <w:lang w:val="en-US" w:eastAsia="zh-CN"/>
        </w:rPr>
        <w:t>），详见附件</w:t>
      </w:r>
      <w:r>
        <w:rPr>
          <w:rFonts w:hint="eastAsia" w:cs="Times New Roman"/>
          <w:color w:val="auto"/>
          <w:highlight w:val="none"/>
          <w:lang w:val="en-US" w:eastAsia="zh-CN"/>
        </w:rPr>
        <w:t>14</w:t>
      </w:r>
      <w:r>
        <w:rPr>
          <w:rFonts w:hint="default" w:ascii="Times New Roman" w:hAnsi="Times New Roman" w:cs="Times New Roman"/>
          <w:color w:val="auto"/>
          <w:highlight w:val="none"/>
          <w:lang w:val="en-US" w:eastAsia="zh-CN"/>
        </w:rPr>
        <w:t>，目前未建设。</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近年来，随着国内经济持续快速增长和国内居民消费能力的不断提高，国内地区涤纶纤维的需求量也不断增长。根据《化纤工业“十三五”发展指导意见》中相关要求，化学纤维工业在“十三五”期间要继续保持稳步健康增长，到2020年，涤纶、锦纶、再生纤维素纤维等常规纤维品种技术水平继续保持世界领先地位，市场前景广阔。基于此背景，福建闽宏纤维有限公司于宁德市</w:t>
      </w:r>
      <w:r>
        <w:rPr>
          <w:rFonts w:hint="default" w:ascii="Times New Roman" w:hAnsi="Times New Roman" w:cs="Times New Roman"/>
          <w:color w:val="auto"/>
          <w:highlight w:val="none"/>
          <w:lang w:eastAsia="zh-CN"/>
        </w:rPr>
        <w:t>霞浦县牙城</w:t>
      </w:r>
      <w:r>
        <w:rPr>
          <w:rFonts w:hint="default" w:ascii="Times New Roman" w:hAnsi="Times New Roman" w:cs="Times New Roman"/>
          <w:color w:val="auto"/>
          <w:highlight w:val="none"/>
          <w:lang w:val="en-US" w:eastAsia="zh-CN"/>
        </w:rPr>
        <w:t>镇工业园征地22772.5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（合34.159亩），扩建2条PET再生纤维生产线，建设年产5万吨PET再生纤维，项目总投资1.5亿元，项目用地性质为工业用地，计划建设周期为48个月。</w:t>
      </w:r>
    </w:p>
    <w:p>
      <w:pPr>
        <w:keepNext w:val="0"/>
        <w:keepLines w:val="0"/>
        <w:widowControl/>
        <w:suppressLineNumbers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根据《建设项目环境影响评价分类管理名录》（2021年版）有关规定，本项目属于</w:t>
      </w:r>
      <w:r>
        <w:rPr>
          <w:rFonts w:hint="default" w:ascii="Times New Roman" w:hAnsi="Times New Roman" w:cs="Times New Roman"/>
          <w:b w:val="0"/>
          <w:bCs w:val="0"/>
          <w:color w:val="auto"/>
          <w:highlight w:val="none"/>
          <w:lang w:val="en-US" w:eastAsia="zh-CN"/>
        </w:rPr>
        <w:t>“二十五、化学纤维制造业28”中“50 合成纤维制造282-全部（单纯纺丝、单纯丙纶纤维制造的除外）”和“三十九、废弃资源综合利用业42”中“非金属废料和碎屑加工处理422-废塑料”。根据</w:t>
      </w:r>
      <w:r>
        <w:rPr>
          <w:rFonts w:hint="default" w:ascii="Times New Roman" w:hAnsi="Times New Roman" w:cs="Times New Roman"/>
          <w:color w:val="auto"/>
          <w:highlight w:val="none"/>
          <w:lang w:val="en-US" w:eastAsia="zh-CN"/>
        </w:rPr>
        <w:t>《建设项目环境影响评价分类管理名录》（2021年版）第四条“建设内容涉及本名录中两个及以上项目类别的建设项目，其环境影响评价类别按其中单项等级最高的确定”，因此，本项目应编制报告书（详见表1）。为此，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val="en-US" w:eastAsia="zh-CN"/>
        </w:rPr>
        <w:t>委托我司承担本项目的环境影响评价的工作。</w:t>
      </w:r>
    </w:p>
    <w:p>
      <w:pPr>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  建设项目环境影响评价分类管理名录（摘录）</w:t>
      </w:r>
    </w:p>
    <w:tbl>
      <w:tblPr>
        <w:tblStyle w:val="17"/>
        <w:tblW w:w="93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2877"/>
        <w:gridCol w:w="1590"/>
        <w:gridCol w:w="2865"/>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3610" w:type="dxa"/>
            <w:gridSpan w:val="2"/>
            <w:tcBorders>
              <w:top w:val="single" w:color="auto" w:sz="12" w:space="0"/>
              <w:left w:val="nil"/>
              <w:tl2br w:val="single" w:color="auto" w:sz="2" w:space="0"/>
            </w:tcBorders>
            <w:vAlign w:val="top"/>
          </w:tcPr>
          <w:p>
            <w:pPr>
              <w:pStyle w:val="21"/>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环评类别</w:t>
            </w:r>
          </w:p>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项目类别</w:t>
            </w:r>
          </w:p>
        </w:tc>
        <w:tc>
          <w:tcPr>
            <w:tcW w:w="1590" w:type="dxa"/>
            <w:tcBorders>
              <w:top w:val="single" w:color="auto" w:sz="12" w:space="0"/>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报告书</w:t>
            </w:r>
          </w:p>
        </w:tc>
        <w:tc>
          <w:tcPr>
            <w:tcW w:w="2865" w:type="dxa"/>
            <w:tcBorders>
              <w:top w:val="single" w:color="auto" w:sz="12" w:space="0"/>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报告表</w:t>
            </w:r>
          </w:p>
        </w:tc>
        <w:tc>
          <w:tcPr>
            <w:tcW w:w="1279" w:type="dxa"/>
            <w:tcBorders>
              <w:top w:val="single" w:color="auto" w:sz="12" w:space="0"/>
              <w:right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4" w:type="dxa"/>
            <w:gridSpan w:val="5"/>
            <w:tcBorders>
              <w:left w:val="nil"/>
              <w:right w:val="nil"/>
            </w:tcBorders>
            <w:vAlign w:val="top"/>
          </w:tcPr>
          <w:p>
            <w:pPr>
              <w:pStyle w:val="21"/>
              <w:bidi w:val="0"/>
              <w:jc w:val="left"/>
              <w:rPr>
                <w:rFonts w:hint="default" w:ascii="Times New Roman" w:hAnsi="Times New Roman" w:cs="Times New Roman"/>
                <w:color w:val="auto"/>
                <w:highlight w:val="none"/>
                <w:lang w:val="en-US"/>
              </w:rPr>
            </w:pPr>
            <w:r>
              <w:rPr>
                <w:rFonts w:hint="default" w:ascii="Times New Roman" w:hAnsi="Times New Roman" w:cs="Times New Roman"/>
                <w:b/>
                <w:bCs/>
                <w:color w:val="auto"/>
                <w:highlight w:val="none"/>
                <w:lang w:val="en-US" w:eastAsia="zh-CN"/>
              </w:rPr>
              <w:t>二十五、化学纤维制造业28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tcBorders>
              <w:left w:val="nil"/>
            </w:tcBorders>
            <w:vAlign w:val="center"/>
          </w:tcPr>
          <w:p>
            <w:pPr>
              <w:pStyle w:val="21"/>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50</w:t>
            </w:r>
          </w:p>
        </w:tc>
        <w:tc>
          <w:tcPr>
            <w:tcW w:w="2877" w:type="dxa"/>
            <w:tcBorders>
              <w:lef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纤维素纤维原料及纤维制造281；</w:t>
            </w:r>
            <w:r>
              <w:rPr>
                <w:rFonts w:hint="default" w:ascii="Times New Roman" w:hAnsi="Times New Roman" w:cs="Times New Roman"/>
                <w:b/>
                <w:bCs/>
                <w:color w:val="auto"/>
                <w:highlight w:val="none"/>
                <w:lang w:val="en-US" w:eastAsia="zh-CN"/>
              </w:rPr>
              <w:t>合成纤维制造282</w:t>
            </w:r>
          </w:p>
        </w:tc>
        <w:tc>
          <w:tcPr>
            <w:tcW w:w="1590" w:type="dxa"/>
            <w:vAlign w:val="center"/>
          </w:tcPr>
          <w:p>
            <w:pPr>
              <w:pStyle w:val="21"/>
              <w:bidi w:val="0"/>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全部（单纯纺丝、单纯丙纶纤维制造的除外）</w:t>
            </w:r>
          </w:p>
        </w:tc>
        <w:tc>
          <w:tcPr>
            <w:tcW w:w="2865" w:type="dxa"/>
            <w:vAlign w:val="center"/>
          </w:tcPr>
          <w:p>
            <w:pPr>
              <w:pStyle w:val="21"/>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单纯纺丝、单纯丙纶纤维制造</w:t>
            </w:r>
          </w:p>
        </w:tc>
        <w:tc>
          <w:tcPr>
            <w:tcW w:w="1279" w:type="dxa"/>
            <w:tcBorders>
              <w:right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4" w:type="dxa"/>
            <w:gridSpan w:val="5"/>
            <w:tcBorders>
              <w:left w:val="nil"/>
              <w:right w:val="nil"/>
            </w:tcBorders>
            <w:vAlign w:val="center"/>
          </w:tcPr>
          <w:p>
            <w:pPr>
              <w:pStyle w:val="21"/>
              <w:bidi w:val="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三十九、废弃资源综合利用业42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tcBorders>
              <w:left w:val="nil"/>
              <w:bottom w:val="single" w:color="auto" w:sz="1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2877" w:type="dxa"/>
            <w:tcBorders>
              <w:left w:val="nil"/>
              <w:bottom w:val="single" w:color="auto" w:sz="1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金属废料和碎屑加工处理421；</w:t>
            </w:r>
            <w:r>
              <w:rPr>
                <w:rFonts w:hint="default" w:ascii="Times New Roman" w:hAnsi="Times New Roman" w:cs="Times New Roman"/>
                <w:b/>
                <w:bCs/>
                <w:color w:val="auto"/>
                <w:highlight w:val="none"/>
                <w:lang w:val="en-US" w:eastAsia="zh-CN"/>
              </w:rPr>
              <w:t>非金属废料和碎屑加工处理422</w:t>
            </w:r>
            <w:r>
              <w:rPr>
                <w:rFonts w:hint="default" w:ascii="Times New Roman" w:hAnsi="Times New Roman" w:cs="Times New Roman"/>
                <w:color w:val="auto"/>
                <w:highlight w:val="none"/>
                <w:lang w:val="en-US" w:eastAsia="zh-CN"/>
              </w:rPr>
              <w:t>（421和422均不含原料为危险废物的，均不含仅分拣、破碎的）</w:t>
            </w:r>
          </w:p>
        </w:tc>
        <w:tc>
          <w:tcPr>
            <w:tcW w:w="1590" w:type="dxa"/>
            <w:tcBorders>
              <w:bottom w:val="single" w:color="auto" w:sz="1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废电池、废油加工处理</w:t>
            </w:r>
          </w:p>
        </w:tc>
        <w:tc>
          <w:tcPr>
            <w:tcW w:w="2865" w:type="dxa"/>
            <w:tcBorders>
              <w:bottom w:val="single" w:color="auto" w:sz="1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废弃电器电子产品、废机动车、废电机、废电线电缆、废钢、废铁、金属和金属化合物矿灰及残渣、有色金属废料与碎屑、</w:t>
            </w:r>
            <w:r>
              <w:rPr>
                <w:rFonts w:hint="default" w:ascii="Times New Roman" w:hAnsi="Times New Roman" w:cs="Times New Roman"/>
                <w:b/>
                <w:bCs/>
                <w:color w:val="auto"/>
                <w:highlight w:val="none"/>
                <w:lang w:val="en-US" w:eastAsia="zh-CN"/>
              </w:rPr>
              <w:t>废塑料</w:t>
            </w:r>
            <w:r>
              <w:rPr>
                <w:rFonts w:hint="default" w:ascii="Times New Roman" w:hAnsi="Times New Roman" w:cs="Times New Roman"/>
                <w:color w:val="auto"/>
                <w:highlight w:val="none"/>
                <w:lang w:val="en-US" w:eastAsia="zh-CN"/>
              </w:rPr>
              <w:t>、废轮胎、废船、含水洗工艺的其他废料和碎屑加工处理（农业生产产生的废旧秧盘、薄膜破碎和清洗工艺的除外）</w:t>
            </w:r>
          </w:p>
        </w:tc>
        <w:tc>
          <w:tcPr>
            <w:tcW w:w="1279" w:type="dxa"/>
            <w:tcBorders>
              <w:bottom w:val="single" w:color="auto" w:sz="12" w:space="0"/>
              <w:right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bl>
    <w:p>
      <w:pPr>
        <w:pStyle w:val="4"/>
        <w:numPr>
          <w:ilvl w:val="2"/>
          <w:numId w:val="0"/>
        </w:numPr>
        <w:tabs>
          <w:tab w:val="left" w:pos="420"/>
          <w:tab w:val="clear" w:pos="0"/>
        </w:tabs>
        <w:bidi w:val="0"/>
        <w:ind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 项目特点</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本项目建设性质为扩建，选址于宁德市霞浦县牙城镇工业园1号地块，属于牙城镇工业园规划范围内，扩建工程新增用地性质为工业用地，项目生产产品PET再生纤维属于纺织业合成纤维制造，符合园区的产业布局和产业定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2）本项目以涤纶织物下脚料（主要为纺织物下脚料，服装厂、鞋厂裁剪后不能整块利用的涤纶纺织物以及大化纤厂下脚料、废丝、废熔块）作为原料，通过造粒、前纺、后纺等工序加工得到产品。项目综合利用废旧纺织品、瓶片等废旧物，需严格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循环再利用化学纤维（涤纶）行业规范条件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2021第15号，工业和信息化部，2021年7月1日起实施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的要求进行建设、运营。</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本项目使用的涤纶织物下脚料不属于生态环境部、商务部、国家发展和改革委员会、海关总署发布的“关于调整《进口废物管理名录》的公告”（公告2018年第6号）中“2018年年底调整为禁止进口的固体废物目录”中“3915901000 聚对苯二甲酸乙二酯废碎料及下脚料”中全部。建设单位在采购原料时应严格把关，防止含有危险废物的物料以及禁止进口的PET的废碎料及下脚料、废PET饮料瓶（砖）掺入原料内，一经发现，应立即通知相关部门，将不符合规定的原料清运处置。</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本项目排放的大气主要污染物为颗粒物、有机废气（非甲烷总烃）、氮氧化物、二氧化硫、氨、硫化氢，在经过对应的废气治理设施处理后，对环境的影响较小；距离本项目厂界最近的敏感目标为南侧的一层村（距离约为35 m），位于该区域常年主导风向的侧风向，本项目在加强管理，保证废气处理设施正常运行的情况下，对其影响较小。</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（5）项目周边主要为牙城镇工业区的厂房和工业区道路，距离本项目厂界最近的敏感目标为南侧的一层村（距离约为35 m），建设单位通过优化平面布局，主要生产车间及噪声源均布置于厂区北侧，</w:t>
      </w:r>
      <w:r>
        <w:rPr>
          <w:rFonts w:hint="default" w:ascii="Times New Roman" w:hAnsi="Times New Roman" w:cs="Times New Roman"/>
          <w:color w:val="auto"/>
          <w:szCs w:val="20"/>
          <w:highlight w:val="none"/>
          <w:lang w:val="en-US" w:eastAsia="zh-CN"/>
        </w:rPr>
        <w:t>选用低噪声型设备，对主要噪声源采取安装减震垫、隔声、消声等综合降噪措施</w:t>
      </w:r>
      <w:r>
        <w:rPr>
          <w:rFonts w:hint="default" w:ascii="Times New Roman" w:hAnsi="Times New Roman" w:cs="Times New Roman"/>
          <w:color w:val="auto"/>
          <w:highlight w:val="none"/>
          <w:lang w:val="en-US" w:eastAsia="zh-CN"/>
        </w:rPr>
        <w:t>，噪声对其影响较小。</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（6）本项目生产废水经企业自建的污水处理站处理达《合成树脂工业污染物排放标准》（GB31572-2015）中表1直接排放限值（石油类参照排放标准参照现有工程环评报告书10 mg/L的要求）后排入园区污水管网，最终纳入牙城镇污水处理厂深度处理；生活污水经化粪池处理后排入园区污水管网，纳入牙城镇污水处理厂深度处理，不直接排入外环境。</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（7）本项目采用先进的工艺装备和技术，清洁生产水平可达</w:t>
      </w:r>
      <w:r>
        <w:rPr>
          <w:rFonts w:hint="default" w:ascii="Times New Roman" w:hAnsi="Times New Roman" w:cs="Times New Roman"/>
          <w:color w:val="auto"/>
          <w:szCs w:val="20"/>
          <w:highlight w:val="none"/>
          <w:lang w:val="en-US" w:eastAsia="zh-CN"/>
        </w:rPr>
        <w:t>国内清洁生产先进水平</w:t>
      </w:r>
      <w:r>
        <w:rPr>
          <w:rFonts w:hint="default" w:ascii="Times New Roman" w:hAnsi="Times New Roman" w:cs="Times New Roman"/>
          <w:color w:val="auto"/>
          <w:highlight w:val="none"/>
          <w:lang w:val="en-US" w:eastAsia="zh-CN"/>
        </w:rPr>
        <w:t>。</w:t>
      </w:r>
    </w:p>
    <w:p>
      <w:pPr>
        <w:pStyle w:val="3"/>
        <w:numPr>
          <w:ilvl w:val="1"/>
          <w:numId w:val="0"/>
        </w:numPr>
        <w:tabs>
          <w:tab w:val="clear" w:pos="0"/>
        </w:tabs>
        <w:bidi w:val="0"/>
        <w:ind w:leftChars="0"/>
        <w:rPr>
          <w:rFonts w:hint="default" w:ascii="Times New Roman" w:hAnsi="Times New Roman" w:cs="Times New Roman"/>
          <w:color w:val="auto"/>
          <w:highlight w:val="none"/>
          <w:lang w:val="en-US" w:eastAsia="zh-CN"/>
        </w:rPr>
      </w:pPr>
      <w:bookmarkStart w:id="12" w:name="_Toc23791"/>
      <w:bookmarkStart w:id="13" w:name="_Toc4699"/>
      <w:bookmarkStart w:id="14" w:name="_Toc9887"/>
      <w:bookmarkStart w:id="15" w:name="_Toc25071"/>
      <w:r>
        <w:rPr>
          <w:rFonts w:hint="default" w:ascii="Times New Roman" w:hAnsi="Times New Roman" w:cs="Times New Roman"/>
          <w:color w:val="auto"/>
          <w:highlight w:val="none"/>
          <w:lang w:val="en-US" w:eastAsia="zh-CN"/>
        </w:rPr>
        <w:t>2 环境影响评价的工作过程</w:t>
      </w:r>
      <w:bookmarkEnd w:id="12"/>
      <w:bookmarkEnd w:id="13"/>
      <w:bookmarkEnd w:id="14"/>
      <w:bookmarkEnd w:id="15"/>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根据中华人民共和国国务院令第682号《建设项目环境保护管理条例》和《建设项目环境影响评价分类管理名录》（2021年</w:t>
      </w:r>
      <w:r>
        <w:rPr>
          <w:rFonts w:hint="default" w:ascii="Times New Roman" w:hAnsi="Times New Roman" w:cs="Times New Roman"/>
          <w:color w:val="auto"/>
          <w:highlight w:val="none"/>
          <w:lang w:val="en-US" w:eastAsia="zh-CN"/>
        </w:rPr>
        <w:t>版</w:t>
      </w:r>
      <w:r>
        <w:rPr>
          <w:rFonts w:hint="default" w:ascii="Times New Roman" w:hAnsi="Times New Roman" w:cs="Times New Roman"/>
          <w:color w:val="auto"/>
          <w:highlight w:val="none"/>
        </w:rPr>
        <w:t>），该项目需编制环境影响报告书。为此，</w:t>
      </w: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有限公司于202</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1</w:t>
      </w:r>
      <w:r>
        <w:rPr>
          <w:rFonts w:hint="default" w:ascii="Times New Roman" w:hAnsi="Times New Roman" w:cs="Times New Roman"/>
          <w:color w:val="auto"/>
          <w:highlight w:val="none"/>
        </w:rPr>
        <w:t>月</w:t>
      </w:r>
      <w:r>
        <w:rPr>
          <w:rFonts w:hint="eastAsia" w:cs="Times New Roman"/>
          <w:color w:val="auto"/>
          <w:highlight w:val="none"/>
          <w:lang w:val="en-US" w:eastAsia="zh-CN"/>
        </w:rPr>
        <w:t>30</w:t>
      </w:r>
      <w:r>
        <w:rPr>
          <w:rFonts w:hint="default" w:ascii="Times New Roman" w:hAnsi="Times New Roman" w:cs="Times New Roman"/>
          <w:color w:val="auto"/>
          <w:highlight w:val="none"/>
        </w:rPr>
        <w:t>日委托福建省闽创环保科技有限公司承担该项目的环境影响评价工作（委托书见</w:t>
      </w:r>
      <w:r>
        <w:rPr>
          <w:rFonts w:hint="default" w:ascii="Times New Roman" w:hAnsi="Times New Roman" w:cs="Times New Roman"/>
          <w:b w:val="0"/>
          <w:bCs w:val="0"/>
          <w:color w:val="auto"/>
          <w:highlight w:val="none"/>
        </w:rPr>
        <w:t>附件1）</w:t>
      </w:r>
      <w:r>
        <w:rPr>
          <w:rFonts w:hint="default" w:ascii="Times New Roman" w:hAnsi="Times New Roman" w:cs="Times New Roman"/>
          <w:color w:val="auto"/>
          <w:highlight w:val="none"/>
        </w:rPr>
        <w:t>。环境影响评价工作过程一般分为三个阶段，即调查分析和工作方案制定阶段、分析论证和预测评价阶段，环境影响评价文件编制阶段</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本项目环境影响</w:t>
      </w:r>
      <w:r>
        <w:rPr>
          <w:rFonts w:hint="default" w:ascii="Times New Roman" w:hAnsi="Times New Roman" w:cs="Times New Roman"/>
          <w:color w:val="auto"/>
          <w:highlight w:val="none"/>
          <w:lang w:val="en-US" w:eastAsia="zh-CN"/>
        </w:rPr>
        <w:t>评价</w:t>
      </w:r>
      <w:r>
        <w:rPr>
          <w:rFonts w:hint="default" w:ascii="Times New Roman" w:hAnsi="Times New Roman" w:cs="Times New Roman"/>
          <w:color w:val="auto"/>
          <w:highlight w:val="none"/>
        </w:rPr>
        <w:t>工作程序见图1。</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本次</w:t>
      </w:r>
      <w:r>
        <w:rPr>
          <w:rFonts w:hint="default" w:ascii="Times New Roman" w:hAnsi="Times New Roman" w:cs="Times New Roman"/>
          <w:color w:val="auto"/>
          <w:highlight w:val="none"/>
          <w:lang w:val="en-US" w:eastAsia="zh-CN"/>
        </w:rPr>
        <w:t>环境影响评价</w:t>
      </w:r>
      <w:r>
        <w:rPr>
          <w:rFonts w:hint="default" w:ascii="Times New Roman" w:hAnsi="Times New Roman" w:cs="Times New Roman"/>
          <w:color w:val="auto"/>
          <w:highlight w:val="none"/>
        </w:rPr>
        <w:t>主要分以下几个工作阶段：</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第一阶段：评价单位接受项目环境影响评价委托后，根据建设单位提供的资料，先确定项目是否符合国家和地方有关法律法规、政策及相关规划；随后根据建设单位提供的关于本项目的资料，进行初步的工程分析，识别环境影响因素、筛选评价因子，明确评价重点、环境保护目标，确定评价工作等级、评价范围和标准。</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第二阶段：进行评价范围内的环境状况调查、监测与评价，了解环境现状情况；进行详细的工程分析，确定各污染因素污染源强，然后进行各环境要素影响预测与评价、各专题环境影响分析与评价。</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第三阶段：对项目拟采取环保措施进行技术经济论证，给出项目环境可行结论。在此基础上，本公司编制完成了《</w:t>
      </w: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val="en-US" w:eastAsia="zh-CN"/>
        </w:rPr>
        <w:t>年产5万吨PET再生纤维生产线项目</w:t>
      </w:r>
      <w:r>
        <w:rPr>
          <w:rFonts w:hint="default" w:ascii="Times New Roman" w:hAnsi="Times New Roman" w:cs="Times New Roman"/>
          <w:color w:val="auto"/>
          <w:highlight w:val="none"/>
        </w:rPr>
        <w:t>环境影响报告书》，供建设单位上报</w:t>
      </w:r>
      <w:r>
        <w:rPr>
          <w:rFonts w:hint="default" w:ascii="Times New Roman" w:hAnsi="Times New Roman" w:cs="Times New Roman"/>
          <w:color w:val="auto"/>
          <w:highlight w:val="none"/>
          <w:lang w:val="en-US" w:eastAsia="zh-CN"/>
        </w:rPr>
        <w:t>宁德市霞浦</w:t>
      </w:r>
      <w:r>
        <w:rPr>
          <w:rFonts w:hint="default" w:ascii="Times New Roman" w:hAnsi="Times New Roman" w:cs="Times New Roman"/>
          <w:color w:val="auto"/>
          <w:highlight w:val="none"/>
        </w:rPr>
        <w:t>生态环境局审查。</w:t>
      </w:r>
    </w:p>
    <w:p>
      <w:pPr>
        <w:keepNext w:val="0"/>
        <w:keepLines w:val="0"/>
        <w:widowControl/>
        <w:suppressLineNumbers w:val="0"/>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object>
          <v:shape id="_x0000_i1025" o:spt="75" type="#_x0000_t75" style="height:511.5pt;width:342.75pt;" o:ole="t" filled="f" o:preferrelative="t" stroked="f" coordsize="21600,21600">
            <v:path/>
            <v:fill on="f" focussize="0,0"/>
            <v:stroke on="f"/>
            <v:imagedata r:id="rId10" o:title=""/>
            <o:lock v:ext="edit" aspectratio="t"/>
            <w10:wrap type="none"/>
            <w10:anchorlock/>
          </v:shape>
          <o:OLEObject Type="Embed" ProgID="Visio.Drawing.11" ShapeID="_x0000_i1025" DrawAspect="Content" ObjectID="_1468075725" r:id="rId9">
            <o:LockedField>false</o:LockedField>
          </o:OLEObject>
        </w:object>
      </w:r>
    </w:p>
    <w:p>
      <w:pPr>
        <w:bidi w:val="0"/>
        <w:ind w:left="0" w:leftChars="0" w:firstLine="0" w:firstLineChars="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图1  环境影响评价工作程序图</w:t>
      </w:r>
    </w:p>
    <w:p>
      <w:pPr>
        <w:pStyle w:val="3"/>
        <w:numPr>
          <w:ilvl w:val="1"/>
          <w:numId w:val="0"/>
        </w:numPr>
        <w:tabs>
          <w:tab w:val="clear" w:pos="0"/>
        </w:tabs>
        <w:bidi w:val="0"/>
        <w:ind w:leftChars="0"/>
        <w:rPr>
          <w:rFonts w:hint="default" w:ascii="Times New Roman" w:hAnsi="Times New Roman" w:cs="Times New Roman"/>
          <w:color w:val="auto"/>
          <w:highlight w:val="none"/>
          <w:lang w:val="en-US" w:eastAsia="zh-CN"/>
        </w:rPr>
      </w:pPr>
      <w:bookmarkStart w:id="16" w:name="_Toc18500"/>
      <w:bookmarkStart w:id="17" w:name="_Toc29949"/>
      <w:bookmarkStart w:id="18" w:name="_Toc5309"/>
      <w:bookmarkStart w:id="19" w:name="_Toc32287"/>
      <w:r>
        <w:rPr>
          <w:rFonts w:hint="default" w:ascii="Times New Roman" w:hAnsi="Times New Roman" w:cs="Times New Roman"/>
          <w:color w:val="auto"/>
          <w:highlight w:val="none"/>
          <w:lang w:val="en-US" w:eastAsia="zh-CN"/>
        </w:rPr>
        <w:t>3 分析判定相关情况</w:t>
      </w:r>
      <w:bookmarkEnd w:id="16"/>
      <w:bookmarkEnd w:id="17"/>
      <w:bookmarkEnd w:id="18"/>
      <w:bookmarkEnd w:id="19"/>
    </w:p>
    <w:p>
      <w:pPr>
        <w:pStyle w:val="4"/>
        <w:numPr>
          <w:ilvl w:val="2"/>
          <w:numId w:val="0"/>
        </w:numPr>
        <w:tabs>
          <w:tab w:val="left" w:pos="420"/>
          <w:tab w:val="clear" w:pos="0"/>
        </w:tabs>
        <w:bidi w:val="0"/>
        <w:ind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 产业政策符合性分析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本项目主要从事</w:t>
      </w:r>
      <w:r>
        <w:rPr>
          <w:rFonts w:hint="default" w:ascii="Times New Roman" w:hAnsi="Times New Roman" w:eastAsia="宋体" w:cs="Times New Roman"/>
          <w:color w:val="auto"/>
          <w:highlight w:val="none"/>
          <w:lang w:val="en-US" w:eastAsia="zh-CN"/>
        </w:rPr>
        <w:t>PET再生纤维生产</w:t>
      </w:r>
      <w:r>
        <w:rPr>
          <w:rFonts w:hint="default" w:ascii="Times New Roman" w:hAnsi="Times New Roman" w:cs="Times New Roman"/>
          <w:color w:val="auto"/>
          <w:highlight w:val="none"/>
          <w:lang w:val="en-US" w:eastAsia="zh-CN"/>
        </w:rPr>
        <w:t>，根据《产业结构调整指导目录》（2019年本），本项目属于“鼓励类：二十、纺织，13、废旧纺织品回收再利用技术、设备的研发和应用，利用聚酯回收材料生产涤纶工业丝、差别化和功能性涤纶长丝、非织造材料等高附加值产品”。同时，项目已取得霞浦县工业和信息化局备案表（闽工信备[2020] J040014号）（见附件</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），因此，项目符合国家和地方产业政策。</w:t>
      </w:r>
    </w:p>
    <w:p>
      <w:pPr>
        <w:pStyle w:val="4"/>
        <w:numPr>
          <w:ilvl w:val="2"/>
          <w:numId w:val="0"/>
        </w:numPr>
        <w:tabs>
          <w:tab w:val="left" w:pos="420"/>
          <w:tab w:val="clear" w:pos="0"/>
        </w:tabs>
        <w:bidi w:val="0"/>
        <w:ind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 “三线一单”控制要求符合性分析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生态保护红线</w:t>
      </w:r>
    </w:p>
    <w:p>
      <w:pPr>
        <w:bidi w:val="0"/>
        <w:rPr>
          <w:rFonts w:hint="eastAsia" w:cs="Times New Roman"/>
          <w:color w:val="auto"/>
          <w:highlight w:val="none"/>
          <w:lang w:val="en-US" w:eastAsia="zh-CN"/>
        </w:rPr>
      </w:pPr>
      <w:r>
        <w:rPr>
          <w:rFonts w:hint="eastAsia" w:cs="Times New Roman"/>
          <w:color w:val="auto"/>
          <w:highlight w:val="none"/>
          <w:lang w:val="en-US" w:eastAsia="zh-CN"/>
        </w:rPr>
        <w:t>根据</w:t>
      </w:r>
      <w:r>
        <w:rPr>
          <w:rFonts w:hint="eastAsia" w:cs="Times New Roman"/>
          <w:color w:val="auto"/>
          <w:highlight w:val="none"/>
          <w:lang w:eastAsia="zh-CN"/>
        </w:rPr>
        <w:t>《</w:t>
      </w:r>
      <w:r>
        <w:rPr>
          <w:rFonts w:hint="eastAsia" w:cs="Times New Roman"/>
          <w:color w:val="auto"/>
          <w:highlight w:val="none"/>
          <w:lang w:val="en-US" w:eastAsia="zh-CN"/>
        </w:rPr>
        <w:t>宁德市人民政府关于印发宁德市“三线一单”生态环境分区管控方案的通知</w:t>
      </w:r>
      <w:r>
        <w:rPr>
          <w:rFonts w:hint="eastAsia" w:cs="Times New Roman"/>
          <w:color w:val="auto"/>
          <w:highlight w:val="none"/>
          <w:lang w:eastAsia="zh-CN"/>
        </w:rPr>
        <w:t>》（</w:t>
      </w:r>
      <w:r>
        <w:rPr>
          <w:rFonts w:hint="eastAsia" w:cs="Times New Roman"/>
          <w:color w:val="auto"/>
          <w:highlight w:val="none"/>
          <w:lang w:val="en-US" w:eastAsia="zh-CN"/>
        </w:rPr>
        <w:t>宁政﹝2021﹞11号</w:t>
      </w:r>
      <w:r>
        <w:rPr>
          <w:rFonts w:hint="eastAsia" w:cs="Times New Roman"/>
          <w:color w:val="auto"/>
          <w:highlight w:val="none"/>
          <w:lang w:eastAsia="zh-CN"/>
        </w:rPr>
        <w:t>），</w:t>
      </w:r>
      <w:r>
        <w:rPr>
          <w:rFonts w:hint="eastAsia" w:cs="Times New Roman"/>
          <w:color w:val="auto"/>
          <w:highlight w:val="none"/>
          <w:lang w:val="en-US" w:eastAsia="zh-CN"/>
        </w:rPr>
        <w:t>宁德市生态保护红线为全市生态空间范围内具有特殊重要生态功能、必须强制性严格保护的区域，包括水源涵养、生物多样性维护、水土保持、海岸防护等生态功能极重要区域，水土流失、海岸侵蚀及沙源流失等生态极脆弱区域，以及其他具有潜在重要生态价值的区域。宁德市生态保护红线最终范围和面积以省政府发布结果为准。</w:t>
      </w:r>
    </w:p>
    <w:p>
      <w:pPr>
        <w:bidi w:val="0"/>
        <w:rPr>
          <w:rFonts w:hint="eastAsia" w:cs="Times New Roman"/>
          <w:color w:val="auto"/>
          <w:highlight w:val="none"/>
          <w:lang w:eastAsia="zh-CN"/>
        </w:rPr>
      </w:pPr>
      <w:r>
        <w:rPr>
          <w:rFonts w:hint="eastAsia" w:cs="Times New Roman"/>
          <w:color w:val="auto"/>
          <w:highlight w:val="none"/>
          <w:lang w:val="en-US" w:eastAsia="zh-CN"/>
        </w:rPr>
        <w:t>根据《</w:t>
      </w:r>
      <w:r>
        <w:rPr>
          <w:rFonts w:hint="default" w:ascii="Times New Roman" w:hAnsi="Times New Roman" w:cs="Times New Roman"/>
          <w:color w:val="auto"/>
          <w:highlight w:val="none"/>
        </w:rPr>
        <w:t>福建省“三线一单”研究报告</w:t>
      </w:r>
      <w:r>
        <w:rPr>
          <w:rFonts w:hint="eastAsia" w:cs="Times New Roman"/>
          <w:color w:val="auto"/>
          <w:highlight w:val="none"/>
          <w:lang w:val="en-US" w:eastAsia="zh-CN"/>
        </w:rPr>
        <w:t>》，宁德市陆域行政区面积为13433.30 km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，陆域生态保护红线面积为3137.17 km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，占国土比例23.35%，其中霞浦县陆域生态保护红线面积为334.73 km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，主导生态系统服务功能为水土保持；宁德市海洋生态保护红线面积为2850.33 km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，占宁德市海域面积33.85%。</w:t>
      </w:r>
    </w:p>
    <w:p>
      <w:pPr>
        <w:bidi w:val="0"/>
        <w:rPr>
          <w:rFonts w:hint="eastAsia" w:cs="Times New Roman"/>
          <w:color w:val="auto"/>
          <w:highlight w:val="none"/>
          <w:lang w:val="en-US" w:eastAsia="zh-CN"/>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次扩建</w:t>
      </w:r>
      <w:r>
        <w:rPr>
          <w:rFonts w:hint="default" w:ascii="Times New Roman" w:hAnsi="Times New Roman" w:cs="Times New Roman"/>
          <w:color w:val="auto"/>
          <w:highlight w:val="none"/>
        </w:rPr>
        <w:t>工程</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rPr>
        <w:t>位于</w:t>
      </w:r>
      <w:r>
        <w:rPr>
          <w:rFonts w:hint="default" w:ascii="Times New Roman" w:hAnsi="Times New Roman" w:cs="Times New Roman"/>
          <w:color w:val="auto"/>
          <w:highlight w:val="none"/>
          <w:lang w:val="en-US" w:eastAsia="zh-CN"/>
        </w:rPr>
        <w:t>牙城镇工业园（原名称：霞浦牙城东洋工业区）1号地块</w:t>
      </w:r>
      <w:r>
        <w:rPr>
          <w:rFonts w:hint="eastAsia" w:cs="Times New Roman"/>
          <w:color w:val="auto"/>
          <w:highlight w:val="none"/>
          <w:lang w:val="en-US" w:eastAsia="zh-CN"/>
        </w:rPr>
        <w:t>，不涉及陆域及海洋生态保护红线（详见图1）。</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环境质量底线</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w:t>
      </w:r>
      <w:r>
        <w:rPr>
          <w:rFonts w:hint="eastAsia" w:cs="Times New Roman"/>
          <w:color w:val="auto"/>
          <w:highlight w:val="none"/>
          <w:lang w:val="en-US" w:eastAsia="zh-CN"/>
        </w:rPr>
        <w:t>地表水</w:t>
      </w:r>
      <w:r>
        <w:rPr>
          <w:rFonts w:hint="default" w:ascii="Times New Roman" w:hAnsi="Times New Roman" w:cs="Times New Roman"/>
          <w:color w:val="auto"/>
          <w:highlight w:val="none"/>
          <w:lang w:val="en-US" w:eastAsia="zh-CN"/>
        </w:rPr>
        <w:t>环境质量底线</w:t>
      </w:r>
    </w:p>
    <w:p>
      <w:pPr>
        <w:keepNext w:val="0"/>
        <w:keepLines w:val="0"/>
        <w:widowControl/>
        <w:suppressLineNumbers w:val="0"/>
        <w:jc w:val="left"/>
        <w:rPr>
          <w:rFonts w:hint="default" w:ascii="Times New Roman" w:hAnsi="Times New Roman" w:cs="Times New Roman"/>
          <w:color w:val="auto"/>
          <w:highlight w:val="none"/>
        </w:rPr>
      </w:pPr>
      <w:r>
        <w:rPr>
          <w:rFonts w:hint="eastAsia" w:cs="Times New Roman"/>
          <w:color w:val="auto"/>
          <w:highlight w:val="none"/>
          <w:lang w:val="en-US" w:eastAsia="zh-CN"/>
        </w:rPr>
        <w:t>根据</w:t>
      </w:r>
      <w:r>
        <w:rPr>
          <w:rFonts w:hint="eastAsia" w:cs="Times New Roman"/>
          <w:color w:val="auto"/>
          <w:highlight w:val="none"/>
          <w:lang w:eastAsia="zh-CN"/>
        </w:rPr>
        <w:t>《</w:t>
      </w:r>
      <w:r>
        <w:rPr>
          <w:rFonts w:hint="eastAsia" w:cs="Times New Roman"/>
          <w:color w:val="auto"/>
          <w:highlight w:val="none"/>
          <w:lang w:val="en-US" w:eastAsia="zh-CN"/>
        </w:rPr>
        <w:t>宁德市人民政府关于印发宁德市“三线一单”生态环境分区管控方案的通知</w:t>
      </w:r>
      <w:r>
        <w:rPr>
          <w:rFonts w:hint="eastAsia" w:cs="Times New Roman"/>
          <w:color w:val="auto"/>
          <w:highlight w:val="none"/>
          <w:lang w:eastAsia="zh-CN"/>
        </w:rPr>
        <w:t>》（</w:t>
      </w:r>
      <w:r>
        <w:rPr>
          <w:rFonts w:hint="eastAsia" w:cs="Times New Roman"/>
          <w:color w:val="auto"/>
          <w:highlight w:val="none"/>
          <w:lang w:val="en-US" w:eastAsia="zh-CN"/>
        </w:rPr>
        <w:t>宁政﹝2021﹞11号</w:t>
      </w:r>
      <w:r>
        <w:rPr>
          <w:rFonts w:hint="eastAsia" w:cs="Times New Roman"/>
          <w:color w:val="auto"/>
          <w:highlight w:val="none"/>
          <w:lang w:eastAsia="zh-CN"/>
        </w:rPr>
        <w:t>）</w:t>
      </w:r>
      <w:r>
        <w:rPr>
          <w:rFonts w:hint="default" w:ascii="Times New Roman" w:hAnsi="Times New Roman" w:cs="Times New Roman"/>
          <w:color w:val="auto"/>
          <w:highlight w:val="none"/>
        </w:rPr>
        <w:t>，到202</w:t>
      </w:r>
      <w:r>
        <w:rPr>
          <w:rFonts w:hint="eastAsia" w:cs="Times New Roman"/>
          <w:color w:val="auto"/>
          <w:highlight w:val="none"/>
          <w:lang w:val="en-US" w:eastAsia="zh-CN"/>
        </w:rPr>
        <w:t>5</w:t>
      </w:r>
      <w:r>
        <w:rPr>
          <w:rFonts w:hint="default" w:ascii="Times New Roman" w:hAnsi="Times New Roman" w:cs="Times New Roman"/>
          <w:color w:val="auto"/>
          <w:highlight w:val="none"/>
        </w:rPr>
        <w:t>年，全市主要流域国、省控断面水质优良（达到或优于Ⅲ类）比例总体达100%，县级以上集中式饮用水水源水质达标率达100%。到2030年，全市主要流域国、省控断面水质优良（达到或优于Ⅲ类）比例总体达100%，县级以上城市建成区黑臭水体总体得到消除，县级以上集中式饮用水水源水质稳定达标。到2035年，全市主要流域国、省控断面水质优良（达到或优于Ⅲ类）比例总体达100%，水生态系统实现良性循环。</w:t>
      </w:r>
    </w:p>
    <w:p>
      <w:pPr>
        <w:bidi w:val="0"/>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sectPr>
          <w:footerReference r:id="rId6" w:type="default"/>
          <w:pgSz w:w="11906" w:h="16838"/>
          <w:pgMar w:top="1417" w:right="1417" w:bottom="1417" w:left="1417" w:header="1020" w:footer="1020" w:gutter="0"/>
          <w:pgBorders w:offsetFrom="page">
            <w:top w:val="none" w:sz="0" w:space="0"/>
            <w:left w:val="none" w:sz="0" w:space="0"/>
            <w:bottom w:val="none" w:sz="0" w:space="0"/>
            <w:right w:val="none" w:sz="0" w:space="0"/>
          </w:pgBorders>
          <w:pgNumType w:fmt="upperRoman" w:start="1"/>
          <w:cols w:space="425" w:num="1"/>
          <w:docGrid w:type="lines" w:linePitch="312" w:charSpace="0"/>
        </w:sectPr>
      </w:pPr>
    </w:p>
    <w:p>
      <w:pPr>
        <w:bidi w:val="0"/>
        <w:ind w:left="0" w:leftChars="0" w:firstLine="0" w:firstLineChars="0"/>
        <w:jc w:val="center"/>
        <w:rPr>
          <w:rFonts w:hint="default" w:cs="Times New Roman"/>
          <w:color w:val="auto"/>
          <w:highlight w:val="none"/>
          <w:lang w:val="en-US" w:eastAsia="zh-CN"/>
        </w:rPr>
      </w:pPr>
    </w:p>
    <w:p>
      <w:pPr>
        <w:bidi w:val="0"/>
        <w:ind w:left="0" w:leftChars="0" w:firstLine="0" w:firstLineChars="0"/>
        <w:jc w:val="center"/>
        <w:rPr>
          <w:rFonts w:hint="default" w:ascii="Times New Roman" w:hAnsi="Times New Roman" w:cs="Times New Roman"/>
          <w:color w:val="auto"/>
          <w:highlight w:val="none"/>
          <w:lang w:val="en-US" w:eastAsia="zh-CN"/>
        </w:rPr>
        <w:sectPr>
          <w:pgSz w:w="16838" w:h="11906" w:orient="landscape"/>
          <w:pgMar w:top="1417" w:right="1417" w:bottom="1417" w:left="1417" w:header="1020" w:footer="1020" w:gutter="0"/>
          <w:pgBorders w:offsetFrom="page">
            <w:top w:val="none" w:sz="0" w:space="0"/>
            <w:left w:val="none" w:sz="0" w:space="0"/>
            <w:bottom w:val="none" w:sz="0" w:space="0"/>
            <w:right w:val="none" w:sz="0" w:space="0"/>
          </w:pgBorders>
          <w:pgNumType w:fmt="upperRoman"/>
          <w:cols w:space="425" w:num="1"/>
          <w:docGrid w:type="lines" w:linePitch="312" w:charSpace="0"/>
        </w:sectPr>
      </w:pPr>
      <w:r>
        <w:rPr>
          <w:rFonts w:hint="eastAsia" w:cs="Times New Roman"/>
          <w:b/>
          <w:bCs/>
          <w:color w:val="auto"/>
          <w:highlight w:val="none"/>
          <w:lang w:val="en-US" w:eastAsia="zh-CN"/>
        </w:rPr>
        <w:t>图1  本项目与福建省生态保护红线分布图位置关系</w:t>
      </w:r>
    </w:p>
    <w:p>
      <w:pPr>
        <w:keepNext w:val="0"/>
        <w:keepLines w:val="0"/>
        <w:widowControl/>
        <w:suppressLineNumbers w:val="0"/>
        <w:jc w:val="left"/>
        <w:rPr>
          <w:rFonts w:hint="eastAsia" w:cs="Times New Roman"/>
          <w:color w:val="auto"/>
          <w:highlight w:val="none"/>
          <w:lang w:val="en-US" w:eastAsia="zh-CN"/>
        </w:rPr>
      </w:pPr>
      <w:r>
        <w:rPr>
          <w:rFonts w:hint="eastAsia" w:cs="Times New Roman"/>
          <w:color w:val="auto"/>
          <w:highlight w:val="none"/>
          <w:lang w:val="en-US" w:eastAsia="zh-CN"/>
        </w:rPr>
        <w:t>②近岸海域环境质量底线</w:t>
      </w:r>
    </w:p>
    <w:p>
      <w:pPr>
        <w:keepNext w:val="0"/>
        <w:keepLines w:val="0"/>
        <w:widowControl/>
        <w:suppressLineNumbers w:val="0"/>
        <w:jc w:val="left"/>
        <w:rPr>
          <w:rFonts w:hint="default" w:cs="Times New Roman"/>
          <w:color w:val="auto"/>
          <w:highlight w:val="none"/>
          <w:lang w:val="en-US" w:eastAsia="zh-CN"/>
        </w:rPr>
      </w:pPr>
      <w:r>
        <w:rPr>
          <w:rFonts w:hint="eastAsia" w:cs="Times New Roman"/>
          <w:color w:val="auto"/>
          <w:highlight w:val="none"/>
          <w:lang w:val="en-US" w:eastAsia="zh-CN"/>
        </w:rPr>
        <w:t>根据</w:t>
      </w:r>
      <w:r>
        <w:rPr>
          <w:rFonts w:hint="eastAsia" w:cs="Times New Roman"/>
          <w:color w:val="auto"/>
          <w:highlight w:val="none"/>
          <w:lang w:eastAsia="zh-CN"/>
        </w:rPr>
        <w:t>《</w:t>
      </w:r>
      <w:r>
        <w:rPr>
          <w:rFonts w:hint="eastAsia" w:cs="Times New Roman"/>
          <w:color w:val="auto"/>
          <w:highlight w:val="none"/>
          <w:lang w:val="en-US" w:eastAsia="zh-CN"/>
        </w:rPr>
        <w:t>宁德市人民政府关于印发宁德市“三线一单”生态环境分区管控方案的通知</w:t>
      </w:r>
      <w:r>
        <w:rPr>
          <w:rFonts w:hint="eastAsia" w:cs="Times New Roman"/>
          <w:color w:val="auto"/>
          <w:highlight w:val="none"/>
          <w:lang w:eastAsia="zh-CN"/>
        </w:rPr>
        <w:t>》（</w:t>
      </w:r>
      <w:r>
        <w:rPr>
          <w:rFonts w:hint="eastAsia" w:cs="Times New Roman"/>
          <w:color w:val="auto"/>
          <w:highlight w:val="none"/>
          <w:lang w:val="en-US" w:eastAsia="zh-CN"/>
        </w:rPr>
        <w:t>宁政﹝2021﹞11号</w:t>
      </w:r>
      <w:r>
        <w:rPr>
          <w:rFonts w:hint="eastAsia" w:cs="Times New Roman"/>
          <w:color w:val="auto"/>
          <w:highlight w:val="none"/>
          <w:lang w:eastAsia="zh-CN"/>
        </w:rPr>
        <w:t>），</w:t>
      </w:r>
      <w:r>
        <w:rPr>
          <w:rFonts w:hint="default" w:cs="Times New Roman"/>
          <w:color w:val="auto"/>
          <w:highlight w:val="none"/>
          <w:lang w:val="en-US" w:eastAsia="zh-CN"/>
        </w:rPr>
        <w:t>到2025年，全市近岸海域水质持续改善，重要河口海湾劣四类水质面积比例有所下降，近岸海域优良水质面积比例不低于国家和省的考核要求。到2030年，近岸海域水质进一步提升，重要河口海湾水质持续改善，近岸海域优良水质面积比例不低于国家和省的考核要求。到2035年，海洋生态环境显著改善，重要河口海湾水质大幅提升，近岸海域优良水质面积比例不低于国家和省的考核要求</w:t>
      </w:r>
      <w:r>
        <w:rPr>
          <w:rFonts w:hint="eastAsia"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次扩建</w:t>
      </w:r>
      <w:r>
        <w:rPr>
          <w:rFonts w:hint="default" w:ascii="Times New Roman" w:hAnsi="Times New Roman" w:cs="Times New Roman"/>
          <w:color w:val="auto"/>
          <w:highlight w:val="none"/>
        </w:rPr>
        <w:t>项目投产后产生的</w:t>
      </w:r>
      <w:r>
        <w:rPr>
          <w:rFonts w:hint="default" w:ascii="Times New Roman" w:hAnsi="Times New Roman" w:cs="Times New Roman"/>
          <w:color w:val="auto"/>
          <w:highlight w:val="none"/>
          <w:lang w:val="en-US" w:eastAsia="zh-CN"/>
        </w:rPr>
        <w:t>生产废水经污水处理站处理达《合成树脂工业污染物排放标准》（GB31572-2015）中表1直接排放限值（石油类排放标准参照现有工程环评报告书10 mg/L的要求）后排入园区污水管网，纳入牙城镇污水处理厂处理，生活污水经化粪池处理达牙城镇污水处理厂进水水质标准</w:t>
      </w:r>
      <w:r>
        <w:rPr>
          <w:rFonts w:hint="default" w:ascii="Times New Roman" w:hAnsi="Times New Roman" w:eastAsia="宋体" w:cs="Times New Roman"/>
          <w:color w:val="auto"/>
          <w:highlight w:val="none"/>
          <w:lang w:val="en-US" w:eastAsia="zh-CN"/>
        </w:rPr>
        <w:t>后</w:t>
      </w:r>
      <w:r>
        <w:rPr>
          <w:rFonts w:hint="default" w:ascii="Times New Roman" w:hAnsi="Times New Roman" w:cs="Times New Roman"/>
          <w:color w:val="auto"/>
          <w:highlight w:val="none"/>
          <w:lang w:val="en-US" w:eastAsia="zh-CN"/>
        </w:rPr>
        <w:t>，排入园区污水管网，纳入牙城镇污水处理厂处理，对</w:t>
      </w:r>
      <w:r>
        <w:rPr>
          <w:rFonts w:hint="eastAsia" w:cs="Times New Roman"/>
          <w:color w:val="auto"/>
          <w:highlight w:val="none"/>
          <w:lang w:val="en-US" w:eastAsia="zh-CN"/>
        </w:rPr>
        <w:t>地表水和</w:t>
      </w:r>
      <w:r>
        <w:rPr>
          <w:rFonts w:hint="default" w:ascii="Times New Roman" w:hAnsi="Times New Roman" w:cs="Times New Roman"/>
          <w:color w:val="auto"/>
          <w:highlight w:val="none"/>
          <w:lang w:val="en-US" w:eastAsia="zh-CN"/>
        </w:rPr>
        <w:t>近岸海域环境的影响较小。</w:t>
      </w:r>
    </w:p>
    <w:p>
      <w:pPr>
        <w:bidi w:val="0"/>
        <w:rPr>
          <w:rFonts w:hint="eastAsia" w:cs="Times New Roman"/>
          <w:color w:val="auto"/>
          <w:highlight w:val="none"/>
          <w:lang w:val="en-US" w:eastAsia="zh-CN"/>
        </w:rPr>
      </w:pPr>
      <w:r>
        <w:rPr>
          <w:rFonts w:hint="eastAsia" w:cs="Times New Roman"/>
          <w:color w:val="auto"/>
          <w:highlight w:val="none"/>
          <w:lang w:val="en-US" w:eastAsia="zh-CN"/>
        </w:rPr>
        <w:t>③大气环境质量底线</w:t>
      </w:r>
    </w:p>
    <w:p>
      <w:pPr>
        <w:bidi w:val="0"/>
        <w:rPr>
          <w:rFonts w:hint="default" w:ascii="Times New Roman" w:hAnsi="Times New Roman" w:cs="Times New Roman"/>
          <w:color w:val="auto"/>
          <w:highlight w:val="none"/>
          <w:lang w:eastAsia="zh-CN"/>
        </w:rPr>
      </w:pPr>
      <w:r>
        <w:rPr>
          <w:rFonts w:hint="eastAsia" w:cs="Times New Roman"/>
          <w:color w:val="auto"/>
          <w:highlight w:val="none"/>
          <w:lang w:val="en-US" w:eastAsia="zh-CN"/>
        </w:rPr>
        <w:t>根据</w:t>
      </w:r>
      <w:r>
        <w:rPr>
          <w:rFonts w:hint="eastAsia" w:cs="Times New Roman"/>
          <w:color w:val="auto"/>
          <w:highlight w:val="none"/>
          <w:lang w:eastAsia="zh-CN"/>
        </w:rPr>
        <w:t>《</w:t>
      </w:r>
      <w:r>
        <w:rPr>
          <w:rFonts w:hint="eastAsia" w:cs="Times New Roman"/>
          <w:color w:val="auto"/>
          <w:highlight w:val="none"/>
          <w:lang w:val="en-US" w:eastAsia="zh-CN"/>
        </w:rPr>
        <w:t>宁德市人民政府关于印发宁德市“三线一单”生态环境分区管控方案的通知</w:t>
      </w:r>
      <w:r>
        <w:rPr>
          <w:rFonts w:hint="eastAsia" w:cs="Times New Roman"/>
          <w:color w:val="auto"/>
          <w:highlight w:val="none"/>
          <w:lang w:eastAsia="zh-CN"/>
        </w:rPr>
        <w:t>》（</w:t>
      </w:r>
      <w:r>
        <w:rPr>
          <w:rFonts w:hint="eastAsia" w:cs="Times New Roman"/>
          <w:color w:val="auto"/>
          <w:highlight w:val="none"/>
          <w:lang w:val="en-US" w:eastAsia="zh-CN"/>
        </w:rPr>
        <w:t>宁政﹝2021﹞11号</w:t>
      </w:r>
      <w:r>
        <w:rPr>
          <w:rFonts w:hint="eastAsia" w:cs="Times New Roman"/>
          <w:color w:val="auto"/>
          <w:highlight w:val="none"/>
          <w:lang w:eastAsia="zh-CN"/>
        </w:rPr>
        <w:t>），</w:t>
      </w:r>
      <w:r>
        <w:rPr>
          <w:rFonts w:hint="default" w:cs="Times New Roman"/>
          <w:color w:val="auto"/>
          <w:highlight w:val="none"/>
          <w:lang w:val="en-US" w:eastAsia="zh-CN"/>
        </w:rPr>
        <w:t>到2025年，中心城区PM</w:t>
      </w:r>
      <w:r>
        <w:rPr>
          <w:rFonts w:hint="default" w:cs="Times New Roman"/>
          <w:color w:val="auto"/>
          <w:highlight w:val="none"/>
          <w:vertAlign w:val="subscript"/>
          <w:lang w:val="en-US" w:eastAsia="zh-CN"/>
        </w:rPr>
        <w:t>2.5</w:t>
      </w:r>
      <w:r>
        <w:rPr>
          <w:rFonts w:hint="default" w:cs="Times New Roman"/>
          <w:color w:val="auto"/>
          <w:highlight w:val="none"/>
          <w:lang w:val="en-US" w:eastAsia="zh-CN"/>
        </w:rPr>
        <w:t>年平均浓度不高于23</w:t>
      </w:r>
      <w:r>
        <w:rPr>
          <w:rFonts w:hint="eastAsia" w:cs="Times New Roman"/>
          <w:color w:val="auto"/>
          <w:highlight w:val="none"/>
          <w:lang w:val="en-US" w:eastAsia="zh-CN"/>
        </w:rPr>
        <w:t xml:space="preserve"> </w:t>
      </w:r>
      <w:r>
        <w:rPr>
          <w:rFonts w:hint="default" w:cs="Times New Roman"/>
          <w:color w:val="auto"/>
          <w:highlight w:val="none"/>
          <w:lang w:val="en-US" w:eastAsia="zh-CN"/>
        </w:rPr>
        <w:t>μg/m</w:t>
      </w:r>
      <w:r>
        <w:rPr>
          <w:rFonts w:hint="default" w:cs="Times New Roman"/>
          <w:color w:val="auto"/>
          <w:highlight w:val="none"/>
          <w:vertAlign w:val="superscript"/>
          <w:lang w:val="en-US" w:eastAsia="zh-CN"/>
        </w:rPr>
        <w:t>3</w:t>
      </w:r>
      <w:r>
        <w:rPr>
          <w:rFonts w:hint="default" w:cs="Times New Roman"/>
          <w:color w:val="auto"/>
          <w:highlight w:val="none"/>
          <w:lang w:val="en-US" w:eastAsia="zh-CN"/>
        </w:rPr>
        <w:t>。到2035年，县级以上地区空气质量PM</w:t>
      </w:r>
      <w:r>
        <w:rPr>
          <w:rFonts w:hint="default" w:cs="Times New Roman"/>
          <w:color w:val="auto"/>
          <w:highlight w:val="none"/>
          <w:vertAlign w:val="subscript"/>
          <w:lang w:val="en-US" w:eastAsia="zh-CN"/>
        </w:rPr>
        <w:t>2.5</w:t>
      </w:r>
      <w:r>
        <w:rPr>
          <w:rFonts w:hint="default" w:cs="Times New Roman"/>
          <w:color w:val="auto"/>
          <w:highlight w:val="none"/>
          <w:lang w:val="en-US" w:eastAsia="zh-CN"/>
        </w:rPr>
        <w:t>年平均浓度不高于18</w:t>
      </w:r>
      <w:r>
        <w:rPr>
          <w:rFonts w:hint="eastAsia" w:cs="Times New Roman"/>
          <w:color w:val="auto"/>
          <w:highlight w:val="none"/>
          <w:lang w:val="en-US" w:eastAsia="zh-CN"/>
        </w:rPr>
        <w:t xml:space="preserve"> </w:t>
      </w:r>
      <w:r>
        <w:rPr>
          <w:rFonts w:hint="default" w:cs="Times New Roman"/>
          <w:color w:val="auto"/>
          <w:highlight w:val="none"/>
          <w:lang w:val="en-US" w:eastAsia="zh-CN"/>
        </w:rPr>
        <w:t>μg/m</w:t>
      </w:r>
      <w:r>
        <w:rPr>
          <w:rFonts w:hint="default" w:cs="Times New Roman"/>
          <w:color w:val="auto"/>
          <w:highlight w:val="none"/>
          <w:vertAlign w:val="superscript"/>
          <w:lang w:val="en-US" w:eastAsia="zh-CN"/>
        </w:rPr>
        <w:t>3</w:t>
      </w:r>
      <w:r>
        <w:rPr>
          <w:rFonts w:hint="eastAsia" w:cs="Times New Roman"/>
          <w:color w:val="auto"/>
          <w:highlight w:val="none"/>
          <w:vertAlign w:val="baseline"/>
          <w:lang w:val="en-US" w:eastAsia="zh-CN"/>
        </w:rPr>
        <w:t>。</w:t>
      </w:r>
      <w:r>
        <w:rPr>
          <w:rFonts w:hint="default" w:ascii="Times New Roman" w:hAnsi="Times New Roman" w:cs="Times New Roman"/>
          <w:color w:val="auto"/>
          <w:highlight w:val="none"/>
        </w:rPr>
        <w:t>同时，根据《</w:t>
      </w:r>
      <w:r>
        <w:rPr>
          <w:rFonts w:hint="eastAsia" w:cs="Times New Roman"/>
          <w:color w:val="auto"/>
          <w:highlight w:val="none"/>
          <w:lang w:val="en-US" w:eastAsia="zh-CN"/>
        </w:rPr>
        <w:t>宁德市</w:t>
      </w:r>
      <w:r>
        <w:rPr>
          <w:rFonts w:hint="default" w:ascii="Times New Roman" w:hAnsi="Times New Roman" w:cs="Times New Roman"/>
          <w:color w:val="auto"/>
          <w:highlight w:val="none"/>
        </w:rPr>
        <w:t>“三线一单”研究报告》核定的宁德市</w:t>
      </w:r>
      <w:r>
        <w:rPr>
          <w:rFonts w:hint="eastAsia" w:cs="Times New Roman"/>
          <w:color w:val="auto"/>
          <w:highlight w:val="none"/>
          <w:lang w:val="en-US" w:eastAsia="zh-CN"/>
        </w:rPr>
        <w:t>各区</w:t>
      </w:r>
      <w:r>
        <w:rPr>
          <w:rFonts w:hint="default" w:ascii="Times New Roman" w:hAnsi="Times New Roman" w:cs="Times New Roman"/>
          <w:color w:val="auto"/>
          <w:highlight w:val="none"/>
        </w:rPr>
        <w:t>县2025年主要大气污染物最大允许排放量SO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为10023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t/a、NO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rPr>
        <w:t>为24469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t/a、PM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为16404</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t/a</w:t>
      </w:r>
      <w:r>
        <w:rPr>
          <w:rFonts w:hint="eastAsia" w:cs="Times New Roman"/>
          <w:color w:val="auto"/>
          <w:highlight w:val="none"/>
          <w:lang w:eastAsia="zh-CN"/>
        </w:rPr>
        <w:t>、</w:t>
      </w:r>
      <w:r>
        <w:rPr>
          <w:rFonts w:hint="eastAsia" w:cs="Times New Roman"/>
          <w:color w:val="auto"/>
          <w:highlight w:val="none"/>
          <w:lang w:val="en-US" w:eastAsia="zh-CN"/>
        </w:rPr>
        <w:t>VOCs为32573 t/a、NH</w:t>
      </w:r>
      <w:r>
        <w:rPr>
          <w:rFonts w:hint="eastAsia" w:cs="Times New Roman"/>
          <w:color w:val="auto"/>
          <w:highlight w:val="none"/>
          <w:vertAlign w:val="subscript"/>
          <w:lang w:val="en-US" w:eastAsia="zh-CN"/>
        </w:rPr>
        <w:t>3</w:t>
      </w:r>
      <w:r>
        <w:rPr>
          <w:rFonts w:hint="eastAsia" w:cs="Times New Roman"/>
          <w:color w:val="auto"/>
          <w:highlight w:val="none"/>
          <w:lang w:val="en-US" w:eastAsia="zh-CN"/>
        </w:rPr>
        <w:t>为6710 t/a</w:t>
      </w:r>
      <w:r>
        <w:rPr>
          <w:rFonts w:hint="default" w:ascii="Times New Roman" w:hAnsi="Times New Roman" w:cs="Times New Roman"/>
          <w:color w:val="auto"/>
          <w:highlight w:val="none"/>
          <w:lang w:eastAsia="zh-CN"/>
        </w:rPr>
        <w:t>。</w:t>
      </w:r>
    </w:p>
    <w:p>
      <w:pPr>
        <w:bidi w:val="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本次扩建工程</w:t>
      </w:r>
      <w:r>
        <w:rPr>
          <w:rFonts w:hint="eastAsia" w:cs="Times New Roman"/>
          <w:color w:val="auto"/>
          <w:highlight w:val="none"/>
          <w:lang w:val="en-US" w:eastAsia="zh-CN"/>
        </w:rPr>
        <w:t>完成后全厂</w:t>
      </w:r>
      <w:r>
        <w:rPr>
          <w:rFonts w:hint="default" w:ascii="Times New Roman" w:hAnsi="Times New Roman" w:cs="Times New Roman"/>
          <w:color w:val="auto"/>
          <w:highlight w:val="none"/>
          <w:lang w:val="en-US" w:eastAsia="zh-CN"/>
        </w:rPr>
        <w:t>新增</w:t>
      </w:r>
      <w:r>
        <w:rPr>
          <w:rFonts w:hint="eastAsia" w:cs="Times New Roman"/>
          <w:color w:val="auto"/>
          <w:highlight w:val="none"/>
          <w:lang w:val="en-US" w:eastAsia="zh-CN"/>
        </w:rPr>
        <w:t>污染物</w:t>
      </w:r>
      <w:r>
        <w:rPr>
          <w:rFonts w:hint="default" w:ascii="Times New Roman" w:hAnsi="Times New Roman" w:cs="Times New Roman"/>
          <w:color w:val="auto"/>
          <w:highlight w:val="none"/>
          <w:lang w:val="en-US" w:eastAsia="zh-CN"/>
        </w:rPr>
        <w:t>排放量</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0.9631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t/a，NO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3.3563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t/a</w:t>
      </w:r>
      <w:r>
        <w:rPr>
          <w:rFonts w:hint="eastAsia" w:cs="Times New Roman"/>
          <w:color w:val="auto"/>
          <w:highlight w:val="none"/>
          <w:lang w:eastAsia="zh-CN"/>
        </w:rPr>
        <w:t>、</w:t>
      </w:r>
      <w:r>
        <w:rPr>
          <w:rFonts w:hint="default" w:ascii="Times New Roman" w:hAnsi="Times New Roman" w:cs="Times New Roman"/>
          <w:color w:val="auto"/>
          <w:highlight w:val="none"/>
          <w:lang w:val="en-US" w:eastAsia="zh-CN"/>
        </w:rPr>
        <w:t>颗粒物：</w:t>
      </w:r>
      <w:r>
        <w:rPr>
          <w:rFonts w:hint="eastAsia" w:cs="Times New Roman"/>
          <w:color w:val="auto"/>
          <w:highlight w:val="none"/>
          <w:lang w:val="en-US" w:eastAsia="zh-CN"/>
        </w:rPr>
        <w:t>9.3467</w:t>
      </w:r>
      <w:r>
        <w:rPr>
          <w:rFonts w:hint="default" w:ascii="Times New Roman" w:hAnsi="Times New Roman" w:cs="Times New Roman"/>
          <w:color w:val="auto"/>
          <w:highlight w:val="none"/>
          <w:lang w:val="en-US" w:eastAsia="zh-CN"/>
        </w:rPr>
        <w:t xml:space="preserve"> t/a、</w:t>
      </w:r>
      <w:r>
        <w:rPr>
          <w:rFonts w:hint="eastAsia" w:cs="Times New Roman"/>
          <w:color w:val="auto"/>
          <w:highlight w:val="none"/>
          <w:lang w:val="en-US" w:eastAsia="zh-CN"/>
        </w:rPr>
        <w:t>VOCs：8.0579 t/a、NH</w:t>
      </w:r>
      <w:r>
        <w:rPr>
          <w:rFonts w:hint="eastAsia" w:cs="Times New Roman"/>
          <w:color w:val="auto"/>
          <w:highlight w:val="none"/>
          <w:vertAlign w:val="subscript"/>
          <w:lang w:val="en-US" w:eastAsia="zh-CN"/>
        </w:rPr>
        <w:t>3</w:t>
      </w:r>
      <w:r>
        <w:rPr>
          <w:rFonts w:hint="eastAsia" w:cs="Times New Roman"/>
          <w:color w:val="auto"/>
          <w:highlight w:val="none"/>
          <w:lang w:val="en-US" w:eastAsia="zh-CN"/>
        </w:rPr>
        <w:t>：6710 t/a</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占</w:t>
      </w:r>
      <w:r>
        <w:rPr>
          <w:rFonts w:hint="default" w:ascii="Times New Roman" w:hAnsi="Times New Roman" w:cs="Times New Roman"/>
          <w:color w:val="auto"/>
          <w:highlight w:val="none"/>
        </w:rPr>
        <w:t>《</w:t>
      </w:r>
      <w:r>
        <w:rPr>
          <w:rFonts w:hint="eastAsia" w:cs="Times New Roman"/>
          <w:color w:val="auto"/>
          <w:highlight w:val="none"/>
          <w:lang w:val="en-US" w:eastAsia="zh-CN"/>
        </w:rPr>
        <w:t>宁德市</w:t>
      </w:r>
      <w:r>
        <w:rPr>
          <w:rFonts w:hint="default" w:ascii="Times New Roman" w:hAnsi="Times New Roman" w:cs="Times New Roman"/>
          <w:color w:val="auto"/>
          <w:highlight w:val="none"/>
        </w:rPr>
        <w:t>“三线一单”研究报告》核定的宁德市</w:t>
      </w:r>
      <w:r>
        <w:rPr>
          <w:rFonts w:hint="eastAsia" w:cs="Times New Roman"/>
          <w:color w:val="auto"/>
          <w:highlight w:val="none"/>
          <w:lang w:val="en-US" w:eastAsia="zh-CN"/>
        </w:rPr>
        <w:t>各区</w:t>
      </w:r>
      <w:r>
        <w:rPr>
          <w:rFonts w:hint="default" w:ascii="Times New Roman" w:hAnsi="Times New Roman" w:cs="Times New Roman"/>
          <w:color w:val="auto"/>
          <w:highlight w:val="none"/>
        </w:rPr>
        <w:t>县2025年主要大气污染物最大允许排放量</w:t>
      </w:r>
      <w:r>
        <w:rPr>
          <w:rFonts w:hint="eastAsia" w:cs="Times New Roman"/>
          <w:color w:val="auto"/>
          <w:highlight w:val="none"/>
          <w:lang w:val="en-US" w:eastAsia="zh-CN"/>
        </w:rPr>
        <w:t>的比例较小</w:t>
      </w:r>
      <w:r>
        <w:rPr>
          <w:rFonts w:hint="default" w:ascii="Times New Roman" w:hAnsi="Times New Roman" w:cs="Times New Roman"/>
          <w:color w:val="auto"/>
          <w:highlight w:val="none"/>
        </w:rPr>
        <w:t>，符合“三线一单”要求</w:t>
      </w:r>
      <w:r>
        <w:rPr>
          <w:rFonts w:hint="eastAsia" w:cs="Times New Roman"/>
          <w:color w:val="auto"/>
          <w:highlight w:val="none"/>
          <w:lang w:eastAsia="zh-CN"/>
        </w:rPr>
        <w:t>。</w:t>
      </w:r>
    </w:p>
    <w:p>
      <w:pPr>
        <w:bidi w:val="0"/>
        <w:rPr>
          <w:rFonts w:hint="default"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cs="Times New Roman"/>
          <w:color w:val="auto"/>
          <w:highlight w:val="none"/>
        </w:rPr>
        <w:t>土壤环境风险管控底线</w:t>
      </w:r>
    </w:p>
    <w:p>
      <w:pPr>
        <w:bidi w:val="0"/>
        <w:rPr>
          <w:rFonts w:hint="eastAsia" w:cs="Times New Roman"/>
          <w:color w:val="auto"/>
          <w:highlight w:val="none"/>
          <w:lang w:eastAsia="zh-CN"/>
        </w:rPr>
      </w:pPr>
      <w:r>
        <w:rPr>
          <w:rFonts w:hint="eastAsia" w:cs="Times New Roman"/>
          <w:color w:val="auto"/>
          <w:highlight w:val="none"/>
          <w:lang w:val="en-US" w:eastAsia="zh-CN"/>
        </w:rPr>
        <w:t>根据</w:t>
      </w:r>
      <w:r>
        <w:rPr>
          <w:rFonts w:hint="eastAsia" w:cs="Times New Roman"/>
          <w:color w:val="auto"/>
          <w:highlight w:val="none"/>
          <w:lang w:eastAsia="zh-CN"/>
        </w:rPr>
        <w:t>《</w:t>
      </w:r>
      <w:r>
        <w:rPr>
          <w:rFonts w:hint="eastAsia" w:cs="Times New Roman"/>
          <w:color w:val="auto"/>
          <w:highlight w:val="none"/>
          <w:lang w:val="en-US" w:eastAsia="zh-CN"/>
        </w:rPr>
        <w:t>宁德市人民政府关于印发宁德市“三线一单”生态环境分区管控方案的通知</w:t>
      </w:r>
      <w:r>
        <w:rPr>
          <w:rFonts w:hint="eastAsia" w:cs="Times New Roman"/>
          <w:color w:val="auto"/>
          <w:highlight w:val="none"/>
          <w:lang w:eastAsia="zh-CN"/>
        </w:rPr>
        <w:t>》（</w:t>
      </w:r>
      <w:r>
        <w:rPr>
          <w:rFonts w:hint="eastAsia" w:cs="Times New Roman"/>
          <w:color w:val="auto"/>
          <w:highlight w:val="none"/>
          <w:lang w:val="en-US" w:eastAsia="zh-CN"/>
        </w:rPr>
        <w:t>宁政﹝2021﹞11号</w:t>
      </w:r>
      <w:r>
        <w:rPr>
          <w:rFonts w:hint="eastAsia" w:cs="Times New Roman"/>
          <w:color w:val="auto"/>
          <w:highlight w:val="none"/>
          <w:lang w:eastAsia="zh-CN"/>
        </w:rPr>
        <w:t>），到2025年，全市土壤环境质量保持稳定，土壤环境风险得到管控，受污染耕地和污染地块安全利用率达93％以上。到2035年，全市土壤环境质量稳中向好，土壤环境风险得到全面管控，受污染耕地和污染地块安全利用率达95％以上。</w:t>
      </w:r>
    </w:p>
    <w:p>
      <w:pPr>
        <w:bidi w:val="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企业已按照规范要求建立土壤和地下水污染隐患排查治理制度、风险防控体系和长效监管机制，符合土壤环境风险管控底线与要求</w:t>
      </w:r>
      <w:r>
        <w:rPr>
          <w:rFonts w:hint="eastAsia" w:cs="Times New Roman"/>
          <w:color w:val="auto"/>
          <w:highlight w:val="none"/>
          <w:lang w:eastAsia="zh-CN"/>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资源利用上线</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水资源利用上线的符合性</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根据《福建省人民政府关于下达</w:t>
      </w:r>
      <w:r>
        <w:rPr>
          <w:rFonts w:hint="eastAsia" w:cs="Times New Roman"/>
          <w:color w:val="auto"/>
          <w:highlight w:val="none"/>
          <w:lang w:eastAsia="zh-CN"/>
        </w:rPr>
        <w:t>“</w:t>
      </w:r>
      <w:r>
        <w:rPr>
          <w:rFonts w:hint="eastAsia" w:cs="Times New Roman"/>
          <w:color w:val="auto"/>
          <w:highlight w:val="none"/>
          <w:lang w:val="en-US" w:eastAsia="zh-CN"/>
        </w:rPr>
        <w:t>十三五</w:t>
      </w:r>
      <w:r>
        <w:rPr>
          <w:rFonts w:hint="eastAsia" w:cs="Times New Roman"/>
          <w:color w:val="auto"/>
          <w:highlight w:val="none"/>
          <w:lang w:eastAsia="zh-CN"/>
        </w:rPr>
        <w:t>”</w:t>
      </w:r>
      <w:r>
        <w:rPr>
          <w:rFonts w:hint="eastAsia" w:cs="Times New Roman"/>
          <w:color w:val="auto"/>
          <w:highlight w:val="none"/>
          <w:lang w:val="en-US" w:eastAsia="zh-CN"/>
        </w:rPr>
        <w:t>期间</w:t>
      </w:r>
      <w:r>
        <w:rPr>
          <w:rFonts w:hint="default" w:ascii="Times New Roman" w:hAnsi="Times New Roman" w:cs="Times New Roman"/>
          <w:color w:val="auto"/>
          <w:highlight w:val="none"/>
        </w:rPr>
        <w:t>水资源管理“三条红线”各地控制目标的通知》（闽政文[201</w:t>
      </w:r>
      <w:r>
        <w:rPr>
          <w:rFonts w:hint="eastAsia" w:cs="Times New Roman"/>
          <w:color w:val="auto"/>
          <w:highlight w:val="none"/>
          <w:lang w:val="en-US" w:eastAsia="zh-CN"/>
        </w:rPr>
        <w:t>7</w:t>
      </w:r>
      <w:r>
        <w:rPr>
          <w:rFonts w:hint="default" w:ascii="Times New Roman" w:hAnsi="Times New Roman" w:cs="Times New Roman"/>
          <w:color w:val="auto"/>
          <w:highlight w:val="none"/>
        </w:rPr>
        <w:t>]</w:t>
      </w:r>
      <w:r>
        <w:rPr>
          <w:rFonts w:hint="eastAsia" w:cs="Times New Roman"/>
          <w:color w:val="auto"/>
          <w:highlight w:val="none"/>
          <w:lang w:val="en-US" w:eastAsia="zh-CN"/>
        </w:rPr>
        <w:t xml:space="preserve"> 114</w:t>
      </w:r>
      <w:r>
        <w:rPr>
          <w:rFonts w:hint="default" w:ascii="Times New Roman" w:hAnsi="Times New Roman" w:cs="Times New Roman"/>
          <w:color w:val="auto"/>
          <w:highlight w:val="none"/>
        </w:rPr>
        <w:t>号），宁德市2020年</w:t>
      </w:r>
      <w:r>
        <w:rPr>
          <w:rFonts w:hint="eastAsia" w:cs="Times New Roman"/>
          <w:color w:val="auto"/>
          <w:highlight w:val="none"/>
          <w:lang w:val="en-US" w:eastAsia="zh-CN"/>
        </w:rPr>
        <w:t>用水总量管控指标</w:t>
      </w:r>
      <w:r>
        <w:rPr>
          <w:rFonts w:hint="default" w:ascii="Times New Roman" w:hAnsi="Times New Roman" w:cs="Times New Roman"/>
          <w:color w:val="auto"/>
          <w:highlight w:val="none"/>
        </w:rPr>
        <w:t>为17.00亿m</w:t>
      </w:r>
      <w:r>
        <w:rPr>
          <w:rFonts w:hint="default" w:ascii="Times New Roman" w:hAnsi="Times New Roman" w:cs="Times New Roman"/>
          <w:color w:val="auto"/>
          <w:highlight w:val="none"/>
          <w:vertAlign w:val="superscript"/>
        </w:rPr>
        <w:t>3</w:t>
      </w:r>
      <w:r>
        <w:rPr>
          <w:rFonts w:hint="eastAsia" w:cs="Times New Roman"/>
          <w:color w:val="auto"/>
          <w:highlight w:val="none"/>
          <w:vertAlign w:val="baseline"/>
          <w:lang w:eastAsia="zh-CN"/>
        </w:rPr>
        <w:t>，</w:t>
      </w:r>
      <w:r>
        <w:rPr>
          <w:rFonts w:hint="eastAsia" w:cs="Times New Roman"/>
          <w:color w:val="auto"/>
          <w:highlight w:val="none"/>
          <w:vertAlign w:val="baseline"/>
          <w:lang w:val="en-US" w:eastAsia="zh-CN"/>
        </w:rPr>
        <w:t>2025年和2035年用水总量管控指标以国家下达为准</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本项目用水来自</w:t>
      </w:r>
      <w:r>
        <w:rPr>
          <w:rFonts w:hint="default" w:ascii="Times New Roman" w:hAnsi="Times New Roman" w:cs="Times New Roman"/>
          <w:color w:val="auto"/>
          <w:highlight w:val="none"/>
          <w:lang w:val="en-US" w:eastAsia="zh-CN"/>
        </w:rPr>
        <w:t>园区</w:t>
      </w:r>
      <w:r>
        <w:rPr>
          <w:rFonts w:hint="default" w:ascii="Times New Roman" w:hAnsi="Times New Roman" w:cs="Times New Roman"/>
          <w:color w:val="auto"/>
          <w:highlight w:val="none"/>
        </w:rPr>
        <w:t>市政供水，</w:t>
      </w:r>
      <w:r>
        <w:rPr>
          <w:rFonts w:hint="default" w:ascii="Times New Roman" w:hAnsi="Times New Roman" w:cs="Times New Roman"/>
          <w:color w:val="auto"/>
          <w:highlight w:val="none"/>
          <w:lang w:val="en-US" w:eastAsia="zh-CN"/>
        </w:rPr>
        <w:t>扩建工程实施</w:t>
      </w:r>
      <w:r>
        <w:rPr>
          <w:rFonts w:hint="default" w:ascii="Times New Roman" w:hAnsi="Times New Roman" w:cs="Times New Roman"/>
          <w:color w:val="auto"/>
          <w:highlight w:val="none"/>
        </w:rPr>
        <w:t>后</w:t>
      </w:r>
      <w:r>
        <w:rPr>
          <w:rFonts w:hint="default" w:ascii="Times New Roman" w:hAnsi="Times New Roman" w:cs="Times New Roman"/>
          <w:color w:val="auto"/>
          <w:highlight w:val="none"/>
          <w:lang w:val="en-US" w:eastAsia="zh-CN"/>
        </w:rPr>
        <w:t>平均新增新鲜水用</w:t>
      </w:r>
      <w:r>
        <w:rPr>
          <w:rFonts w:hint="default" w:ascii="Times New Roman" w:hAnsi="Times New Roman" w:cs="Times New Roman"/>
          <w:color w:val="auto"/>
          <w:highlight w:val="none"/>
        </w:rPr>
        <w:t>量约</w:t>
      </w:r>
      <w:r>
        <w:rPr>
          <w:rFonts w:hint="eastAsia" w:cs="Times New Roman"/>
          <w:color w:val="auto"/>
          <w:highlight w:val="none"/>
          <w:lang w:val="en-US" w:eastAsia="zh-CN"/>
        </w:rPr>
        <w:t>49.21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t/d，占区域水资源1166400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t/d的</w:t>
      </w:r>
      <w:r>
        <w:rPr>
          <w:rFonts w:hint="default" w:ascii="Times New Roman" w:hAnsi="Times New Roman" w:cs="Times New Roman"/>
          <w:color w:val="auto"/>
          <w:highlight w:val="none"/>
          <w:lang w:val="en-US" w:eastAsia="zh-CN"/>
        </w:rPr>
        <w:t>0.004</w:t>
      </w:r>
      <w:r>
        <w:rPr>
          <w:rFonts w:hint="eastAsia"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扩建工程新增</w:t>
      </w:r>
      <w:r>
        <w:rPr>
          <w:rFonts w:hint="default" w:ascii="Times New Roman" w:hAnsi="Times New Roman" w:cs="Times New Roman"/>
          <w:color w:val="auto"/>
          <w:highlight w:val="none"/>
        </w:rPr>
        <w:t>取水对其他用水户影响较小，不会突破区域的水资源资源利用上线。</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土地资源利用上线的符合性</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关于福建省土地利用总体规划（2006-2020年）有关指标调整的函》（国土资函〔2017〕356号）、《关于调整设区市、平潭综合实验区现行土地利用总体规划有关指标的批复》（闽政文〔2017〕299号），全面推进国土开发、保护与整治，打造山清水秀、碧海蓝天的美丽家园；加快形成绿色发展方式和生活方式，推动经济社会发展再上新台阶，努力建设“机制活、产业优、百姓富、生态美”的新福建，构建富有竞争力、可持续、安全、开放的“清新福建，美丽国土”，规划期内努力实现以下土地利用目标：至2020年全省建设用地总规模达88万公顷，至2020年宁德市建设用地总规模6.32万公顷。</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位于</w:t>
      </w:r>
      <w:r>
        <w:rPr>
          <w:rFonts w:hint="default" w:ascii="Times New Roman" w:hAnsi="Times New Roman" w:cs="Times New Roman"/>
          <w:color w:val="auto"/>
          <w:highlight w:val="none"/>
          <w:lang w:val="en-US" w:eastAsia="zh-CN"/>
        </w:rPr>
        <w:t>霞浦县牙城镇工业园（原名称：霞浦牙城东洋工业区）1号地块</w:t>
      </w:r>
      <w:r>
        <w:rPr>
          <w:rFonts w:hint="default" w:ascii="Times New Roman" w:hAnsi="Times New Roman" w:cs="Times New Roman"/>
          <w:color w:val="auto"/>
          <w:highlight w:val="none"/>
        </w:rPr>
        <w:t>，占地面积</w:t>
      </w:r>
      <w:r>
        <w:rPr>
          <w:rFonts w:hint="default" w:ascii="Times New Roman" w:hAnsi="Times New Roman" w:cs="Times New Roman"/>
          <w:color w:val="auto"/>
          <w:highlight w:val="none"/>
          <w:lang w:val="en-US" w:eastAsia="zh-CN"/>
        </w:rPr>
        <w:t>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不会突破当地土地资源利用上限。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③</w:t>
      </w:r>
      <w:r>
        <w:rPr>
          <w:rFonts w:hint="default" w:ascii="Times New Roman" w:hAnsi="Times New Roman" w:cs="Times New Roman"/>
          <w:color w:val="auto"/>
          <w:highlight w:val="none"/>
        </w:rPr>
        <w:t>与能源资源利用上线的符合性分析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根据《宁德市“十三五”节能减排综合工作实施方案》（宁政〔2018〕19号），未来宁德市能源消费管控主要目标，到2020年，全市万元GDP能耗比2015年下降10%，能耗增量控制在170万吨标准煤</w:t>
      </w:r>
      <w:r>
        <w:rPr>
          <w:rFonts w:hint="eastAsia" w:cs="Times New Roman"/>
          <w:color w:val="auto"/>
          <w:highlight w:val="none"/>
          <w:lang w:eastAsia="zh-CN"/>
        </w:rPr>
        <w:t>，</w:t>
      </w:r>
      <w:r>
        <w:rPr>
          <w:rFonts w:hint="eastAsia" w:cs="Times New Roman"/>
          <w:color w:val="auto"/>
          <w:highlight w:val="none"/>
          <w:lang w:val="en-US" w:eastAsia="zh-CN"/>
        </w:rPr>
        <w:t>其中霞浦县能耗强度降低目标为6%，能耗增量控制目标为8</w:t>
      </w:r>
      <w:r>
        <w:rPr>
          <w:rFonts w:hint="default" w:ascii="Times New Roman" w:hAnsi="Times New Roman" w:cs="Times New Roman"/>
          <w:color w:val="auto"/>
          <w:highlight w:val="none"/>
        </w:rPr>
        <w:t>万吨标准煤。2025年及2035能源利用上线以国家最终下达目标以及省能源发展专项规划、节能减排综合方案等文件要求为准，实施能源消耗总量和强度双控。</w:t>
      </w:r>
      <w:r>
        <w:rPr>
          <w:rFonts w:hint="default" w:ascii="Times New Roman" w:hAnsi="Times New Roman" w:cs="Times New Roman"/>
          <w:color w:val="auto"/>
          <w:highlight w:val="none"/>
          <w:lang w:val="en-US" w:eastAsia="zh-CN"/>
        </w:rPr>
        <w:t>本次扩建后新增消耗的能源折成标煤量分别为：</w:t>
      </w:r>
      <w:r>
        <w:rPr>
          <w:rFonts w:hint="default" w:ascii="Times New Roman" w:hAnsi="Times New Roman" w:cs="Times New Roman"/>
          <w:color w:val="auto"/>
          <w:highlight w:val="none"/>
        </w:rPr>
        <w:t>新鲜水</w:t>
      </w:r>
      <w:r>
        <w:rPr>
          <w:rFonts w:hint="eastAsia" w:cs="Times New Roman"/>
          <w:color w:val="auto"/>
          <w:highlight w:val="none"/>
          <w:lang w:val="en-US" w:eastAsia="zh-CN"/>
        </w:rPr>
        <w:t>4.1753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val="en-US" w:eastAsia="zh-CN"/>
        </w:rPr>
        <w:t>ce</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天然气：</w:t>
      </w:r>
      <w:r>
        <w:rPr>
          <w:rFonts w:hint="eastAsia" w:cs="Times New Roman"/>
          <w:color w:val="auto"/>
          <w:highlight w:val="none"/>
          <w:lang w:val="en-US" w:eastAsia="zh-CN"/>
        </w:rPr>
        <w:t>5296.8960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val="en-US" w:eastAsia="zh-CN"/>
        </w:rPr>
        <w:t>ce</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电</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1347.5002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val="en-US" w:eastAsia="zh-CN"/>
        </w:rPr>
        <w:t>ce</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能源消耗合计</w:t>
      </w:r>
      <w:r>
        <w:rPr>
          <w:rFonts w:hint="eastAsia" w:cs="Times New Roman"/>
          <w:color w:val="auto"/>
          <w:highlight w:val="none"/>
          <w:lang w:val="en-US" w:eastAsia="zh-CN"/>
        </w:rPr>
        <w:t>6648.5715</w:t>
      </w:r>
      <w:r>
        <w:rPr>
          <w:rFonts w:hint="default" w:ascii="Times New Roman" w:hAnsi="Times New Roman" w:cs="Times New Roman"/>
          <w:color w:val="auto"/>
          <w:highlight w:val="none"/>
          <w:lang w:val="en-US" w:eastAsia="zh-CN"/>
        </w:rPr>
        <w:t xml:space="preserve"> tce，</w:t>
      </w:r>
      <w:r>
        <w:rPr>
          <w:rFonts w:hint="default" w:ascii="Times New Roman" w:hAnsi="Times New Roman" w:cs="Times New Roman"/>
          <w:color w:val="auto"/>
          <w:highlight w:val="none"/>
        </w:rPr>
        <w:t>不会突破当地能源资源利用上限。</w:t>
      </w:r>
    </w:p>
    <w:p>
      <w:pPr>
        <w:bidi w:val="0"/>
        <w:rPr>
          <w:rFonts w:hint="eastAsia"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eastAsia" w:cs="Times New Roman"/>
          <w:color w:val="auto"/>
          <w:highlight w:val="none"/>
          <w:lang w:val="en-US" w:eastAsia="zh-CN"/>
        </w:rPr>
        <w:t>生态环境准入清单</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eastAsia" w:cs="Times New Roman"/>
          <w:color w:val="auto"/>
          <w:highlight w:val="none"/>
          <w:lang w:val="en-US" w:eastAsia="zh-CN"/>
        </w:rPr>
        <w:t>宁德市</w:t>
      </w:r>
      <w:r>
        <w:rPr>
          <w:rFonts w:hint="default" w:ascii="Times New Roman" w:hAnsi="Times New Roman" w:cs="Times New Roman"/>
          <w:color w:val="auto"/>
          <w:highlight w:val="none"/>
        </w:rPr>
        <w:t>生态环境准入清单》，本项目用地范围涉及管控单元为</w:t>
      </w:r>
      <w:r>
        <w:rPr>
          <w:rFonts w:hint="default" w:ascii="Times New Roman" w:hAnsi="Times New Roman" w:cs="Times New Roman"/>
          <w:color w:val="auto"/>
          <w:highlight w:val="none"/>
          <w:lang w:val="en-US" w:eastAsia="zh-CN"/>
        </w:rPr>
        <w:t>霞浦牙城东洋工业区</w:t>
      </w:r>
      <w:r>
        <w:rPr>
          <w:rFonts w:hint="default" w:ascii="Times New Roman" w:hAnsi="Times New Roman" w:cs="Times New Roman"/>
          <w:color w:val="auto"/>
          <w:highlight w:val="none"/>
        </w:rPr>
        <w:t>（ZH35092120002）重点管控单元。</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r>
        <w:rPr>
          <w:rFonts w:hint="default" w:ascii="Times New Roman" w:hAnsi="Times New Roman" w:cs="Times New Roman"/>
          <w:color w:val="auto"/>
          <w:highlight w:val="none"/>
          <w:lang w:val="en-US" w:eastAsia="zh-CN"/>
        </w:rPr>
        <w:t>金属制造业和通用设备制造业禁止引进集中电镀企业；轻功纺织化纤禁止引进印染项目，禁止引进合成纤维前端原料合成（聚酯反应）项目</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r>
        <w:rPr>
          <w:rFonts w:hint="default" w:ascii="Times New Roman" w:hAnsi="Times New Roman" w:cs="Times New Roman"/>
          <w:color w:val="auto"/>
          <w:highlight w:val="none"/>
          <w:lang w:val="en-US" w:eastAsia="zh-CN"/>
        </w:rPr>
        <w:t>1.加强污水管网日常监管巡查，确保工业企业的所有废（污）水都纳管集中处理，鼓励企业中水回用。金属制品业、通用设备制造业的生产废水均纳入园区工业污水处理厂处理达到《污水综合排放标准》（GB8978-1996）一级标准后回用于企业，不外排。2.动物胶制造业、纺织业、鞋业车间有机废气进行净化处理，净化效率应不低于90%。</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环境风险防控：</w:t>
      </w:r>
      <w:r>
        <w:rPr>
          <w:rFonts w:hint="default" w:ascii="Times New Roman" w:hAnsi="Times New Roman" w:cs="Times New Roman"/>
          <w:color w:val="auto"/>
          <w:highlight w:val="none"/>
          <w:lang w:val="en-US" w:eastAsia="zh-CN"/>
        </w:rPr>
        <w:t>建立健全环境风险防控体系，制定环境风险应急预案，建立完善有效的环境风险防控设施和有效的拦截、降污、导流等措施，防止泄漏物和事故废水污染地表水、地下水和土壤环境</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次扩建</w:t>
      </w:r>
      <w:r>
        <w:rPr>
          <w:rFonts w:hint="default" w:ascii="Times New Roman" w:hAnsi="Times New Roman" w:cs="Times New Roman"/>
          <w:color w:val="auto"/>
          <w:highlight w:val="none"/>
        </w:rPr>
        <w:t>工程</w:t>
      </w:r>
      <w:r>
        <w:rPr>
          <w:rFonts w:hint="default" w:ascii="Times New Roman" w:hAnsi="Times New Roman" w:cs="Times New Roman"/>
          <w:color w:val="auto"/>
          <w:highlight w:val="none"/>
          <w:lang w:val="en-US" w:eastAsia="zh-CN"/>
        </w:rPr>
        <w:t>为PET再生纤维项目，</w:t>
      </w:r>
      <w:r>
        <w:rPr>
          <w:rFonts w:hint="default" w:ascii="Times New Roman" w:hAnsi="Times New Roman" w:cs="Times New Roman"/>
          <w:color w:val="auto"/>
          <w:highlight w:val="none"/>
        </w:rPr>
        <w:t>位于</w:t>
      </w:r>
      <w:r>
        <w:rPr>
          <w:rFonts w:hint="default" w:ascii="Times New Roman" w:hAnsi="Times New Roman" w:cs="Times New Roman"/>
          <w:color w:val="auto"/>
          <w:highlight w:val="none"/>
          <w:lang w:val="en-US" w:eastAsia="zh-CN"/>
        </w:rPr>
        <w:t>牙城镇工业园（原名称：霞浦牙城东洋工业区）1号地块。本项目生产工艺不含合成纤维前端原料合成（聚酯反应）。扩建工程拟新建1座污水处理站，污水处理工艺为“气浮+水解酸化+A/O池+MBR膜+板框压滤”，生产废水经污水处理站处理达《合成树脂工业污染物排放标准》（GB31572-2015）中表1直接排放限值（石油类排放标准参照现有工程环评报告书10 mg/L的要求）后排入园区污水管网，纳入牙城镇污水处理厂处理，生活污水经化粪池处理达牙城镇污水处理厂进水水质标准</w:t>
      </w:r>
      <w:r>
        <w:rPr>
          <w:rFonts w:hint="default" w:ascii="Times New Roman" w:hAnsi="Times New Roman" w:eastAsia="宋体" w:cs="Times New Roman"/>
          <w:color w:val="auto"/>
          <w:highlight w:val="none"/>
          <w:lang w:val="en-US" w:eastAsia="zh-CN"/>
        </w:rPr>
        <w:t>后</w:t>
      </w:r>
      <w:r>
        <w:rPr>
          <w:rFonts w:hint="default" w:ascii="Times New Roman" w:hAnsi="Times New Roman" w:cs="Times New Roman"/>
          <w:color w:val="auto"/>
          <w:highlight w:val="none"/>
          <w:lang w:val="en-US" w:eastAsia="zh-CN"/>
        </w:rPr>
        <w:t>，排入园区污水管网，纳入牙城镇污水处理厂处理；扩建工程废气净化效率均不低于90%。项目厂内</w:t>
      </w:r>
      <w:r>
        <w:rPr>
          <w:rFonts w:hint="eastAsia" w:cs="Times New Roman"/>
          <w:color w:val="auto"/>
          <w:highlight w:val="none"/>
          <w:lang w:val="en-US" w:eastAsia="zh-CN"/>
        </w:rPr>
        <w:t>拟</w:t>
      </w:r>
      <w:r>
        <w:rPr>
          <w:rFonts w:hint="default" w:ascii="Times New Roman" w:hAnsi="Times New Roman" w:cs="Times New Roman"/>
          <w:color w:val="auto"/>
          <w:highlight w:val="none"/>
          <w:lang w:val="en-US" w:eastAsia="zh-CN"/>
        </w:rPr>
        <w:t>建设事故应急池</w:t>
      </w:r>
      <w:r>
        <w:rPr>
          <w:rFonts w:hint="eastAsia" w:cs="Times New Roman"/>
          <w:color w:val="auto"/>
          <w:highlight w:val="none"/>
          <w:lang w:val="en-US" w:eastAsia="zh-CN"/>
        </w:rPr>
        <w:t>1座</w:t>
      </w:r>
      <w:r>
        <w:rPr>
          <w:rFonts w:hint="default" w:ascii="Times New Roman" w:hAnsi="Times New Roman" w:cs="Times New Roman"/>
          <w:color w:val="auto"/>
          <w:highlight w:val="none"/>
          <w:lang w:val="en-US" w:eastAsia="zh-CN"/>
        </w:rPr>
        <w:t>、制定环境风险应急预案，</w:t>
      </w:r>
      <w:r>
        <w:rPr>
          <w:rFonts w:hint="default" w:ascii="Times New Roman" w:hAnsi="Times New Roman" w:cs="Times New Roman"/>
          <w:color w:val="auto"/>
          <w:highlight w:val="none"/>
        </w:rPr>
        <w:t>确保有效拦截、降污和导流，防止泄漏物和</w:t>
      </w:r>
      <w:r>
        <w:rPr>
          <w:rFonts w:hint="default" w:ascii="Times New Roman" w:hAnsi="Times New Roman" w:cs="Times New Roman"/>
          <w:color w:val="auto"/>
          <w:highlight w:val="none"/>
          <w:lang w:val="en-US" w:eastAsia="zh-CN"/>
        </w:rPr>
        <w:t>事故废</w:t>
      </w:r>
      <w:r>
        <w:rPr>
          <w:rFonts w:hint="default" w:ascii="Times New Roman" w:hAnsi="Times New Roman" w:cs="Times New Roman"/>
          <w:color w:val="auto"/>
          <w:highlight w:val="none"/>
        </w:rPr>
        <w:t>水</w:t>
      </w:r>
      <w:r>
        <w:rPr>
          <w:rFonts w:hint="default" w:ascii="Times New Roman" w:hAnsi="Times New Roman" w:cs="Times New Roman"/>
          <w:color w:val="auto"/>
          <w:highlight w:val="none"/>
          <w:lang w:val="en-US" w:eastAsia="zh-CN"/>
        </w:rPr>
        <w:t>污染地表水、地下水和土壤环境</w:t>
      </w:r>
      <w:r>
        <w:rPr>
          <w:rFonts w:hint="default" w:ascii="Times New Roman" w:hAnsi="Times New Roman" w:cs="Times New Roman"/>
          <w:color w:val="auto"/>
          <w:highlight w:val="none"/>
        </w:rPr>
        <w:t>。</w:t>
      </w:r>
    </w:p>
    <w:p>
      <w:pPr>
        <w:bidi w:val="0"/>
        <w:rPr>
          <w:rFonts w:hint="default" w:cs="Times New Roman"/>
          <w:color w:val="auto"/>
          <w:highlight w:val="none"/>
          <w:lang w:val="en-US" w:eastAsia="zh-CN"/>
        </w:rPr>
      </w:pPr>
      <w:r>
        <w:rPr>
          <w:rFonts w:hint="default" w:ascii="Times New Roman" w:hAnsi="Times New Roman" w:cs="Times New Roman"/>
          <w:color w:val="auto"/>
          <w:highlight w:val="none"/>
        </w:rPr>
        <w:t>本项目建设符合</w:t>
      </w:r>
      <w:r>
        <w:rPr>
          <w:rFonts w:hint="default" w:ascii="Times New Roman" w:hAnsi="Times New Roman" w:cs="Times New Roman"/>
          <w:color w:val="auto"/>
          <w:highlight w:val="none"/>
          <w:lang w:val="en-US" w:eastAsia="zh-CN"/>
        </w:rPr>
        <w:t>霞浦牙城东洋工业区</w:t>
      </w:r>
      <w:r>
        <w:rPr>
          <w:rFonts w:hint="default" w:ascii="Times New Roman" w:hAnsi="Times New Roman" w:cs="Times New Roman"/>
          <w:color w:val="auto"/>
          <w:highlight w:val="none"/>
        </w:rPr>
        <w:t>（ZH35092120002）重点管控单元管控要求</w:t>
      </w:r>
      <w:r>
        <w:rPr>
          <w:rFonts w:hint="eastAsia" w:cs="Times New Roman"/>
          <w:color w:val="auto"/>
          <w:highlight w:val="none"/>
          <w:lang w:eastAsia="zh-CN"/>
        </w:rPr>
        <w:t>，</w:t>
      </w:r>
      <w:r>
        <w:rPr>
          <w:rFonts w:hint="eastAsia" w:cs="Times New Roman"/>
          <w:color w:val="auto"/>
          <w:highlight w:val="none"/>
          <w:lang w:val="en-US" w:eastAsia="zh-CN"/>
        </w:rPr>
        <w:t>与</w:t>
      </w:r>
      <w:r>
        <w:rPr>
          <w:rFonts w:hint="default" w:ascii="Times New Roman" w:hAnsi="Times New Roman" w:cs="Times New Roman"/>
          <w:color w:val="auto"/>
          <w:highlight w:val="none"/>
        </w:rPr>
        <w:t>《福建省生态环境准入清单》</w:t>
      </w:r>
      <w:r>
        <w:rPr>
          <w:rFonts w:hint="eastAsia" w:cs="Times New Roman"/>
          <w:color w:val="auto"/>
          <w:highlight w:val="none"/>
          <w:lang w:val="en-US" w:eastAsia="zh-CN"/>
        </w:rPr>
        <w:t>相符</w:t>
      </w:r>
      <w:r>
        <w:rPr>
          <w:rFonts w:hint="default" w:ascii="Times New Roman" w:hAnsi="Times New Roman" w:cs="Times New Roman"/>
          <w:color w:val="auto"/>
          <w:highlight w:val="none"/>
        </w:rPr>
        <w:t>。</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综上所述，</w:t>
      </w:r>
      <w:r>
        <w:rPr>
          <w:rFonts w:hint="default" w:ascii="Times New Roman" w:hAnsi="Times New Roman" w:cs="Times New Roman"/>
          <w:color w:val="auto"/>
          <w:highlight w:val="none"/>
        </w:rPr>
        <w:t>本项目选址和建设符合“三线一单”控制要求</w:t>
      </w:r>
      <w:r>
        <w:rPr>
          <w:rFonts w:hint="default" w:ascii="Times New Roman" w:hAnsi="Times New Roman" w:cs="Times New Roman"/>
          <w:color w:val="auto"/>
          <w:highlight w:val="none"/>
          <w:lang w:val="en-US" w:eastAsia="zh-CN"/>
        </w:rPr>
        <w:t>。</w:t>
      </w:r>
    </w:p>
    <w:p>
      <w:pPr>
        <w:pStyle w:val="3"/>
        <w:numPr>
          <w:ilvl w:val="1"/>
          <w:numId w:val="0"/>
        </w:numPr>
        <w:tabs>
          <w:tab w:val="clear" w:pos="0"/>
        </w:tabs>
        <w:bidi w:val="0"/>
        <w:ind w:leftChars="0"/>
        <w:rPr>
          <w:rFonts w:hint="default" w:ascii="Times New Roman" w:hAnsi="Times New Roman" w:cs="Times New Roman"/>
          <w:color w:val="auto"/>
          <w:highlight w:val="none"/>
          <w:lang w:val="en-US" w:eastAsia="zh-CN"/>
        </w:rPr>
      </w:pPr>
      <w:bookmarkStart w:id="20" w:name="_Toc14800"/>
      <w:bookmarkStart w:id="21" w:name="_Toc10039"/>
      <w:bookmarkStart w:id="22" w:name="_Toc17512"/>
      <w:bookmarkStart w:id="23" w:name="_Toc14550"/>
      <w:r>
        <w:rPr>
          <w:rFonts w:hint="default" w:ascii="Times New Roman" w:hAnsi="Times New Roman" w:cs="Times New Roman"/>
          <w:color w:val="auto"/>
          <w:highlight w:val="none"/>
          <w:lang w:val="en-US" w:eastAsia="zh-CN"/>
        </w:rPr>
        <w:t>4 关注的主要环境问题</w:t>
      </w:r>
      <w:bookmarkEnd w:id="20"/>
      <w:bookmarkEnd w:id="21"/>
      <w:bookmarkEnd w:id="22"/>
      <w:bookmarkEnd w:id="23"/>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项目存在的环境影响问题包括：施工期环境影响问题和运营期环境影响问题。</w:t>
      </w:r>
    </w:p>
    <w:p>
      <w:pPr>
        <w:pStyle w:val="4"/>
        <w:numPr>
          <w:ilvl w:val="2"/>
          <w:numId w:val="0"/>
        </w:numPr>
        <w:tabs>
          <w:tab w:val="left" w:pos="420"/>
          <w:tab w:val="clear" w:pos="0"/>
        </w:tabs>
        <w:bidi w:val="0"/>
        <w:ind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 施工期主要环境问题</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本次扩建项目新增用地面积22772.5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（合34.159亩），工程建设内容主要包括纺丝楼、后纺车间、仓库、综合办公楼、宿舍楼的土建施工以及配套设施的建设。施工期主要关注的环境问题为：施工废水、废气、噪声和固体废物对环境的影响。</w:t>
      </w:r>
    </w:p>
    <w:p>
      <w:pPr>
        <w:pStyle w:val="4"/>
        <w:numPr>
          <w:ilvl w:val="2"/>
          <w:numId w:val="0"/>
        </w:numPr>
        <w:tabs>
          <w:tab w:val="left" w:pos="420"/>
          <w:tab w:val="clear" w:pos="0"/>
        </w:tabs>
        <w:bidi w:val="0"/>
        <w:ind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 运营期主要环境问题</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（1）项目运营期废气治理措施可行性及废气排放对周围环境的影响。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（2）关注项目拟采取的废水污染防治措施，</w:t>
      </w:r>
      <w:r>
        <w:rPr>
          <w:rFonts w:hint="eastAsia" w:cs="Times New Roman"/>
          <w:color w:val="auto"/>
          <w:highlight w:val="none"/>
          <w:lang w:val="en-US" w:eastAsia="zh-CN"/>
        </w:rPr>
        <w:t>进行</w:t>
      </w:r>
      <w:r>
        <w:rPr>
          <w:rFonts w:hint="default" w:ascii="Times New Roman" w:hAnsi="Times New Roman" w:cs="Times New Roman"/>
          <w:color w:val="auto"/>
          <w:highlight w:val="none"/>
          <w:lang w:val="en-US" w:eastAsia="zh-CN"/>
        </w:rPr>
        <w:t>环境经济技术可行性分析，牙城镇污水处理厂是否能够接纳项目排放的废水。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（3）项目设备运行时噪声排放对周围环境敏感目标的影响。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（4）项目运营期一般工业固体废物、危险废物、生活垃圾等的处理处置。</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（5）污水处理站废水泄漏可能对地下水、土壤造成的影响。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（6）项目拟采取的风险防范措施的可行性。</w:t>
      </w:r>
    </w:p>
    <w:p>
      <w:pPr>
        <w:pStyle w:val="3"/>
        <w:numPr>
          <w:ilvl w:val="1"/>
          <w:numId w:val="0"/>
        </w:numPr>
        <w:tabs>
          <w:tab w:val="clear" w:pos="0"/>
        </w:tabs>
        <w:bidi w:val="0"/>
        <w:ind w:leftChars="0"/>
        <w:rPr>
          <w:rFonts w:hint="default" w:ascii="Times New Roman" w:hAnsi="Times New Roman" w:cs="Times New Roman"/>
          <w:color w:val="auto"/>
          <w:highlight w:val="none"/>
          <w:lang w:val="en-US" w:eastAsia="zh-CN"/>
        </w:rPr>
      </w:pPr>
      <w:bookmarkStart w:id="24" w:name="_Toc3907"/>
      <w:bookmarkStart w:id="25" w:name="_Toc15715"/>
      <w:bookmarkStart w:id="26" w:name="_Toc16790"/>
      <w:bookmarkStart w:id="27" w:name="_Toc9193"/>
      <w:r>
        <w:rPr>
          <w:rFonts w:hint="default" w:ascii="Times New Roman" w:hAnsi="Times New Roman" w:cs="Times New Roman"/>
          <w:color w:val="auto"/>
          <w:highlight w:val="none"/>
          <w:lang w:val="en-US" w:eastAsia="zh-CN"/>
        </w:rPr>
        <w:t>5 环境影响评价的主要结论</w:t>
      </w:r>
      <w:bookmarkEnd w:id="24"/>
      <w:bookmarkEnd w:id="25"/>
      <w:bookmarkEnd w:id="26"/>
      <w:bookmarkEnd w:id="27"/>
    </w:p>
    <w:p>
      <w:pPr>
        <w:bidi w:val="0"/>
        <w:jc w:val="both"/>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val="en-US" w:eastAsia="zh-CN"/>
        </w:rPr>
        <w:t>年产5万吨PET再生纤维生产线项目位于宁德市</w:t>
      </w:r>
      <w:r>
        <w:rPr>
          <w:rFonts w:hint="default" w:ascii="Times New Roman" w:hAnsi="Times New Roman" w:cs="Times New Roman"/>
          <w:color w:val="auto"/>
          <w:highlight w:val="none"/>
          <w:lang w:eastAsia="zh-CN"/>
        </w:rPr>
        <w:t>霞浦县牙城</w:t>
      </w:r>
      <w:r>
        <w:rPr>
          <w:rFonts w:hint="default" w:ascii="Times New Roman" w:hAnsi="Times New Roman" w:cs="Times New Roman"/>
          <w:color w:val="auto"/>
          <w:highlight w:val="none"/>
          <w:lang w:val="en-US" w:eastAsia="zh-CN"/>
        </w:rPr>
        <w:t>镇工业园1号地块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项目用地</w:t>
      </w:r>
      <w:r>
        <w:rPr>
          <w:rFonts w:hint="default" w:ascii="Times New Roman" w:hAnsi="Times New Roman" w:cs="Times New Roman"/>
          <w:color w:val="auto"/>
          <w:highlight w:val="none"/>
          <w:lang w:eastAsia="zh-CN"/>
        </w:rPr>
        <w:t>符合</w:t>
      </w:r>
      <w:r>
        <w:rPr>
          <w:rFonts w:hint="default" w:ascii="Times New Roman" w:hAnsi="Times New Roman" w:cs="Times New Roman"/>
          <w:color w:val="auto"/>
          <w:highlight w:val="none"/>
          <w:lang w:val="en-US" w:eastAsia="zh-CN"/>
        </w:rPr>
        <w:t>《宁德市霞浦县牙城镇东洋工业园区控制性详细规划》用地要求，符合牙城镇工业园产业布局和产业定位，</w:t>
      </w:r>
      <w:r>
        <w:rPr>
          <w:rFonts w:hint="default" w:ascii="Times New Roman" w:hAnsi="Times New Roman" w:cs="Times New Roman"/>
          <w:color w:val="auto"/>
          <w:highlight w:val="none"/>
          <w:lang w:eastAsia="zh-CN"/>
        </w:rPr>
        <w:t>符合</w:t>
      </w:r>
      <w:r>
        <w:rPr>
          <w:rFonts w:hint="default" w:ascii="Times New Roman" w:hAnsi="Times New Roman" w:cs="Times New Roman"/>
          <w:color w:val="auto"/>
          <w:highlight w:val="none"/>
          <w:lang w:val="en-US" w:eastAsia="zh-CN"/>
        </w:rPr>
        <w:t>规划环评及审查意见的要求，符合</w:t>
      </w:r>
      <w:r>
        <w:rPr>
          <w:rFonts w:hint="default" w:ascii="Times New Roman" w:hAnsi="Times New Roman" w:cs="Times New Roman"/>
          <w:color w:val="auto"/>
          <w:highlight w:val="none"/>
          <w:lang w:eastAsia="zh-CN"/>
        </w:rPr>
        <w:t>国家政策，环境风险处于可接受水平，开展公众参与公示期间，未收到任何公众反馈意见，公众对建设项目环境影响方面未提出质疑性意见。采取的各项污染防治措施可行，各项污染物均可实现达标排放和妥善处置；正常生产和运营时，项目对周围环境影响不大。</w:t>
      </w:r>
    </w:p>
    <w:p>
      <w:pPr>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因此，建设单位在严格落实国家有关法律法规和落实报告书提出的各项污染防治措施和环境风险防范措施，并加强环境管理的前提下，从环境影响的角度考虑，该项目的建设是可行</w:t>
      </w:r>
      <w:r>
        <w:rPr>
          <w:rFonts w:hint="default" w:ascii="Times New Roman" w:hAnsi="Times New Roman" w:cs="Times New Roman"/>
          <w:color w:val="auto"/>
          <w:highlight w:val="none"/>
          <w:lang w:val="en-US" w:eastAsia="zh-CN"/>
        </w:rPr>
        <w:t>的。</w:t>
      </w:r>
    </w:p>
    <w:p>
      <w:pPr>
        <w:bidi w:val="0"/>
        <w:jc w:val="both"/>
        <w:rPr>
          <w:rFonts w:hint="default" w:ascii="Times New Roman" w:hAnsi="Times New Roman" w:cs="Times New Roman"/>
          <w:color w:val="auto"/>
          <w:highlight w:val="none"/>
          <w:lang w:val="en-US" w:eastAsia="zh-CN"/>
        </w:rPr>
      </w:pPr>
    </w:p>
    <w:p>
      <w:pPr>
        <w:bidi w:val="0"/>
        <w:jc w:val="both"/>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pPr>
    </w:p>
    <w:p>
      <w:pPr>
        <w:pStyle w:val="2"/>
        <w:bidi w:val="0"/>
        <w:ind w:left="432" w:leftChars="0" w:hanging="432" w:firstLineChars="0"/>
        <w:rPr>
          <w:rFonts w:hint="default" w:ascii="Times New Roman" w:hAnsi="Times New Roman" w:cs="Times New Roman"/>
          <w:color w:val="auto"/>
          <w:highlight w:val="none"/>
          <w:lang w:val="en-US" w:eastAsia="zh-CN"/>
        </w:rPr>
        <w:sectPr>
          <w:pgSz w:w="11906" w:h="16838"/>
          <w:pgMar w:top="1417" w:right="1417" w:bottom="1417" w:left="1417" w:header="1020" w:footer="1020" w:gutter="0"/>
          <w:pgBorders w:offsetFrom="page">
            <w:top w:val="none" w:sz="0" w:space="0"/>
            <w:left w:val="none" w:sz="0" w:space="0"/>
            <w:bottom w:val="none" w:sz="0" w:space="0"/>
            <w:right w:val="none" w:sz="0" w:space="0"/>
          </w:pgBorders>
          <w:pgNumType w:fmt="upperRoman"/>
          <w:cols w:space="425" w:num="1"/>
          <w:docGrid w:type="lines" w:linePitch="312" w:charSpace="0"/>
        </w:sectPr>
      </w:pPr>
    </w:p>
    <w:p>
      <w:pPr>
        <w:pStyle w:val="2"/>
        <w:bidi w:val="0"/>
        <w:rPr>
          <w:rFonts w:hint="default" w:ascii="Times New Roman" w:hAnsi="Times New Roman" w:eastAsia="宋体" w:cs="Times New Roman"/>
          <w:color w:val="auto"/>
          <w:highlight w:val="none"/>
          <w:lang w:val="en-US" w:eastAsia="zh-CN"/>
        </w:rPr>
      </w:pPr>
      <w:bookmarkStart w:id="28" w:name="_Toc9682"/>
      <w:bookmarkStart w:id="29" w:name="_Toc161"/>
      <w:bookmarkStart w:id="30" w:name="_Toc28215"/>
      <w:bookmarkStart w:id="31" w:name="_Toc18926"/>
      <w:r>
        <w:rPr>
          <w:rFonts w:hint="default" w:ascii="Times New Roman" w:hAnsi="Times New Roman" w:eastAsia="宋体" w:cs="Times New Roman"/>
          <w:color w:val="auto"/>
          <w:highlight w:val="none"/>
          <w:lang w:val="en-US" w:eastAsia="zh-CN"/>
        </w:rPr>
        <w:t xml:space="preserve">总 </w:t>
      </w:r>
      <w:bookmarkEnd w:id="0"/>
      <w:r>
        <w:rPr>
          <w:rFonts w:hint="default" w:ascii="Times New Roman" w:hAnsi="Times New Roman" w:eastAsia="宋体" w:cs="Times New Roman"/>
          <w:color w:val="auto"/>
          <w:highlight w:val="none"/>
          <w:lang w:val="en-US" w:eastAsia="zh-CN"/>
        </w:rPr>
        <w:t xml:space="preserve"> 则</w:t>
      </w:r>
      <w:bookmarkEnd w:id="1"/>
      <w:bookmarkEnd w:id="2"/>
      <w:bookmarkEnd w:id="3"/>
      <w:bookmarkEnd w:id="28"/>
      <w:bookmarkEnd w:id="29"/>
      <w:bookmarkEnd w:id="30"/>
      <w:bookmarkEnd w:id="31"/>
    </w:p>
    <w:p>
      <w:pPr>
        <w:pStyle w:val="3"/>
        <w:tabs>
          <w:tab w:val="clear" w:pos="420"/>
        </w:tabs>
        <w:bidi w:val="0"/>
        <w:rPr>
          <w:rFonts w:hint="default" w:ascii="Times New Roman" w:hAnsi="Times New Roman" w:cs="Times New Roman"/>
          <w:color w:val="auto"/>
          <w:highlight w:val="none"/>
          <w:lang w:val="en-US" w:eastAsia="zh-CN"/>
        </w:rPr>
      </w:pPr>
      <w:bookmarkStart w:id="32" w:name="_Toc4981"/>
      <w:bookmarkStart w:id="33" w:name="_Toc301532082"/>
      <w:bookmarkStart w:id="34" w:name="_Toc12869"/>
      <w:bookmarkStart w:id="35" w:name="_Toc16109"/>
      <w:bookmarkStart w:id="36" w:name="_Toc356282484"/>
      <w:bookmarkStart w:id="37" w:name="_Toc22929"/>
      <w:bookmarkStart w:id="38" w:name="_Toc17209"/>
      <w:bookmarkStart w:id="39" w:name="_Toc301600681"/>
      <w:bookmarkStart w:id="40" w:name="_Toc301900912"/>
      <w:bookmarkStart w:id="41" w:name="_Toc301600444"/>
      <w:bookmarkStart w:id="42" w:name="_Toc24095"/>
      <w:bookmarkStart w:id="43" w:name="_Toc352"/>
      <w:r>
        <w:rPr>
          <w:rFonts w:hint="default" w:ascii="Times New Roman" w:hAnsi="Times New Roman" w:cs="Times New Roman"/>
          <w:color w:val="auto"/>
          <w:highlight w:val="none"/>
          <w:lang w:val="en-US" w:eastAsia="zh-CN"/>
        </w:rPr>
        <w:t>编制依据</w:t>
      </w:r>
      <w:bookmarkEnd w:id="32"/>
      <w:bookmarkEnd w:id="33"/>
      <w:bookmarkEnd w:id="34"/>
      <w:bookmarkEnd w:id="35"/>
      <w:bookmarkEnd w:id="36"/>
      <w:bookmarkEnd w:id="37"/>
      <w:bookmarkEnd w:id="38"/>
      <w:bookmarkEnd w:id="39"/>
      <w:bookmarkEnd w:id="40"/>
      <w:bookmarkEnd w:id="41"/>
      <w:bookmarkEnd w:id="42"/>
      <w:bookmarkEnd w:id="43"/>
    </w:p>
    <w:p>
      <w:pPr>
        <w:pStyle w:val="4"/>
        <w:bidi w:val="0"/>
        <w:rPr>
          <w:rFonts w:hint="default" w:ascii="Times New Roman" w:hAnsi="Times New Roman" w:cs="Times New Roman"/>
          <w:color w:val="auto"/>
          <w:highlight w:val="none"/>
          <w:lang w:val="en-US" w:eastAsia="zh-CN"/>
        </w:rPr>
      </w:pPr>
      <w:bookmarkStart w:id="44" w:name="_Toc20593"/>
      <w:bookmarkStart w:id="45" w:name="_Toc447"/>
      <w:r>
        <w:rPr>
          <w:rFonts w:hint="default" w:ascii="Times New Roman" w:hAnsi="Times New Roman" w:cs="Times New Roman"/>
          <w:color w:val="auto"/>
          <w:highlight w:val="none"/>
          <w:lang w:val="en-US" w:eastAsia="zh-CN"/>
        </w:rPr>
        <w:t>国家及地方环保法律法规</w:t>
      </w:r>
      <w:bookmarkEnd w:id="44"/>
      <w:bookmarkEnd w:id="45"/>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）《中华人民共和国环境保护法》</w:t>
      </w:r>
      <w:r>
        <w:rPr>
          <w:rFonts w:hint="default" w:ascii="Times New Roman" w:hAnsi="Times New Roman" w:cs="Times New Roman"/>
          <w:color w:val="auto"/>
          <w:sz w:val="24"/>
          <w:highlight w:val="none"/>
        </w:rPr>
        <w:t>（2014年修订</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2015年1月1日起施行）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）《中华人民共和国环境影响评价法》</w:t>
      </w:r>
      <w:r>
        <w:rPr>
          <w:rFonts w:hint="default" w:ascii="Times New Roman" w:hAnsi="Times New Roman" w:cs="Times New Roman"/>
          <w:color w:val="auto"/>
          <w:sz w:val="24"/>
          <w:highlight w:val="none"/>
        </w:rPr>
        <w:t>（2018年12月29日修订并施行）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）《中华人民共和国水污染防治法》</w:t>
      </w:r>
      <w:r>
        <w:rPr>
          <w:rFonts w:hint="default" w:ascii="Times New Roman" w:hAnsi="Times New Roman" w:cs="Times New Roman"/>
          <w:color w:val="auto"/>
          <w:sz w:val="24"/>
          <w:highlight w:val="none"/>
        </w:rPr>
        <w:t>（2017年修订，2018年1月1日施行）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）《中华人民共和国大气污染防治法》</w:t>
      </w:r>
      <w:r>
        <w:rPr>
          <w:rFonts w:hint="default" w:ascii="Times New Roman" w:hAnsi="Times New Roman" w:cs="Times New Roman"/>
          <w:color w:val="auto"/>
          <w:sz w:val="24"/>
          <w:highlight w:val="none"/>
        </w:rPr>
        <w:t>（2018年10月26日修订并施行）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）《中华人民共和国噪声污染防治法》</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2021年12月24日通过，</w:t>
      </w:r>
      <w:r>
        <w:rPr>
          <w:rFonts w:hint="default" w:ascii="Times New Roman" w:hAnsi="Times New Roman" w:cs="Times New Roman"/>
          <w:color w:val="auto"/>
          <w:sz w:val="24"/>
          <w:highlight w:val="none"/>
        </w:rPr>
        <w:t>20</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rPr>
        <w:t>月</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日起施行）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中华人民共和国土壤污染防治法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2018年8月31日公布，2019年1月1日起施行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）《中华人民共和国固体废物污染环境防治法》</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2020年4月29日修订</w:t>
      </w:r>
      <w:r>
        <w:rPr>
          <w:rFonts w:hint="default" w:ascii="Times New Roman" w:hAnsi="Times New Roman" w:cs="Times New Roman"/>
          <w:color w:val="auto"/>
          <w:sz w:val="24"/>
          <w:highlight w:val="none"/>
        </w:rPr>
        <w:t>，20</w:t>
      </w:r>
      <w:r>
        <w:rPr>
          <w:rFonts w:hint="default" w:ascii="Times New Roman" w:hAnsi="Times New Roman" w:cs="Times New Roman"/>
          <w:color w:val="auto"/>
          <w:sz w:val="24"/>
          <w:highlight w:val="none"/>
          <w:lang w:val="en-US" w:eastAsia="zh-CN"/>
        </w:rPr>
        <w:t>20</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rPr>
        <w:t>月</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日</w:t>
      </w:r>
      <w:r>
        <w:rPr>
          <w:rFonts w:hint="default" w:ascii="Times New Roman" w:hAnsi="Times New Roman" w:cs="Times New Roman"/>
          <w:color w:val="auto"/>
          <w:sz w:val="24"/>
          <w:highlight w:val="none"/>
          <w:lang w:val="en-US" w:eastAsia="zh-CN"/>
        </w:rPr>
        <w:t>起实施</w:t>
      </w:r>
      <w:r>
        <w:rPr>
          <w:rFonts w:hint="default" w:ascii="Times New Roman" w:hAnsi="Times New Roman" w:cs="Times New Roman"/>
          <w:color w:val="auto"/>
          <w:sz w:val="24"/>
          <w:highlight w:val="none"/>
        </w:rPr>
        <w:t>）</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）《中华人民共和国清洁生产促进法》</w:t>
      </w:r>
      <w:r>
        <w:rPr>
          <w:rFonts w:hint="default" w:ascii="Times New Roman" w:hAnsi="Times New Roman" w:cs="Times New Roman"/>
          <w:b w:val="0"/>
          <w:bCs w:val="0"/>
          <w:color w:val="auto"/>
          <w:sz w:val="24"/>
          <w:highlight w:val="none"/>
        </w:rPr>
        <w:t>（20</w:t>
      </w:r>
      <w:r>
        <w:rPr>
          <w:rFonts w:hint="default" w:ascii="Times New Roman" w:hAnsi="Times New Roman" w:cs="Times New Roman"/>
          <w:b w:val="0"/>
          <w:bCs w:val="0"/>
          <w:color w:val="auto"/>
          <w:sz w:val="24"/>
          <w:highlight w:val="none"/>
          <w:lang w:val="en-US" w:eastAsia="zh-CN"/>
        </w:rPr>
        <w:t>12</w:t>
      </w:r>
      <w:r>
        <w:rPr>
          <w:rFonts w:hint="default" w:ascii="Times New Roman" w:hAnsi="Times New Roman" w:cs="Times New Roman"/>
          <w:b w:val="0"/>
          <w:bCs w:val="0"/>
          <w:color w:val="auto"/>
          <w:sz w:val="24"/>
          <w:highlight w:val="none"/>
        </w:rPr>
        <w:t>年</w:t>
      </w:r>
      <w:r>
        <w:rPr>
          <w:rFonts w:hint="default" w:ascii="Times New Roman" w:hAnsi="Times New Roman" w:cs="Times New Roman"/>
          <w:b w:val="0"/>
          <w:bCs w:val="0"/>
          <w:color w:val="auto"/>
          <w:sz w:val="24"/>
          <w:highlight w:val="none"/>
          <w:lang w:val="en-US" w:eastAsia="zh-CN"/>
        </w:rPr>
        <w:t>修正，2012年7月1日起施行</w:t>
      </w:r>
      <w:r>
        <w:rPr>
          <w:rFonts w:hint="default" w:ascii="Times New Roman" w:hAnsi="Times New Roman" w:cs="Times New Roman"/>
          <w:b w:val="0"/>
          <w:bCs w:val="0"/>
          <w:color w:val="auto"/>
          <w:sz w:val="24"/>
          <w:highlight w:val="none"/>
        </w:rPr>
        <w:t>）</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中华人民共和国水法</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（2016年</w:t>
      </w:r>
      <w:r>
        <w:rPr>
          <w:rFonts w:hint="default" w:ascii="Times New Roman" w:hAnsi="Times New Roman" w:cs="Times New Roman"/>
          <w:color w:val="auto"/>
          <w:sz w:val="24"/>
          <w:highlight w:val="none"/>
          <w:lang w:val="en-US" w:eastAsia="zh-CN"/>
        </w:rPr>
        <w:t>修正，2016年9月1日起施行</w:t>
      </w:r>
      <w:r>
        <w:rPr>
          <w:rFonts w:hint="default" w:ascii="Times New Roman" w:hAnsi="Times New Roman" w:cs="Times New Roman"/>
          <w:color w:val="auto"/>
          <w:sz w:val="24"/>
          <w:highlight w:val="none"/>
        </w:rPr>
        <w:t>）</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lang w:eastAsia="zh-CN"/>
        </w:rPr>
        <w:t>《建设项目环境保护管理条例》</w:t>
      </w:r>
      <w:r>
        <w:rPr>
          <w:rFonts w:hint="default" w:ascii="Times New Roman" w:hAnsi="Times New Roman" w:cs="Times New Roman"/>
          <w:color w:val="auto"/>
          <w:sz w:val="24"/>
          <w:highlight w:val="none"/>
        </w:rPr>
        <w:t>（2017年</w:t>
      </w:r>
      <w:r>
        <w:rPr>
          <w:rFonts w:hint="default" w:ascii="Times New Roman" w:hAnsi="Times New Roman" w:cs="Times New Roman"/>
          <w:color w:val="auto"/>
          <w:sz w:val="24"/>
          <w:highlight w:val="none"/>
          <w:lang w:val="en-US" w:eastAsia="zh-CN"/>
        </w:rPr>
        <w:t>修正，2017年10月1日起施行</w:t>
      </w:r>
      <w:r>
        <w:rPr>
          <w:rFonts w:hint="default" w:ascii="Times New Roman" w:hAnsi="Times New Roman" w:cs="Times New Roman"/>
          <w:color w:val="auto"/>
          <w:sz w:val="24"/>
          <w:highlight w:val="none"/>
        </w:rPr>
        <w:t>）</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《中华人民共和国节约能源法》（201</w:t>
      </w:r>
      <w:r>
        <w:rPr>
          <w:rFonts w:hint="default" w:ascii="Times New Roman" w:hAnsi="Times New Roman" w:cs="Times New Roman"/>
          <w:color w:val="auto"/>
          <w:sz w:val="24"/>
          <w:highlight w:val="none"/>
          <w:lang w:val="en-US" w:eastAsia="zh-CN"/>
        </w:rPr>
        <w:t>8年</w:t>
      </w:r>
      <w:r>
        <w:rPr>
          <w:rFonts w:hint="default" w:ascii="Times New Roman" w:hAnsi="Times New Roman" w:cs="Times New Roman"/>
          <w:color w:val="auto"/>
          <w:sz w:val="24"/>
          <w:highlight w:val="none"/>
        </w:rPr>
        <w:t>修</w:t>
      </w:r>
      <w:r>
        <w:rPr>
          <w:rFonts w:hint="default" w:ascii="Times New Roman" w:hAnsi="Times New Roman" w:cs="Times New Roman"/>
          <w:color w:val="auto"/>
          <w:sz w:val="24"/>
          <w:highlight w:val="none"/>
          <w:lang w:val="en-US" w:eastAsia="zh-CN"/>
        </w:rPr>
        <w:t>正</w:t>
      </w:r>
      <w:r>
        <w:rPr>
          <w:rFonts w:hint="default" w:ascii="Times New Roman" w:hAnsi="Times New Roman" w:cs="Times New Roman"/>
          <w:color w:val="auto"/>
          <w:sz w:val="24"/>
          <w:highlight w:val="none"/>
        </w:rPr>
        <w:t>，201</w:t>
      </w: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10月26日起施行</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《中华人民共和国突发事件应对法》</w:t>
      </w:r>
      <w:r>
        <w:rPr>
          <w:rFonts w:hint="default" w:ascii="Times New Roman" w:hAnsi="Times New Roman" w:cs="Times New Roman"/>
          <w:color w:val="auto"/>
          <w:highlight w:val="none"/>
          <w:lang w:val="en-US" w:eastAsia="zh-CN"/>
        </w:rPr>
        <w:t>（2007年，2007年11月1日起施行）；</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（13）《危险化学品安全管理条例》（2013年修正，2013年12月7日起施行）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中华人民共和国循环经济促进法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2018年10月修正，2018年10月26日起施行</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lang w:eastAsia="zh-CN"/>
        </w:rPr>
        <w:t>）</w:t>
      </w:r>
      <w:r>
        <w:rPr>
          <w:rFonts w:hint="eastAsia" w:cs="Times New Roman"/>
          <w:color w:val="auto"/>
          <w:highlight w:val="none"/>
          <w:u w:val="none"/>
          <w:lang w:eastAsia="zh-CN"/>
        </w:rPr>
        <w:t>《</w:t>
      </w:r>
      <w:r>
        <w:rPr>
          <w:rFonts w:hint="eastAsia" w:cs="Times New Roman"/>
          <w:color w:val="auto"/>
          <w:highlight w:val="none"/>
          <w:u w:val="none"/>
          <w:lang w:val="en-US" w:eastAsia="zh-CN"/>
        </w:rPr>
        <w:t>排污许可管理条例</w:t>
      </w:r>
      <w:r>
        <w:rPr>
          <w:rFonts w:hint="eastAsia" w:cs="Times New Roman"/>
          <w:color w:val="auto"/>
          <w:highlight w:val="none"/>
          <w:u w:val="none"/>
          <w:lang w:eastAsia="zh-CN"/>
        </w:rPr>
        <w:t>》（</w:t>
      </w:r>
      <w:r>
        <w:rPr>
          <w:rFonts w:hint="eastAsia" w:cs="Times New Roman"/>
          <w:color w:val="auto"/>
          <w:highlight w:val="none"/>
          <w:u w:val="none"/>
          <w:lang w:val="en-US" w:eastAsia="zh-CN"/>
        </w:rPr>
        <w:t>国令第736号，2021年3月1日起施行</w:t>
      </w:r>
      <w:r>
        <w:rPr>
          <w:rFonts w:hint="eastAsia" w:cs="Times New Roman"/>
          <w:color w:val="auto"/>
          <w:highlight w:val="none"/>
          <w:u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《福建省环境保护条例》</w:t>
      </w:r>
      <w:r>
        <w:rPr>
          <w:rFonts w:hint="default" w:ascii="Times New Roman" w:hAnsi="Times New Roman" w:cs="Times New Roman"/>
          <w:color w:val="auto"/>
          <w:highlight w:val="none"/>
          <w:lang w:val="en-US" w:eastAsia="zh-CN"/>
        </w:rPr>
        <w:t>（2019年修订）</w:t>
      </w:r>
      <w:r>
        <w:rPr>
          <w:rFonts w:hint="default" w:ascii="Times New Roman" w:hAnsi="Times New Roman" w:cs="Times New Roman"/>
          <w:color w:val="auto"/>
          <w:highlight w:val="none"/>
          <w:lang w:eastAsia="zh-CN"/>
        </w:rPr>
        <w:t>；</w:t>
      </w:r>
    </w:p>
    <w:p>
      <w:pPr>
        <w:bidi w:val="0"/>
        <w:rPr>
          <w:rFonts w:hint="eastAsia" w:ascii="Times New Roman" w:hAnsi="Times New Roman" w:eastAsia="宋体" w:cs="Times New Roman"/>
          <w:color w:val="auto"/>
          <w:highlight w:val="none"/>
          <w:u w:val="none"/>
          <w:lang w:eastAsia="zh-CN"/>
        </w:rPr>
      </w:pPr>
      <w:r>
        <w:rPr>
          <w:rFonts w:hint="eastAsia" w:cs="Times New Roman"/>
          <w:color w:val="auto"/>
          <w:highlight w:val="none"/>
          <w:u w:val="none"/>
          <w:lang w:eastAsia="zh-CN"/>
        </w:rPr>
        <w:t>（</w:t>
      </w:r>
      <w:r>
        <w:rPr>
          <w:rFonts w:hint="eastAsia" w:cs="Times New Roman"/>
          <w:color w:val="auto"/>
          <w:highlight w:val="none"/>
          <w:u w:val="none"/>
          <w:lang w:val="en-US" w:eastAsia="zh-CN"/>
        </w:rPr>
        <w:t>16</w:t>
      </w:r>
      <w:r>
        <w:rPr>
          <w:rFonts w:hint="eastAsia" w:cs="Times New Roman"/>
          <w:color w:val="auto"/>
          <w:highlight w:val="none"/>
          <w:u w:val="none"/>
          <w:lang w:eastAsia="zh-CN"/>
        </w:rPr>
        <w:t>）</w:t>
      </w:r>
      <w:r>
        <w:rPr>
          <w:rFonts w:hint="default" w:ascii="Times New Roman" w:hAnsi="Times New Roman" w:cs="Times New Roman"/>
          <w:color w:val="auto"/>
          <w:highlight w:val="none"/>
          <w:u w:val="none"/>
        </w:rPr>
        <w:t>《福建省大气污染防治条例》（2019年</w:t>
      </w:r>
      <w:r>
        <w:rPr>
          <w:rFonts w:hint="eastAsia" w:cs="Times New Roman"/>
          <w:color w:val="auto"/>
          <w:highlight w:val="none"/>
          <w:u w:val="none"/>
          <w:lang w:val="en-US" w:eastAsia="zh-CN"/>
        </w:rPr>
        <w:t>1月1日起实施</w:t>
      </w:r>
      <w:r>
        <w:rPr>
          <w:rFonts w:hint="default" w:ascii="Times New Roman" w:hAnsi="Times New Roman" w:cs="Times New Roman"/>
          <w:color w:val="auto"/>
          <w:highlight w:val="none"/>
          <w:u w:val="none"/>
        </w:rPr>
        <w:t>）</w:t>
      </w:r>
      <w:r>
        <w:rPr>
          <w:rFonts w:hint="eastAsia" w:cs="Times New Roman"/>
          <w:color w:val="auto"/>
          <w:highlight w:val="none"/>
          <w:u w:val="none"/>
          <w:lang w:eastAsia="zh-CN"/>
        </w:rPr>
        <w:t>；</w:t>
      </w:r>
    </w:p>
    <w:p>
      <w:pPr>
        <w:bidi w:val="0"/>
        <w:rPr>
          <w:rFonts w:hint="default" w:ascii="Times New Roman" w:hAnsi="Times New Roman" w:eastAsia="宋体" w:cs="Times New Roman"/>
          <w:color w:val="auto"/>
          <w:szCs w:val="24"/>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17</w:t>
      </w:r>
      <w:r>
        <w:rPr>
          <w:rFonts w:hint="eastAsia" w:cs="Times New Roman"/>
          <w:color w:val="auto"/>
          <w:highlight w:val="none"/>
          <w:lang w:eastAsia="zh-CN"/>
        </w:rPr>
        <w:t>）《</w:t>
      </w:r>
      <w:r>
        <w:rPr>
          <w:rFonts w:hint="eastAsia" w:cs="Times New Roman"/>
          <w:color w:val="auto"/>
          <w:highlight w:val="none"/>
          <w:lang w:val="en-US" w:eastAsia="zh-CN"/>
        </w:rPr>
        <w:t>福建省水污染防治条例</w:t>
      </w:r>
      <w:r>
        <w:rPr>
          <w:rFonts w:hint="eastAsia" w:cs="Times New Roman"/>
          <w:color w:val="auto"/>
          <w:highlight w:val="none"/>
          <w:lang w:eastAsia="zh-CN"/>
        </w:rPr>
        <w:t>》（</w:t>
      </w:r>
      <w:r>
        <w:rPr>
          <w:rFonts w:hint="default" w:ascii="Times New Roman" w:hAnsi="Times New Roman" w:cs="Times New Roman"/>
          <w:color w:val="auto"/>
          <w:highlight w:val="none"/>
          <w:u w:val="none"/>
        </w:rPr>
        <w:t>20</w:t>
      </w:r>
      <w:r>
        <w:rPr>
          <w:rFonts w:hint="eastAsia" w:cs="Times New Roman"/>
          <w:color w:val="auto"/>
          <w:highlight w:val="none"/>
          <w:u w:val="none"/>
          <w:lang w:val="en-US" w:eastAsia="zh-CN"/>
        </w:rPr>
        <w:t>21</w:t>
      </w:r>
      <w:r>
        <w:rPr>
          <w:rFonts w:hint="default" w:ascii="Times New Roman" w:hAnsi="Times New Roman" w:cs="Times New Roman"/>
          <w:color w:val="auto"/>
          <w:highlight w:val="none"/>
          <w:u w:val="none"/>
        </w:rPr>
        <w:t>年</w:t>
      </w:r>
      <w:r>
        <w:rPr>
          <w:rFonts w:hint="eastAsia" w:cs="Times New Roman"/>
          <w:color w:val="auto"/>
          <w:highlight w:val="none"/>
          <w:u w:val="none"/>
          <w:lang w:val="en-US" w:eastAsia="zh-CN"/>
        </w:rPr>
        <w:t>11月1日起实施</w:t>
      </w:r>
      <w:r>
        <w:rPr>
          <w:rFonts w:hint="eastAsia" w:cs="Times New Roman"/>
          <w:color w:val="auto"/>
          <w:highlight w:val="none"/>
          <w:lang w:eastAsia="zh-CN"/>
        </w:rPr>
        <w:t>）</w:t>
      </w:r>
      <w:r>
        <w:rPr>
          <w:rFonts w:hint="default" w:ascii="Times New Roman" w:hAnsi="Times New Roman" w:cs="Times New Roman"/>
          <w:color w:val="auto"/>
          <w:highlight w:val="none"/>
          <w:lang w:eastAsia="zh-CN"/>
        </w:rPr>
        <w:t>。</w:t>
      </w:r>
    </w:p>
    <w:p>
      <w:pPr>
        <w:pStyle w:val="4"/>
        <w:bidi w:val="0"/>
        <w:rPr>
          <w:rFonts w:hint="default" w:ascii="Times New Roman" w:hAnsi="Times New Roman" w:cs="Times New Roman"/>
          <w:color w:val="auto"/>
          <w:highlight w:val="none"/>
          <w:lang w:val="en-US" w:eastAsia="zh-CN"/>
        </w:rPr>
      </w:pPr>
      <w:bookmarkStart w:id="46" w:name="_Toc23342"/>
      <w:bookmarkStart w:id="47" w:name="_Toc5325"/>
      <w:r>
        <w:rPr>
          <w:rFonts w:hint="default" w:ascii="Times New Roman" w:hAnsi="Times New Roman" w:cs="Times New Roman"/>
          <w:color w:val="auto"/>
          <w:highlight w:val="none"/>
          <w:lang w:val="en-US" w:eastAsia="zh-CN"/>
        </w:rPr>
        <w:t>有关规章及规范性文件</w:t>
      </w:r>
      <w:bookmarkEnd w:id="46"/>
      <w:bookmarkEnd w:id="47"/>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《建设项目环境影响评价分类管理名录</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w:t>
      </w:r>
      <w:r>
        <w:rPr>
          <w:rFonts w:hint="default" w:ascii="Times New Roman" w:hAnsi="Times New Roman" w:cs="Times New Roman"/>
          <w:color w:val="auto"/>
          <w:sz w:val="24"/>
          <w:highlight w:val="none"/>
          <w:lang w:val="en-US" w:eastAsia="zh-CN"/>
        </w:rPr>
        <w:t>21</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版</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生态环境部 部令第16号，2021年1月1日起施行</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highlight w:val="none"/>
          <w:lang w:eastAsia="zh-CN"/>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《产业结构调整指导目录</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2019年本</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国家发展和改革委员会第29号，</w:t>
      </w:r>
      <w:r>
        <w:rPr>
          <w:rFonts w:hint="default" w:ascii="Times New Roman" w:hAnsi="Times New Roman" w:cs="Times New Roman"/>
          <w:color w:val="auto"/>
          <w:sz w:val="24"/>
          <w:highlight w:val="none"/>
        </w:rPr>
        <w:t>2020年1月1日实施</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《部分工业行业淘汰落后生产工艺装备和产品指导目录（2010年本）》（工产业[2010]第122号）；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《国家危险废物名录</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20</w:t>
      </w:r>
      <w:r>
        <w:rPr>
          <w:rFonts w:hint="default" w:ascii="Times New Roman" w:hAnsi="Times New Roman" w:cs="Times New Roman"/>
          <w:color w:val="auto"/>
          <w:sz w:val="24"/>
          <w:highlight w:val="none"/>
          <w:lang w:val="en-US" w:eastAsia="zh-CN"/>
        </w:rPr>
        <w:t>21</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版</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2021年1月1日起施行</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《限制用地项目目录（2012年</w:t>
      </w:r>
      <w:r>
        <w:rPr>
          <w:rFonts w:hint="default" w:ascii="Times New Roman" w:hAnsi="Times New Roman" w:cs="Times New Roman"/>
          <w:color w:val="auto"/>
          <w:highlight w:val="none"/>
          <w:lang w:val="en-US" w:eastAsia="zh-CN"/>
        </w:rPr>
        <w:t>本</w:t>
      </w:r>
      <w:r>
        <w:rPr>
          <w:rFonts w:hint="default" w:ascii="Times New Roman" w:hAnsi="Times New Roman" w:eastAsia="宋体" w:cs="Times New Roman"/>
          <w:color w:val="auto"/>
          <w:highlight w:val="none"/>
        </w:rPr>
        <w:t>）》和《禁止用地项目目录（2012年</w:t>
      </w:r>
      <w:r>
        <w:rPr>
          <w:rFonts w:hint="default" w:ascii="Times New Roman" w:hAnsi="Times New Roman" w:cs="Times New Roman"/>
          <w:color w:val="auto"/>
          <w:highlight w:val="none"/>
          <w:lang w:val="en-US" w:eastAsia="zh-CN"/>
        </w:rPr>
        <w:t>本</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国土资发[2012]98号</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《关于印发&lt;地下水环境状况调查评价工作指南（试行）&gt;等6个工作指南的通知》（环办〔2014〕99号）；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《关于落实大气污染防治行动计划严格环境影响评价准入的通知》（环办[2014]30号）；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《“十三五”挥发性有机物污染防治工作方案》（环大气[2017]121号）；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《挥发性有机物（VOCs）污染防治技术政策》（</w:t>
      </w:r>
      <w:r>
        <w:rPr>
          <w:rFonts w:hint="default" w:ascii="Times New Roman" w:hAnsi="Times New Roman" w:cs="Times New Roman"/>
          <w:color w:val="auto"/>
          <w:highlight w:val="none"/>
          <w:lang w:val="en-US" w:eastAsia="zh-CN"/>
        </w:rPr>
        <w:t>公告2013年第31号，</w:t>
      </w:r>
      <w:r>
        <w:rPr>
          <w:rFonts w:hint="default" w:ascii="Times New Roman" w:hAnsi="Times New Roman" w:eastAsia="宋体" w:cs="Times New Roman"/>
          <w:color w:val="auto"/>
          <w:highlight w:val="none"/>
        </w:rPr>
        <w:t>2013年</w:t>
      </w:r>
      <w:r>
        <w:rPr>
          <w:rFonts w:hint="default" w:ascii="Times New Roman" w:hAnsi="Times New Roman" w:cs="Times New Roman"/>
          <w:color w:val="auto"/>
          <w:highlight w:val="none"/>
          <w:lang w:val="en-US" w:eastAsia="zh-CN"/>
        </w:rPr>
        <w:t>5月24起实施</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《危险废物污染防治技术政策》(环发［2001］199号)；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《关于开展化学品环境管理和危险废物专项执法检查的通知》（环办[2011]115号）；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《关于进一步加强环境影响评价管理防范环境风险的通知》（环发[2012]77号）；</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《关于切实加强风险防范严格环境影响评价管理的通知》（环发[2012]98号）</w:t>
      </w:r>
      <w:r>
        <w:rPr>
          <w:rFonts w:hint="default" w:ascii="Times New Roman" w:hAnsi="Times New Roman" w:cs="Times New Roman"/>
          <w:color w:val="auto"/>
          <w:highlight w:val="none"/>
          <w:lang w:eastAsia="zh-CN"/>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电子废物、废轮胎、废塑料、废旧衣服、废家电拆解等再生利用行业清理整顿工作方案</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闽环保土[2017]38号</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中国资源综合利用技术政策大纲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发展改革委公告2010第14号</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循环再利用化学纤维（涤纶）行业规范条件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循环再利用化学纤维（涤纶）企业规范公告管理暂行办法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2021第15号，工业和信息化部，2021年7月1日起实施</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关于国家环保总局等五部门2008年11号公告中使用过的废塑料袋、膜、网的有关说明的通知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2008年2月，国家环保部</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关于印发资源综合利用目录（2003年修订）的通知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发改环资[2004]73号</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再生资源回收管理办法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商务部令2007年第8号，2019年修正</w:t>
      </w:r>
      <w:r>
        <w:rPr>
          <w:rFonts w:hint="default" w:ascii="Times New Roman" w:hAnsi="Times New Roman" w:cs="Times New Roman"/>
          <w:color w:val="auto"/>
          <w:highlight w:val="none"/>
          <w:lang w:eastAsia="zh-CN"/>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福建省人民政府关于印发</w:t>
      </w:r>
      <w:r>
        <w:rPr>
          <w:rFonts w:hint="default" w:ascii="Times New Roman" w:hAnsi="Times New Roman" w:eastAsia="宋体" w:cs="Times New Roman"/>
          <w:color w:val="auto"/>
          <w:highlight w:val="none"/>
        </w:rPr>
        <w:t>水污染防治行动计划工作方案</w:t>
      </w:r>
      <w:r>
        <w:rPr>
          <w:rFonts w:hint="default" w:ascii="Times New Roman" w:hAnsi="Times New Roman" w:cs="Times New Roman"/>
          <w:color w:val="auto"/>
          <w:highlight w:val="none"/>
          <w:lang w:val="en-US" w:eastAsia="zh-CN"/>
        </w:rPr>
        <w:t>的通知</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闽政[</w:t>
      </w:r>
      <w:r>
        <w:rPr>
          <w:rFonts w:hint="default" w:ascii="Times New Roman" w:hAnsi="Times New Roman" w:eastAsia="宋体" w:cs="Times New Roman"/>
          <w:color w:val="auto"/>
          <w:highlight w:val="none"/>
        </w:rPr>
        <w:t>2015</w:t>
      </w:r>
      <w:r>
        <w:rPr>
          <w:rFonts w:hint="default" w:ascii="Times New Roman" w:hAnsi="Times New Roman" w:cs="Times New Roman"/>
          <w:color w:val="auto"/>
          <w:highlight w:val="none"/>
          <w:lang w:val="en-US" w:eastAsia="zh-CN"/>
        </w:rPr>
        <w:t>]26号</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《福建省大气污染防治行动计划实施细则》（闽政[2014]</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rPr>
        <w:t>1号）；</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22</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《福建省固体废物污染环境防治若干规定》（2009年）；</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《福建省重点行业挥发性有机物排放控制要求》（试行）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闽环保大气[2017] 9号</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福建省重点行业挥发性有机物污染防治工作方案</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闽环保大气[2017] 6号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w:t>
      </w:r>
    </w:p>
    <w:p>
      <w:pPr>
        <w:pStyle w:val="4"/>
        <w:bidi w:val="0"/>
        <w:rPr>
          <w:rFonts w:hint="default" w:ascii="Times New Roman" w:hAnsi="Times New Roman" w:cs="Times New Roman"/>
          <w:color w:val="auto"/>
          <w:highlight w:val="none"/>
          <w:lang w:val="en-US" w:eastAsia="zh-CN"/>
        </w:rPr>
      </w:pPr>
      <w:bookmarkStart w:id="48" w:name="_Toc22229"/>
      <w:r>
        <w:rPr>
          <w:rFonts w:hint="default" w:ascii="Times New Roman" w:hAnsi="Times New Roman" w:cs="Times New Roman"/>
          <w:color w:val="auto"/>
          <w:highlight w:val="none"/>
          <w:lang w:val="en-US" w:eastAsia="zh-CN"/>
        </w:rPr>
        <w:t>有关技术规范</w:t>
      </w:r>
      <w:bookmarkEnd w:id="48"/>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建设项目</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总纲》（HJ2.1-2016）；</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地</w:t>
      </w:r>
      <w:r>
        <w:rPr>
          <w:rFonts w:hint="default" w:ascii="Times New Roman" w:hAnsi="Times New Roman" w:cs="Times New Roman"/>
          <w:color w:val="auto"/>
          <w:highlight w:val="none"/>
          <w:lang w:val="en-US" w:eastAsia="zh-CN"/>
        </w:rPr>
        <w:t>表</w:t>
      </w:r>
      <w:r>
        <w:rPr>
          <w:rFonts w:hint="default" w:ascii="Times New Roman" w:hAnsi="Times New Roman" w:cs="Times New Roman"/>
          <w:color w:val="auto"/>
          <w:highlight w:val="none"/>
          <w:lang w:eastAsia="zh-CN"/>
        </w:rPr>
        <w:t>水环境》（HJ2.3-</w:t>
      </w:r>
      <w:r>
        <w:rPr>
          <w:rFonts w:hint="default" w:ascii="Times New Roman" w:hAnsi="Times New Roman" w:cs="Times New Roman"/>
          <w:color w:val="auto"/>
          <w:highlight w:val="none"/>
          <w:lang w:val="en-US" w:eastAsia="zh-CN"/>
        </w:rPr>
        <w:t>2018</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地下水环境》（HJ610-2016）；</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anchor distT="0" distB="0" distL="114300" distR="114300" simplePos="0" relativeHeight="251662336" behindDoc="0" locked="0" layoutInCell="1" allowOverlap="1">
            <wp:simplePos x="0" y="0"/>
            <wp:positionH relativeFrom="column">
              <wp:posOffset>-4612005</wp:posOffset>
            </wp:positionH>
            <wp:positionV relativeFrom="paragraph">
              <wp:posOffset>1071245</wp:posOffset>
            </wp:positionV>
            <wp:extent cx="635" cy="0"/>
            <wp:effectExtent l="0" t="0" r="0" b="0"/>
            <wp:wrapNone/>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1"/>
                    <a:stretch>
                      <a:fillRect/>
                    </a:stretch>
                  </pic:blipFill>
                  <pic:spPr>
                    <a:xfrm>
                      <a:off x="0" y="0"/>
                      <a:ext cx="635" cy="0"/>
                    </a:xfrm>
                    <a:prstGeom prst="rect">
                      <a:avLst/>
                    </a:prstGeom>
                    <a:noFill/>
                    <a:ln>
                      <a:noFill/>
                    </a:ln>
                  </pic:spPr>
                </pic:pic>
              </a:graphicData>
            </a:graphic>
          </wp:anchor>
        </w:drawing>
      </w:r>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-4612005</wp:posOffset>
                </wp:positionH>
                <wp:positionV relativeFrom="paragraph">
                  <wp:posOffset>1071245</wp:posOffset>
                </wp:positionV>
                <wp:extent cx="635" cy="0"/>
                <wp:effectExtent l="0" t="0" r="0" b="0"/>
                <wp:wrapNone/>
                <wp:docPr id="5" name="文本框 5"/>
                <wp:cNvGraphicFramePr/>
                <a:graphic xmlns:a="http://schemas.openxmlformats.org/drawingml/2006/main">
                  <a:graphicData uri="http://schemas.microsoft.com/office/word/2010/wordprocessingShape">
                    <wps:wsp>
                      <wps:cNvSpPr txBox="1"/>
                      <wps:spPr>
                        <a:xfrm>
                          <a:off x="0" y="0"/>
                          <a:ext cx="635" cy="0"/>
                        </a:xfrm>
                        <a:prstGeom prst="rect">
                          <a:avLst/>
                        </a:prstGeom>
                        <a:noFill/>
                        <a:ln>
                          <a:noFill/>
                        </a:ln>
                      </wps:spPr>
                      <wps:txbx>
                        <w:txbxContent>
                          <w:p>
                            <w:pPr>
                              <w:rPr>
                                <w:rFonts w:hint="default" w:ascii="Times New Roman" w:hAnsi="Times New Roman" w:eastAsia="宋体"/>
                                <w:color w:val="FFFF00"/>
                                <w:highlight w:val="none"/>
                                <w:lang w:val="en-US" w:eastAsia="zh-CN"/>
                              </w:rPr>
                            </w:pPr>
                            <w:r>
                              <w:rPr>
                                <w:rFonts w:hint="eastAsia" w:ascii="Times New Roman" w:hAnsi="Times New Roman" w:eastAsia="宋体"/>
                                <w:color w:val="FFFF00"/>
                                <w:highlight w:val="none"/>
                                <w:lang w:val="en-US" w:eastAsia="zh-CN"/>
                              </w:rPr>
                              <w:t>5 km</w:t>
                            </w:r>
                          </w:p>
                        </w:txbxContent>
                      </wps:txbx>
                      <wps:bodyPr upright="1"/>
                    </wps:wsp>
                  </a:graphicData>
                </a:graphic>
              </wp:anchor>
            </w:drawing>
          </mc:Choice>
          <mc:Fallback>
            <w:pict>
              <v:shape id="_x0000_s1026" o:spid="_x0000_s1026" o:spt="202" type="#_x0000_t202" style="position:absolute;left:0pt;margin-left:-363.15pt;margin-top:84.35pt;height:0pt;width:0.05pt;z-index:251661312;mso-width-relative:page;mso-height-relative:page;" filled="f" stroked="f" coordsize="21600,21600" o:gfxdata="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I+l3lzXAAAADQEAAA8AAAAA&#10;AAAAAQAgAAAAIgAAAGRycy9kb3ducmV2LnhtbFBLAQIUABQAAAAIAIdO4kB6DKaNowEAAEUDAAAO&#10;AAAAAAAAAAEAIAAAACYBAABkcnMvZTJvRG9jLnhtbFBLBQYAAAAABgAGAFkBAAA7BQAAAAA=&#10;">
                <v:fill on="f" focussize="0,0"/>
                <v:stroke on="f"/>
                <v:imagedata o:title=""/>
                <o:lock v:ext="edit" aspectratio="f"/>
                <v:textbox>
                  <w:txbxContent>
                    <w:p>
                      <w:pPr>
                        <w:rPr>
                          <w:rFonts w:hint="default" w:ascii="Times New Roman" w:hAnsi="Times New Roman" w:eastAsia="宋体"/>
                          <w:color w:val="FFFF00"/>
                          <w:highlight w:val="none"/>
                          <w:lang w:val="en-US" w:eastAsia="zh-CN"/>
                        </w:rPr>
                      </w:pPr>
                      <w:r>
                        <w:rPr>
                          <w:rFonts w:hint="eastAsia" w:ascii="Times New Roman" w:hAnsi="Times New Roman" w:eastAsia="宋体"/>
                          <w:color w:val="FFFF00"/>
                          <w:highlight w:val="none"/>
                          <w:lang w:val="en-US" w:eastAsia="zh-CN"/>
                        </w:rPr>
                        <w:t>5 km</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-4612005</wp:posOffset>
                </wp:positionH>
                <wp:positionV relativeFrom="paragraph">
                  <wp:posOffset>1071245</wp:posOffset>
                </wp:positionV>
                <wp:extent cx="635" cy="0"/>
                <wp:effectExtent l="75565" t="38100" r="0" b="38100"/>
                <wp:wrapNone/>
                <wp:docPr id="6" name="直接连接符 6"/>
                <wp:cNvGraphicFramePr/>
                <a:graphic xmlns:a="http://schemas.openxmlformats.org/drawingml/2006/main">
                  <a:graphicData uri="http://schemas.microsoft.com/office/word/2010/wordprocessingShape">
                    <wps:wsp>
                      <wps:cNvCnPr/>
                      <wps:spPr>
                        <a:xfrm flipV="1">
                          <a:off x="0" y="0"/>
                          <a:ext cx="635" cy="0"/>
                        </a:xfrm>
                        <a:prstGeom prst="line">
                          <a:avLst/>
                        </a:prstGeom>
                        <a:ln w="9525" cap="flat" cmpd="sng">
                          <a:solidFill>
                            <a:srgbClr val="FFFF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363.15pt;margin-top:84.35pt;height:0pt;width:0.05pt;z-index:251660288;mso-width-relative:page;mso-height-relative:page;" filled="f" stroked="t" coordsize="21600,21600" o:gfxdata="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z8KyTXAAAADQEAAA8AAAAAAAAAAQAgAAAAIgAAAGRycy9kb3du&#10;cmV2LnhtbFBLAQIUABQAAAAIAIdO4kA4rb9CAAIAAO4DAAAOAAAAAAAAAAEAIAAAACYBAABkcnMv&#10;ZTJvRG9jLnhtbFBLBQYAAAAABgAGAFkBAACYBQAAAAA=&#10;">
                <v:fill on="f" focussize="0,0"/>
                <v:stroke color="#FFFF00" joinstyle="round" endarrow="block"/>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-4612005</wp:posOffset>
                </wp:positionH>
                <wp:positionV relativeFrom="paragraph">
                  <wp:posOffset>1071245</wp:posOffset>
                </wp:positionV>
                <wp:extent cx="635" cy="0"/>
                <wp:effectExtent l="0" t="0" r="0" b="0"/>
                <wp:wrapNone/>
                <wp:docPr id="2" name="文本框 2"/>
                <wp:cNvGraphicFramePr/>
                <a:graphic xmlns:a="http://schemas.openxmlformats.org/drawingml/2006/main">
                  <a:graphicData uri="http://schemas.microsoft.com/office/word/2010/wordprocessingShape">
                    <wps:wsp>
                      <wps:cNvSpPr txBox="1"/>
                      <wps:spPr>
                        <a:xfrm>
                          <a:off x="0" y="0"/>
                          <a:ext cx="635" cy="0"/>
                        </a:xfrm>
                        <a:prstGeom prst="rect">
                          <a:avLst/>
                        </a:prstGeom>
                        <a:solidFill>
                          <a:srgbClr val="FFFFFF"/>
                        </a:solidFill>
                        <a:ln>
                          <a:noFill/>
                        </a:ln>
                      </wps:spPr>
                      <wps:txbx>
                        <w:txbxContent>
                          <w:p>
                            <w:pPr>
                              <w:jc w:val="center"/>
                              <w:rPr>
                                <w:rFonts w:hint="default" w:ascii="Times New Roman" w:hAnsi="Times New Roman" w:eastAsia="宋体"/>
                                <w:b/>
                                <w:bCs/>
                                <w:sz w:val="24"/>
                                <w:szCs w:val="24"/>
                                <w:lang w:val="en-US" w:eastAsia="zh-CN"/>
                              </w:rPr>
                            </w:pPr>
                            <w:r>
                              <w:rPr>
                                <w:rFonts w:hint="eastAsia" w:ascii="Times New Roman" w:hAnsi="Times New Roman" w:eastAsia="宋体"/>
                                <w:b/>
                                <w:bCs/>
                                <w:sz w:val="24"/>
                                <w:szCs w:val="24"/>
                                <w:lang w:val="en-US" w:eastAsia="zh-CN"/>
                              </w:rPr>
                              <w:t>图1.6-2  项目大气环境影响评价范围图</w:t>
                            </w:r>
                          </w:p>
                        </w:txbxContent>
                      </wps:txbx>
                      <wps:bodyPr upright="1"/>
                    </wps:wsp>
                  </a:graphicData>
                </a:graphic>
              </wp:anchor>
            </w:drawing>
          </mc:Choice>
          <mc:Fallback>
            <w:pict>
              <v:shape id="_x0000_s1026" o:spid="_x0000_s1026" o:spt="202" type="#_x0000_t202" style="position:absolute;left:0pt;margin-left:-363.15pt;margin-top:84.35pt;height:0pt;width:0.05pt;z-index:251659264;mso-width-relative:page;mso-height-relative:page;" fillcolor="#FFFFFF" filled="t" stroked="f" coordsize="21600,21600" o:gfxdata="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N6i7VzXAAAADQEAAA8AAAAAAAAAAQAgAAAAIgAAAGRycy9kb3ducmV2LnhtbFBLAQIUABQA&#10;AAAIAIdO4kBYtNA9uAEAAG4DAAAOAAAAAAAAAAEAIAAAACYBAABkcnMvZTJvRG9jLnhtbFBLBQYA&#10;AAAABgAGAFkBAABQBQAAAAA=&#10;">
                <v:fill on="t" focussize="0,0"/>
                <v:stroke on="f"/>
                <v:imagedata o:title=""/>
                <o:lock v:ext="edit" aspectratio="f"/>
                <v:textbox>
                  <w:txbxContent>
                    <w:p>
                      <w:pPr>
                        <w:jc w:val="center"/>
                        <w:rPr>
                          <w:rFonts w:hint="default" w:ascii="Times New Roman" w:hAnsi="Times New Roman" w:eastAsia="宋体"/>
                          <w:b/>
                          <w:bCs/>
                          <w:sz w:val="24"/>
                          <w:szCs w:val="24"/>
                          <w:lang w:val="en-US" w:eastAsia="zh-CN"/>
                        </w:rPr>
                      </w:pPr>
                      <w:r>
                        <w:rPr>
                          <w:rFonts w:hint="eastAsia" w:ascii="Times New Roman" w:hAnsi="Times New Roman" w:eastAsia="宋体"/>
                          <w:b/>
                          <w:bCs/>
                          <w:sz w:val="24"/>
                          <w:szCs w:val="24"/>
                          <w:lang w:val="en-US" w:eastAsia="zh-CN"/>
                        </w:rPr>
                        <w:t>图1.6-2  项目大气环境影响评价范围图</w:t>
                      </w:r>
                    </w:p>
                  </w:txbxContent>
                </v:textbox>
              </v:shape>
            </w:pict>
          </mc:Fallback>
        </mc:AlternateConten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大气环境》（HJ2.2-20</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8）；</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声环境》（HJ2.4-2009）；</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生态影响》（HJ19-2011）；</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）《环境影响评价技术导则</w:t>
      </w:r>
      <w:r>
        <w:rPr>
          <w:rFonts w:hint="default" w:ascii="Times New Roman" w:hAnsi="Times New Roman" w:cs="Times New Roman"/>
          <w:color w:val="auto"/>
          <w:highlight w:val="none"/>
          <w:lang w:val="en-US" w:eastAsia="zh-CN"/>
        </w:rPr>
        <w:t xml:space="preserve">  土壤</w:t>
      </w:r>
      <w:r>
        <w:rPr>
          <w:rFonts w:hint="default" w:ascii="Times New Roman" w:hAnsi="Times New Roman" w:cs="Times New Roman"/>
          <w:color w:val="auto"/>
          <w:highlight w:val="none"/>
          <w:lang w:eastAsia="zh-CN"/>
        </w:rPr>
        <w:t>环境（</w:t>
      </w:r>
      <w:r>
        <w:rPr>
          <w:rFonts w:hint="default" w:ascii="Times New Roman" w:hAnsi="Times New Roman" w:cs="Times New Roman"/>
          <w:color w:val="auto"/>
          <w:highlight w:val="none"/>
          <w:lang w:val="en-US" w:eastAsia="zh-CN"/>
        </w:rPr>
        <w:t>试行</w:t>
      </w:r>
      <w:r>
        <w:rPr>
          <w:rFonts w:hint="default" w:ascii="Times New Roman" w:hAnsi="Times New Roman" w:cs="Times New Roman"/>
          <w:color w:val="auto"/>
          <w:highlight w:val="none"/>
          <w:lang w:eastAsia="zh-CN"/>
        </w:rPr>
        <w:t>）》（HJ</w:t>
      </w:r>
      <w:r>
        <w:rPr>
          <w:rFonts w:hint="default" w:ascii="Times New Roman" w:hAnsi="Times New Roman" w:cs="Times New Roman"/>
          <w:color w:val="auto"/>
          <w:highlight w:val="none"/>
          <w:lang w:val="en-US" w:eastAsia="zh-CN"/>
        </w:rPr>
        <w:t>964</w:t>
      </w:r>
      <w:r>
        <w:rPr>
          <w:rFonts w:hint="default" w:ascii="Times New Roman" w:hAnsi="Times New Roman" w:cs="Times New Roman"/>
          <w:color w:val="auto"/>
          <w:highlight w:val="none"/>
          <w:lang w:eastAsia="zh-CN"/>
        </w:rPr>
        <w:t>-20</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）《建设项目环境风险评价技术导则》（HJ169-20</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建设项目危险废物环境影响评价指南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2017年第43号</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危险化学品重大危险源辨识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GB18218-2018</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u w:val="none"/>
        </w:rPr>
        <w:t>《水污染治理工程技术导则》</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HJ2015-2012</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合成树脂工业污染物排放标准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GB31572-2015</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《福建省地方标准——行业用水定额》（DB35/T772-2018）；</w:t>
      </w:r>
    </w:p>
    <w:p>
      <w:pPr>
        <w:bidi w:val="0"/>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sz w:val="24"/>
          <w:highlight w:val="none"/>
          <w:u w:val="none"/>
        </w:rPr>
        <w:t>《大气污染治理工程技术导则》</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HJ 2000-2010</w:t>
      </w:r>
      <w:r>
        <w:rPr>
          <w:rFonts w:hint="default" w:ascii="Times New Roman" w:hAnsi="Times New Roman" w:cs="Times New Roman"/>
          <w:color w:val="auto"/>
          <w:sz w:val="24"/>
          <w:highlight w:val="none"/>
          <w:u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lang w:eastAsia="zh-CN"/>
        </w:rPr>
        <w:t>）</w:t>
      </w:r>
      <w:r>
        <w:rPr>
          <w:rFonts w:hint="default" w:ascii="Times New Roman" w:hAnsi="Times New Roman" w:cs="Times New Roman"/>
          <w:i w:val="0"/>
          <w:iCs w:val="0"/>
          <w:color w:val="auto"/>
          <w:sz w:val="24"/>
          <w:highlight w:val="none"/>
          <w:u w:val="none"/>
        </w:rPr>
        <w:t>《污染源源强核算技术指南 准则》</w:t>
      </w:r>
      <w:r>
        <w:rPr>
          <w:rFonts w:hint="default" w:ascii="Times New Roman" w:hAnsi="Times New Roman" w:cs="Times New Roman"/>
          <w:i w:val="0"/>
          <w:iCs w:val="0"/>
          <w:color w:val="auto"/>
          <w:sz w:val="24"/>
          <w:highlight w:val="none"/>
          <w:u w:val="none"/>
          <w:lang w:eastAsia="zh-CN"/>
        </w:rPr>
        <w:t>（</w:t>
      </w:r>
      <w:r>
        <w:rPr>
          <w:rFonts w:hint="default" w:ascii="Times New Roman" w:hAnsi="Times New Roman" w:cs="Times New Roman"/>
          <w:i w:val="0"/>
          <w:iCs w:val="0"/>
          <w:color w:val="auto"/>
          <w:sz w:val="24"/>
          <w:highlight w:val="none"/>
          <w:u w:val="none"/>
        </w:rPr>
        <w:t>HJ884-2018</w:t>
      </w:r>
      <w:r>
        <w:rPr>
          <w:rFonts w:hint="default" w:ascii="Times New Roman" w:hAnsi="Times New Roman" w:cs="Times New Roman"/>
          <w:i w:val="0"/>
          <w:iCs w:val="0"/>
          <w:color w:val="auto"/>
          <w:sz w:val="24"/>
          <w:highlight w:val="none"/>
          <w:u w:val="none"/>
          <w:lang w:eastAsia="zh-CN"/>
        </w:rPr>
        <w:t>）；</w:t>
      </w:r>
    </w:p>
    <w:p>
      <w:pPr>
        <w:bidi w:val="0"/>
        <w:rPr>
          <w:rFonts w:hint="default" w:ascii="Times New Roman" w:hAnsi="Times New Roman" w:cs="Times New Roman"/>
          <w:i w:val="0"/>
          <w:iCs w:val="0"/>
          <w:color w:val="auto"/>
          <w:sz w:val="24"/>
          <w:highlight w:val="none"/>
          <w:u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16</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建设工程施工现场环境与卫生标准</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JGJ146-2013</w:t>
      </w:r>
      <w:r>
        <w:rPr>
          <w:rFonts w:hint="default" w:ascii="Times New Roman" w:hAnsi="Times New Roman" w:cs="Times New Roman"/>
          <w:color w:val="auto"/>
          <w:sz w:val="24"/>
          <w:highlight w:val="none"/>
          <w:u w:val="none"/>
          <w:lang w:eastAsia="zh-CN"/>
        </w:rPr>
        <w:t>）；</w:t>
      </w:r>
    </w:p>
    <w:p>
      <w:pPr>
        <w:bidi w:val="0"/>
        <w:rPr>
          <w:rFonts w:hint="default" w:ascii="Times New Roman" w:hAnsi="Times New Roman" w:cs="Times New Roman"/>
          <w:i w:val="0"/>
          <w:iCs w:val="0"/>
          <w:color w:val="auto"/>
          <w:sz w:val="24"/>
          <w:highlight w:val="none"/>
          <w:u w:val="none"/>
          <w:lang w:eastAsia="zh-CN"/>
        </w:rPr>
      </w:pP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17</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《福建省生态环境厅关于国家和地方相关大气污染物排放标准执行有关事项的通知》（闽环保大气（2019）6号）</w:t>
      </w:r>
      <w:r>
        <w:rPr>
          <w:rFonts w:hint="default" w:ascii="Times New Roman" w:hAnsi="Times New Roman" w:cs="Times New Roman"/>
          <w:color w:val="auto"/>
          <w:sz w:val="24"/>
          <w:highlight w:val="none"/>
          <w:u w:val="none"/>
          <w:lang w:eastAsia="zh-CN"/>
        </w:rPr>
        <w:t>；</w:t>
      </w:r>
    </w:p>
    <w:p>
      <w:pPr>
        <w:bidi w:val="0"/>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《工业企业总平面设计规范》（GB 50187-2012）</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19</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highlight w:val="none"/>
        </w:rPr>
        <w:t>《工业企业设计卫生标准》（GBZ 1-2010）</w:t>
      </w:r>
      <w:r>
        <w:rPr>
          <w:rFonts w:hint="default" w:ascii="Times New Roman" w:hAnsi="Times New Roman" w:cs="Times New Roman"/>
          <w:color w:val="auto"/>
          <w:highlight w:val="none"/>
          <w:lang w:eastAsia="zh-CN"/>
        </w:rPr>
        <w:t>；</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20</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highlight w:val="none"/>
        </w:rPr>
        <w:t xml:space="preserve">《排污单位自行监测技术指南 </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总则》（HJ 819-2017）</w:t>
      </w:r>
      <w:r>
        <w:rPr>
          <w:rFonts w:hint="default" w:ascii="Times New Roman" w:hAnsi="Times New Roman" w:cs="Times New Roman"/>
          <w:color w:val="auto"/>
          <w:highlight w:val="none"/>
          <w:lang w:eastAsia="zh-CN"/>
        </w:rPr>
        <w:t>；</w:t>
      </w:r>
    </w:p>
    <w:p>
      <w:pPr>
        <w:bidi w:val="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21</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 xml:space="preserve">《排污许可证申请与核发技术规范 </w:t>
      </w:r>
      <w:r>
        <w:rPr>
          <w:rFonts w:hint="default" w:ascii="Times New Roman" w:hAnsi="Times New Roman" w:cs="Times New Roman"/>
          <w:color w:val="auto"/>
          <w:sz w:val="24"/>
          <w:highlight w:val="none"/>
          <w:lang w:val="en-US" w:eastAsia="zh-CN"/>
        </w:rPr>
        <w:t>锅炉</w:t>
      </w:r>
      <w:r>
        <w:rPr>
          <w:rFonts w:hint="default" w:ascii="Times New Roman" w:hAnsi="Times New Roman" w:cs="Times New Roman"/>
          <w:color w:val="auto"/>
          <w:sz w:val="24"/>
          <w:highlight w:val="none"/>
        </w:rPr>
        <w:t xml:space="preserve">》（HJ </w:t>
      </w:r>
      <w:r>
        <w:rPr>
          <w:rFonts w:hint="default" w:ascii="Times New Roman" w:hAnsi="Times New Roman" w:cs="Times New Roman"/>
          <w:color w:val="auto"/>
          <w:sz w:val="24"/>
          <w:highlight w:val="none"/>
          <w:lang w:val="en-US" w:eastAsia="zh-CN"/>
        </w:rPr>
        <w:t>953-2018</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p>
    <w:p>
      <w:pPr>
        <w:bidi w:val="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排污许可证申请与核发技术规范</w:t>
      </w:r>
      <w:r>
        <w:rPr>
          <w:rFonts w:hint="default" w:ascii="Times New Roman" w:hAnsi="Times New Roman" w:cs="Times New Roman"/>
          <w:color w:val="auto"/>
          <w:sz w:val="24"/>
          <w:highlight w:val="none"/>
          <w:lang w:val="en-US" w:eastAsia="zh-CN"/>
        </w:rPr>
        <w:t xml:space="preserve"> 化学纤维制造业</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HJ 1102-2020</w:t>
      </w:r>
      <w:r>
        <w:rPr>
          <w:rFonts w:hint="default" w:ascii="Times New Roman" w:hAnsi="Times New Roman" w:cs="Times New Roman"/>
          <w:color w:val="auto"/>
          <w:sz w:val="24"/>
          <w:highlight w:val="none"/>
          <w:lang w:eastAsia="zh-CN"/>
        </w:rPr>
        <w:t>）；</w:t>
      </w:r>
    </w:p>
    <w:p>
      <w:pPr>
        <w:bidi w:val="0"/>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23</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rPr>
        <w:t xml:space="preserve">《排污许可证申请与核发技术规范 </w:t>
      </w:r>
      <w:r>
        <w:rPr>
          <w:rFonts w:hint="default" w:ascii="Times New Roman" w:hAnsi="Times New Roman" w:cs="Times New Roman"/>
          <w:color w:val="auto"/>
          <w:sz w:val="24"/>
          <w:highlight w:val="none"/>
          <w:lang w:val="en-US" w:eastAsia="zh-CN"/>
        </w:rPr>
        <w:t>石化工业</w:t>
      </w:r>
      <w:r>
        <w:rPr>
          <w:rFonts w:hint="default" w:ascii="Times New Roman" w:hAnsi="Times New Roman" w:cs="Times New Roman"/>
          <w:color w:val="auto"/>
          <w:sz w:val="24"/>
          <w:highlight w:val="none"/>
        </w:rPr>
        <w:t xml:space="preserve">》（HJ </w:t>
      </w:r>
      <w:r>
        <w:rPr>
          <w:rFonts w:hint="default" w:ascii="Times New Roman" w:hAnsi="Times New Roman" w:cs="Times New Roman"/>
          <w:color w:val="auto"/>
          <w:sz w:val="24"/>
          <w:highlight w:val="none"/>
          <w:lang w:val="en-US" w:eastAsia="zh-CN"/>
        </w:rPr>
        <w:t>853-2017</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u w:val="none"/>
          <w:lang w:eastAsia="zh-CN"/>
        </w:rPr>
        <w:t>。</w:t>
      </w:r>
    </w:p>
    <w:p>
      <w:pPr>
        <w:pStyle w:val="4"/>
        <w:bidi w:val="0"/>
        <w:rPr>
          <w:rFonts w:hint="default" w:ascii="Times New Roman" w:hAnsi="Times New Roman" w:cs="Times New Roman"/>
          <w:color w:val="auto"/>
          <w:highlight w:val="none"/>
          <w:lang w:val="en-US" w:eastAsia="zh-CN"/>
        </w:rPr>
      </w:pPr>
      <w:bookmarkStart w:id="49" w:name="_Toc14360"/>
      <w:r>
        <w:rPr>
          <w:rFonts w:hint="default" w:ascii="Times New Roman" w:hAnsi="Times New Roman" w:cs="Times New Roman"/>
          <w:color w:val="auto"/>
          <w:highlight w:val="none"/>
          <w:lang w:val="en-US" w:eastAsia="zh-CN"/>
        </w:rPr>
        <w:t>有关规划与区划</w:t>
      </w:r>
      <w:bookmarkEnd w:id="49"/>
    </w:p>
    <w:p>
      <w:pPr>
        <w:rPr>
          <w:rFonts w:hint="default" w:ascii="Times New Roman" w:hAnsi="Times New Roman" w:cs="Times New Roman"/>
          <w:color w:val="auto"/>
          <w:highlight w:val="none"/>
          <w:u w:val="none"/>
          <w:lang w:eastAsia="zh-CN"/>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u w:val="none"/>
        </w:rPr>
        <w:t>《福建省水功能区划》，福建省人民政府，2013</w:t>
      </w:r>
      <w:r>
        <w:rPr>
          <w:rFonts w:hint="default" w:ascii="Times New Roman" w:hAnsi="Times New Roman" w:cs="Times New Roman"/>
          <w:color w:val="auto"/>
          <w:highlight w:val="none"/>
          <w:u w:val="none"/>
          <w:lang w:val="en-US" w:eastAsia="zh-CN"/>
        </w:rPr>
        <w:t>年12月</w:t>
      </w:r>
      <w:r>
        <w:rPr>
          <w:rFonts w:hint="default" w:ascii="Times New Roman" w:hAnsi="Times New Roman" w:cs="Times New Roman"/>
          <w:color w:val="auto"/>
          <w:highlight w:val="none"/>
          <w:u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福建省人民政府关于宁德市地表水环境功能区划定方案的批复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闽政文[2012] 187号</w:t>
      </w:r>
      <w:r>
        <w:rPr>
          <w:rFonts w:hint="default" w:ascii="Times New Roman" w:hAnsi="Times New Roman" w:cs="Times New Roman"/>
          <w:color w:val="auto"/>
          <w:highlight w:val="none"/>
          <w:lang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（3）《霞浦县城市总体规划（2011-2030年）》（霞浦县人民政府）；</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（4）《宁德市霞浦县牙城镇总体规划（2011-2030）》（霞浦县牙城镇人民政府）；</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kern w:val="0"/>
          <w:sz w:val="24"/>
          <w:szCs w:val="24"/>
          <w:highlight w:val="none"/>
          <w:lang w:val="en-US" w:eastAsia="zh-CN" w:bidi="ar"/>
        </w:rPr>
        <w:t>宁德市霞浦县牙城镇东洋工业园区控制性详细规划</w:t>
      </w:r>
      <w:r>
        <w:rPr>
          <w:rFonts w:hint="default" w:ascii="Times New Roman" w:hAnsi="Times New Roman" w:cs="Times New Roman"/>
          <w:color w:val="auto"/>
          <w:kern w:val="0"/>
          <w:sz w:val="24"/>
          <w:szCs w:val="24"/>
          <w:highlight w:val="none"/>
          <w:lang w:val="en-US" w:eastAsia="zh-CN" w:bidi="ar"/>
        </w:rPr>
        <w:t>环境影响报告书</w:t>
      </w:r>
      <w:r>
        <w:rPr>
          <w:rFonts w:hint="default" w:ascii="Times New Roman" w:hAnsi="Times New Roman" w:cs="Times New Roman"/>
          <w:color w:val="auto"/>
          <w:highlight w:val="none"/>
          <w:lang w:val="en-US" w:eastAsia="zh-CN"/>
        </w:rPr>
        <w:t>》（福建省环境保护设计院，2016年9月）；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（6）关于印发宁德市霞浦县牙城镇东洋工业园区控制性详细规划环境影响报告书审查意见的函（霞浦县环境保护局，霞环保监[2016]18号）。</w:t>
      </w:r>
    </w:p>
    <w:p>
      <w:pPr>
        <w:pStyle w:val="4"/>
        <w:bidi w:val="0"/>
        <w:rPr>
          <w:rFonts w:hint="default" w:ascii="Times New Roman" w:hAnsi="Times New Roman" w:cs="Times New Roman"/>
          <w:color w:val="auto"/>
          <w:highlight w:val="none"/>
          <w:lang w:val="en-US" w:eastAsia="zh-CN"/>
        </w:rPr>
      </w:pPr>
      <w:bookmarkStart w:id="50" w:name="_Toc4972"/>
      <w:r>
        <w:rPr>
          <w:rFonts w:hint="default" w:ascii="Times New Roman" w:hAnsi="Times New Roman" w:cs="Times New Roman"/>
          <w:color w:val="auto"/>
          <w:highlight w:val="none"/>
          <w:lang w:val="en-US" w:eastAsia="zh-CN"/>
        </w:rPr>
        <w:t>工程技术文件</w:t>
      </w:r>
      <w:bookmarkEnd w:id="50"/>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《福建闽宏纤维有限公司年产5万吨PET再生纤维生产线项目环境影响评价委托书》，福建闽宏纤维有限公司，2020年</w:t>
      </w:r>
      <w:r>
        <w:rPr>
          <w:rFonts w:hint="eastAsia" w:cs="Times New Roman"/>
          <w:color w:val="auto"/>
          <w:highlight w:val="none"/>
          <w:lang w:val="en-US" w:eastAsia="zh-CN"/>
        </w:rPr>
        <w:t>11</w:t>
      </w:r>
      <w:r>
        <w:rPr>
          <w:rFonts w:hint="default" w:ascii="Times New Roman" w:hAnsi="Times New Roman" w:cs="Times New Roman"/>
          <w:color w:val="auto"/>
          <w:highlight w:val="none"/>
          <w:lang w:val="en-US" w:eastAsia="zh-CN"/>
        </w:rPr>
        <w:t>月</w:t>
      </w:r>
      <w:r>
        <w:rPr>
          <w:rFonts w:hint="eastAsia" w:cs="Times New Roman"/>
          <w:color w:val="auto"/>
          <w:highlight w:val="none"/>
          <w:lang w:val="en-US" w:eastAsia="zh-CN"/>
        </w:rPr>
        <w:t>30日</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）《福建省</w:t>
      </w:r>
      <w:r>
        <w:rPr>
          <w:rFonts w:hint="default" w:ascii="Times New Roman" w:hAnsi="Times New Roman" w:cs="Times New Roman"/>
          <w:color w:val="auto"/>
          <w:highlight w:val="none"/>
          <w:lang w:val="en-US" w:eastAsia="zh-CN"/>
        </w:rPr>
        <w:t>投资项目</w:t>
      </w:r>
      <w:r>
        <w:rPr>
          <w:rFonts w:hint="default" w:ascii="Times New Roman" w:hAnsi="Times New Roman" w:cs="Times New Roman"/>
          <w:color w:val="auto"/>
          <w:highlight w:val="none"/>
          <w:lang w:eastAsia="zh-CN"/>
        </w:rPr>
        <w:t>备案</w:t>
      </w:r>
      <w:r>
        <w:rPr>
          <w:rFonts w:hint="default" w:ascii="Times New Roman" w:hAnsi="Times New Roman" w:cs="Times New Roman"/>
          <w:color w:val="auto"/>
          <w:highlight w:val="none"/>
          <w:lang w:val="en-US" w:eastAsia="zh-CN"/>
        </w:rPr>
        <w:t>证明（内资）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闽工信备[2020]J040014号，2020年11月27日</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（3）1号土地购买协议；</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）其他相关材料。</w:t>
      </w:r>
    </w:p>
    <w:p>
      <w:pPr>
        <w:pStyle w:val="3"/>
        <w:tabs>
          <w:tab w:val="clear" w:pos="420"/>
        </w:tabs>
        <w:bidi w:val="0"/>
        <w:rPr>
          <w:rFonts w:hint="default" w:ascii="Times New Roman" w:hAnsi="Times New Roman" w:cs="Times New Roman"/>
          <w:color w:val="auto"/>
          <w:highlight w:val="none"/>
          <w:lang w:val="en-US" w:eastAsia="zh-CN"/>
        </w:rPr>
      </w:pPr>
      <w:bookmarkStart w:id="51" w:name="_Toc25735"/>
      <w:bookmarkStart w:id="52" w:name="_Toc15656"/>
      <w:bookmarkStart w:id="53" w:name="_Toc26092"/>
      <w:bookmarkStart w:id="54" w:name="_Toc32055"/>
      <w:bookmarkStart w:id="55" w:name="_Toc25456"/>
      <w:bookmarkStart w:id="56" w:name="_Toc6057"/>
      <w:bookmarkStart w:id="57" w:name="_Toc356282487"/>
      <w:bookmarkStart w:id="58" w:name="_Toc301600455"/>
      <w:bookmarkStart w:id="59" w:name="_Toc301600692"/>
      <w:bookmarkStart w:id="60" w:name="_Toc301532093"/>
      <w:bookmarkStart w:id="61" w:name="_Toc301900923"/>
      <w:r>
        <w:rPr>
          <w:rFonts w:hint="default" w:ascii="Times New Roman" w:hAnsi="Times New Roman" w:cs="Times New Roman"/>
          <w:color w:val="auto"/>
          <w:highlight w:val="none"/>
          <w:lang w:val="en-US" w:eastAsia="zh-CN"/>
        </w:rPr>
        <w:t>评价目的与原则</w:t>
      </w:r>
      <w:bookmarkEnd w:id="51"/>
      <w:bookmarkEnd w:id="52"/>
      <w:bookmarkEnd w:id="53"/>
      <w:bookmarkEnd w:id="54"/>
      <w:bookmarkEnd w:id="55"/>
      <w:bookmarkEnd w:id="56"/>
    </w:p>
    <w:p>
      <w:pPr>
        <w:pStyle w:val="4"/>
        <w:bidi w:val="0"/>
        <w:rPr>
          <w:rFonts w:hint="default" w:ascii="Times New Roman" w:hAnsi="Times New Roman" w:cs="Times New Roman"/>
          <w:color w:val="auto"/>
          <w:highlight w:val="none"/>
          <w:lang w:val="en-US" w:eastAsia="zh-CN"/>
        </w:rPr>
      </w:pPr>
      <w:bookmarkStart w:id="62" w:name="_Toc26270"/>
      <w:bookmarkStart w:id="63" w:name="_Toc20037"/>
      <w:r>
        <w:rPr>
          <w:rFonts w:hint="default" w:ascii="Times New Roman" w:hAnsi="Times New Roman" w:cs="Times New Roman"/>
          <w:color w:val="auto"/>
          <w:highlight w:val="none"/>
          <w:lang w:val="en-US" w:eastAsia="zh-CN"/>
        </w:rPr>
        <w:t>评价目的</w:t>
      </w:r>
      <w:bookmarkEnd w:id="62"/>
      <w:bookmarkEnd w:id="63"/>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通过对项目所在区域环境现状的综合调查和监测，了解该地区环境质量现状。</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通过对拟建工程情况和有关技术资料的分析，掌握工程的一般特征和污染特征，分析项目建成后污染治理的排污水平，选择适当的预测模式分析项目施工建设及建成投产后排放的污染物可能对环境造成影响的程度和范围，并依据国家及省环保法律、法规、标准和当地环境功能目标的要求，提出减轻或消除不利环境影响的环保工程措施及有关的污染防治对策与建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从环境保护角度论证项目的可行性，对项目合理布局、清洁生产提出评价意见，为工程环保措施的设计与实施，以及投产运行后的环境管理，为地方环保主管部门决策提供科学依据。</w:t>
      </w:r>
    </w:p>
    <w:bookmarkEnd w:id="57"/>
    <w:bookmarkEnd w:id="58"/>
    <w:bookmarkEnd w:id="59"/>
    <w:bookmarkEnd w:id="60"/>
    <w:bookmarkEnd w:id="61"/>
    <w:p>
      <w:pPr>
        <w:pStyle w:val="4"/>
        <w:bidi w:val="0"/>
        <w:rPr>
          <w:rFonts w:hint="default" w:ascii="Times New Roman" w:hAnsi="Times New Roman" w:cs="Times New Roman"/>
          <w:color w:val="auto"/>
          <w:highlight w:val="none"/>
          <w:lang w:val="en-US" w:eastAsia="zh-CN"/>
        </w:rPr>
      </w:pPr>
      <w:bookmarkStart w:id="64" w:name="_Toc28120"/>
      <w:bookmarkStart w:id="65" w:name="_Toc25619"/>
      <w:r>
        <w:rPr>
          <w:rFonts w:hint="default" w:ascii="Times New Roman" w:hAnsi="Times New Roman" w:cs="Times New Roman"/>
          <w:color w:val="auto"/>
          <w:highlight w:val="none"/>
          <w:lang w:val="en-US" w:eastAsia="zh-CN"/>
        </w:rPr>
        <w:t>评价原则</w:t>
      </w:r>
      <w:bookmarkEnd w:id="64"/>
      <w:bookmarkEnd w:id="65"/>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突出环境影响评价的源头预防作用，坚持保护和改善环境质量。</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依法评价</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贯彻执行我国环境保护相关法律法规、标准、政策和规划等，优化项目建设，服务环境管理。</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科学评价</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规范环境影响评价方法，科学分析项目建设对环境质量的影响。</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突出重点</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根据建设项目的工程内容及其特点，明确与环境要素间的作用效应关系，根据规划环境影响评价结论，充分利用符合时效的数据资料及成果，对建设项目主要环境影响予以重点分析和评价。</w:t>
      </w:r>
    </w:p>
    <w:p>
      <w:pPr>
        <w:pStyle w:val="3"/>
        <w:bidi w:val="0"/>
        <w:rPr>
          <w:rFonts w:hint="default" w:ascii="Times New Roman" w:hAnsi="Times New Roman" w:cs="Times New Roman"/>
          <w:color w:val="auto"/>
          <w:highlight w:val="none"/>
          <w:lang w:val="en-US" w:eastAsia="zh-CN"/>
        </w:rPr>
      </w:pPr>
      <w:bookmarkStart w:id="66" w:name="_Toc16817"/>
      <w:bookmarkStart w:id="67" w:name="_Toc19360"/>
      <w:bookmarkStart w:id="68" w:name="_Toc27989"/>
      <w:bookmarkStart w:id="69" w:name="_Toc1761"/>
      <w:bookmarkStart w:id="70" w:name="_Toc14242"/>
      <w:bookmarkStart w:id="71" w:name="_Toc29885"/>
      <w:r>
        <w:rPr>
          <w:rFonts w:hint="default" w:ascii="Times New Roman" w:hAnsi="Times New Roman" w:cs="Times New Roman"/>
          <w:color w:val="auto"/>
          <w:highlight w:val="none"/>
          <w:lang w:val="en-US" w:eastAsia="zh-CN"/>
        </w:rPr>
        <w:t>环境影响要素识别与评价因子筛选</w:t>
      </w:r>
      <w:bookmarkEnd w:id="66"/>
      <w:bookmarkEnd w:id="67"/>
      <w:bookmarkEnd w:id="68"/>
      <w:bookmarkEnd w:id="69"/>
      <w:bookmarkEnd w:id="70"/>
      <w:bookmarkEnd w:id="71"/>
    </w:p>
    <w:p>
      <w:pPr>
        <w:pStyle w:val="4"/>
        <w:bidi w:val="0"/>
        <w:rPr>
          <w:rFonts w:hint="default" w:ascii="Times New Roman" w:hAnsi="Times New Roman" w:cs="Times New Roman"/>
          <w:color w:val="auto"/>
          <w:highlight w:val="none"/>
          <w:lang w:val="en-US" w:eastAsia="zh-CN"/>
        </w:rPr>
      </w:pPr>
      <w:bookmarkStart w:id="72" w:name="_Toc11023"/>
      <w:r>
        <w:rPr>
          <w:rFonts w:hint="default" w:ascii="Times New Roman" w:hAnsi="Times New Roman" w:cs="Times New Roman"/>
          <w:color w:val="auto"/>
          <w:highlight w:val="none"/>
          <w:lang w:val="en-US" w:eastAsia="zh-CN"/>
        </w:rPr>
        <w:t>环境影响要素识别</w:t>
      </w:r>
      <w:bookmarkEnd w:id="72"/>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根据工程的工艺特点、建设内容以及所在区域的环境特点等，对本工程的环境影响因子进行了识别与筛选，筛选结果见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_Ref2657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表1.3-1</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rPr>
        <w:t>。</w:t>
      </w:r>
    </w:p>
    <w:p>
      <w:pPr>
        <w:pStyle w:val="24"/>
        <w:bidi w:val="0"/>
        <w:rPr>
          <w:rFonts w:hint="default" w:ascii="Times New Roman" w:hAnsi="Times New Roman" w:cs="Times New Roman"/>
          <w:color w:val="auto"/>
          <w:highlight w:val="none"/>
        </w:rPr>
      </w:pPr>
      <w:bookmarkStart w:id="73" w:name="_Ref2657"/>
      <w:bookmarkEnd w:id="73"/>
      <w:r>
        <w:rPr>
          <w:rFonts w:hint="default" w:ascii="Times New Roman" w:hAnsi="Times New Roman" w:cs="Times New Roman"/>
          <w:color w:val="auto"/>
          <w:highlight w:val="none"/>
        </w:rPr>
        <w:t>主要环境影响因素识别表</w:t>
      </w:r>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2"/>
        <w:gridCol w:w="1085"/>
        <w:gridCol w:w="623"/>
        <w:gridCol w:w="623"/>
        <w:gridCol w:w="635"/>
        <w:gridCol w:w="639"/>
        <w:gridCol w:w="639"/>
        <w:gridCol w:w="639"/>
        <w:gridCol w:w="639"/>
        <w:gridCol w:w="681"/>
        <w:gridCol w:w="639"/>
        <w:gridCol w:w="639"/>
        <w:gridCol w:w="639"/>
        <w:gridCol w:w="6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67" w:type="dxa"/>
            <w:gridSpan w:val="2"/>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影响因子</w:t>
            </w:r>
          </w:p>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环境要素</w:t>
            </w:r>
          </w:p>
        </w:tc>
        <w:tc>
          <w:tcPr>
            <w:tcW w:w="5118" w:type="dxa"/>
            <w:gridSpan w:val="8"/>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不利影响</w:t>
            </w:r>
          </w:p>
        </w:tc>
        <w:tc>
          <w:tcPr>
            <w:tcW w:w="259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有利影响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67" w:type="dxa"/>
            <w:gridSpan w:val="2"/>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长期</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短期</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不可逆</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可逆</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直接</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间接</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累积</w:t>
            </w: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非累积</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长期</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短期</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直接</w:t>
            </w: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间接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1" w:type="dxa"/>
            <w:gridSpan w:val="1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ascii="Times New Roman" w:hAnsi="Times New Roman" w:eastAsia="宋体" w:cs="Times New Roman"/>
                <w:color w:val="auto"/>
                <w:szCs w:val="20"/>
                <w:highlight w:val="none"/>
                <w:lang w:val="en-US" w:eastAsia="zh-CN"/>
              </w:rPr>
            </w:pPr>
            <w:r>
              <w:rPr>
                <w:rFonts w:hint="eastAsia" w:cs="Times New Roman"/>
                <w:b/>
                <w:bCs/>
                <w:color w:val="auto"/>
                <w:szCs w:val="20"/>
                <w:highlight w:val="none"/>
                <w:lang w:val="en-US" w:eastAsia="zh-CN"/>
              </w:rPr>
              <w:t>施工期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环境质量</w:t>
            </w: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环境空气</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水环境</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声环境</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固体废物</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生态环境</w:t>
            </w: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自然景观</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植被</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动植物生境</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水土流失</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社会经济</w:t>
            </w: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农业生产</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交通运输</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经济发展</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人群健康</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生活质量</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1" w:type="dxa"/>
            <w:gridSpan w:val="1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ascii="Times New Roman" w:hAnsi="Times New Roman" w:eastAsia="宋体" w:cs="Times New Roman"/>
                <w:color w:val="auto"/>
                <w:szCs w:val="20"/>
                <w:highlight w:val="none"/>
                <w:lang w:val="en-US" w:eastAsia="zh-CN"/>
              </w:rPr>
            </w:pPr>
            <w:r>
              <w:rPr>
                <w:rFonts w:hint="eastAsia" w:cs="Times New Roman"/>
                <w:b/>
                <w:bCs/>
                <w:color w:val="auto"/>
                <w:szCs w:val="20"/>
                <w:highlight w:val="none"/>
                <w:lang w:val="en-US" w:eastAsia="zh-CN"/>
              </w:rPr>
              <w:t>运营期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环境质量</w:t>
            </w: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环境空气</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水环境</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声环境</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固体废物</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生态环境</w:t>
            </w: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自然景观</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植被</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动植物生境</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水土流失</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社会经济</w:t>
            </w: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农业生产</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交通运输</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经济发展</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人群健康</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10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生活质量</w:t>
            </w: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2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c>
          <w:tcPr>
            <w:tcW w:w="63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w:t>
            </w:r>
          </w:p>
        </w:tc>
        <w:tc>
          <w:tcPr>
            <w:tcW w:w="67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1" w:type="dxa"/>
            <w:gridSpan w:val="1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注：▲表示中度影响；△轻度影响；空白表示影响很小或无影响。</w:t>
            </w:r>
          </w:p>
        </w:tc>
      </w:tr>
    </w:tbl>
    <w:p>
      <w:pPr>
        <w:pStyle w:val="4"/>
        <w:bidi w:val="0"/>
        <w:rPr>
          <w:rFonts w:hint="default" w:ascii="Times New Roman" w:hAnsi="Times New Roman" w:cs="Times New Roman"/>
          <w:color w:val="auto"/>
          <w:highlight w:val="none"/>
          <w:lang w:val="en-US" w:eastAsia="zh-CN"/>
        </w:rPr>
      </w:pPr>
      <w:bookmarkStart w:id="74" w:name="_Toc1237"/>
      <w:bookmarkStart w:id="75" w:name="_Toc9907"/>
      <w:r>
        <w:rPr>
          <w:rFonts w:hint="default" w:ascii="Times New Roman" w:hAnsi="Times New Roman" w:cs="Times New Roman"/>
          <w:color w:val="auto"/>
          <w:highlight w:val="none"/>
          <w:lang w:val="en-US" w:eastAsia="zh-CN"/>
        </w:rPr>
        <w:t>评价因子筛选</w:t>
      </w:r>
      <w:bookmarkEnd w:id="74"/>
      <w:bookmarkEnd w:id="75"/>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根据建设项目的特点、环境影响的主要特征并结合区域环境功能要求、环境保护目标、评价标准和环境制约因素，筛选确定本项目各环境影响要素的评价因子，详见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_Ref12127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表1.3-2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p>
    <w:p>
      <w:pPr>
        <w:pStyle w:val="24"/>
        <w:bidi w:val="0"/>
        <w:ind w:left="420" w:leftChars="0" w:hanging="420" w:firstLineChars="0"/>
        <w:rPr>
          <w:rFonts w:hint="default" w:ascii="Times New Roman" w:hAnsi="Times New Roman" w:cs="Times New Roman"/>
          <w:color w:val="auto"/>
          <w:highlight w:val="none"/>
          <w:lang w:val="en-US" w:eastAsia="zh-CN"/>
        </w:rPr>
      </w:pPr>
      <w:bookmarkStart w:id="76" w:name="_Ref12127"/>
      <w:r>
        <w:rPr>
          <w:rFonts w:hint="default" w:ascii="Times New Roman" w:hAnsi="Times New Roman" w:cs="Times New Roman"/>
          <w:color w:val="auto"/>
          <w:highlight w:val="none"/>
          <w:lang w:val="en-US" w:eastAsia="zh-CN"/>
        </w:rPr>
        <w:t>建设项目评价因子一览表</w:t>
      </w:r>
      <w:bookmarkEnd w:id="76"/>
    </w:p>
    <w:tbl>
      <w:tblPr>
        <w:tblStyle w:val="17"/>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074"/>
        <w:gridCol w:w="1399"/>
        <w:gridCol w:w="6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评价类别</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restart"/>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扬尘、施工机械尾气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COD、SS、石油类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等效连续A声级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固体废物 </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生活垃圾和施工垃圾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restart"/>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w:t>
            </w:r>
          </w:p>
        </w:tc>
        <w:tc>
          <w:tcPr>
            <w:tcW w:w="1074" w:type="dxa"/>
            <w:vMerge w:val="restart"/>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污染源评价</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i/>
                <w:iCs/>
                <w:color w:val="auto"/>
                <w:highlight w:val="none"/>
                <w:vertAlign w:val="subscript"/>
              </w:rPr>
              <w:t>X</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颗粒物、非甲烷总烃</w:t>
            </w:r>
            <w:r>
              <w:rPr>
                <w:rFonts w:hint="default" w:ascii="Times New Roman" w:hAnsi="Times New Roman" w:cs="Times New Roman"/>
                <w:color w:val="auto"/>
                <w:highlight w:val="none"/>
              </w:rPr>
              <w:t>、</w:t>
            </w:r>
            <w:r>
              <w:rPr>
                <w:rFonts w:hint="eastAsia" w:cs="Times New Roman"/>
                <w:color w:val="auto"/>
                <w:highlight w:val="none"/>
                <w:lang w:val="en-US" w:eastAsia="zh-CN"/>
              </w:rPr>
              <w:t>乙醛、</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、臭气浓度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continue"/>
            <w:vAlign w:val="center"/>
          </w:tcPr>
          <w:p>
            <w:pPr>
              <w:pStyle w:val="21"/>
              <w:bidi w:val="0"/>
              <w:rPr>
                <w:rFonts w:hint="default" w:ascii="Times New Roman" w:hAnsi="Times New Roman" w:cs="Times New Roman"/>
                <w:color w:val="auto"/>
                <w:highlight w:val="none"/>
              </w:rPr>
            </w:pP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607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continue"/>
            <w:vAlign w:val="center"/>
          </w:tcPr>
          <w:p>
            <w:pPr>
              <w:pStyle w:val="21"/>
              <w:bidi w:val="0"/>
              <w:rPr>
                <w:rFonts w:hint="default" w:ascii="Times New Roman" w:hAnsi="Times New Roman" w:cs="Times New Roman"/>
                <w:color w:val="auto"/>
                <w:highlight w:val="none"/>
              </w:rPr>
            </w:pP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eastAsia" w:cs="Times New Roman"/>
                <w:i w:val="0"/>
                <w:iCs w:val="0"/>
                <w:color w:val="auto"/>
                <w:highlight w:val="none"/>
                <w:vertAlign w:val="sub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颗粒物、非甲烷总烃</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、臭气浓度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restart"/>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污染源评价</w:t>
            </w:r>
          </w:p>
        </w:tc>
        <w:tc>
          <w:tcPr>
            <w:tcW w:w="607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、氨氮、SS、总磷、石油类</w:t>
            </w:r>
            <w:r>
              <w:rPr>
                <w:rFonts w:hint="eastAsia" w:cs="Times New Roman"/>
                <w:color w:val="auto"/>
                <w:highlight w:val="none"/>
                <w:lang w:val="en-US" w:eastAsia="zh-CN"/>
              </w:rPr>
              <w:t>、</w:t>
            </w:r>
            <w:r>
              <w:rPr>
                <w:rFonts w:hint="eastAsia" w:cs="Times New Roman"/>
                <w:color w:val="auto"/>
                <w:highlight w:val="none"/>
                <w:lang w:val="en-US" w:eastAsia="zh-CN"/>
              </w:rPr>
              <w:t>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continue"/>
            <w:vAlign w:val="center"/>
          </w:tcPr>
          <w:p>
            <w:pPr>
              <w:pStyle w:val="21"/>
              <w:bidi w:val="0"/>
              <w:rPr>
                <w:rFonts w:hint="default" w:ascii="Times New Roman" w:hAnsi="Times New Roman" w:cs="Times New Roman"/>
                <w:color w:val="auto"/>
                <w:highlight w:val="none"/>
              </w:rPr>
            </w:pP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6077" w:type="dxa"/>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《海水水质标准》（GB3097-1997）表1的污染因子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restart"/>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污染源评价</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、SS、NH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continue"/>
            <w:vAlign w:val="center"/>
          </w:tcPr>
          <w:p>
            <w:pPr>
              <w:pStyle w:val="21"/>
              <w:bidi w:val="0"/>
              <w:rPr>
                <w:rFonts w:hint="default" w:ascii="Times New Roman" w:hAnsi="Times New Roman" w:cs="Times New Roman"/>
                <w:color w:val="auto"/>
                <w:highlight w:val="none"/>
              </w:rPr>
            </w:pPr>
          </w:p>
        </w:tc>
        <w:tc>
          <w:tcPr>
            <w:tcW w:w="1399" w:type="dxa"/>
            <w:vAlign w:val="center"/>
          </w:tcPr>
          <w:p>
            <w:pPr>
              <w:pStyle w:val="21"/>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现状评价</w:t>
            </w:r>
          </w:p>
        </w:tc>
        <w:tc>
          <w:tcPr>
            <w:tcW w:w="6077" w:type="dxa"/>
            <w:vAlign w:val="center"/>
          </w:tcPr>
          <w:p>
            <w:pPr>
              <w:pStyle w:val="21"/>
              <w:bidi w:val="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K</w:t>
            </w:r>
            <w:r>
              <w:rPr>
                <w:rFonts w:hint="default" w:ascii="Times New Roman" w:hAnsi="Times New Roman" w:cs="Times New Roman"/>
                <w:color w:val="auto"/>
                <w:sz w:val="21"/>
                <w:szCs w:val="21"/>
                <w:highlight w:val="none"/>
                <w:vertAlign w:val="superscript"/>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Na</w:t>
            </w:r>
            <w:r>
              <w:rPr>
                <w:rFonts w:hint="default" w:ascii="Times New Roman" w:hAnsi="Times New Roman" w:cs="Times New Roman"/>
                <w:color w:val="auto"/>
                <w:sz w:val="21"/>
                <w:szCs w:val="21"/>
                <w:highlight w:val="none"/>
                <w:vertAlign w:val="superscript"/>
              </w:rPr>
              <w:t>+</w:t>
            </w:r>
            <w:r>
              <w:rPr>
                <w:rFonts w:hint="default" w:ascii="Times New Roman" w:hAnsi="Times New Roman" w:cs="Times New Roman"/>
                <w:color w:val="auto"/>
                <w:sz w:val="21"/>
                <w:szCs w:val="21"/>
                <w:highlight w:val="none"/>
              </w:rPr>
              <w:t>、Ca</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、Mg</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、HCO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w:t>
            </w:r>
            <w:r>
              <w:rPr>
                <w:rFonts w:hint="default" w:ascii="Times New Roman" w:hAnsi="Times New Roman" w:cs="Times New Roman"/>
                <w:color w:val="auto"/>
                <w:sz w:val="21"/>
                <w:szCs w:val="21"/>
                <w:highlight w:val="none"/>
              </w:rPr>
              <w:t>、Cl</w:t>
            </w:r>
            <w:r>
              <w:rPr>
                <w:rFonts w:hint="default" w:ascii="Times New Roman" w:hAnsi="Times New Roman" w:cs="Times New Roman"/>
                <w:color w:val="auto"/>
                <w:sz w:val="21"/>
                <w:szCs w:val="21"/>
                <w:highlight w:val="none"/>
                <w:vertAlign w:val="superscript"/>
              </w:rPr>
              <w:t>-</w:t>
            </w: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lang w:val="en-US" w:eastAsia="zh-CN"/>
              </w:rPr>
              <w:t>pH、氨氮、硝酸盐、亚硝酸盐、六价铬、氟、铁、</w:t>
            </w:r>
            <w:r>
              <w:rPr>
                <w:rFonts w:hint="eastAsia" w:cs="Times New Roman"/>
                <w:color w:val="auto"/>
                <w:sz w:val="21"/>
                <w:szCs w:val="21"/>
                <w:highlight w:val="none"/>
                <w:lang w:val="en-US" w:eastAsia="zh-CN"/>
              </w:rPr>
              <w:t>耗氧量</w:t>
            </w:r>
            <w:r>
              <w:rPr>
                <w:rFonts w:hint="default" w:ascii="Times New Roman" w:hAnsi="Times New Roman" w:cs="Times New Roman"/>
                <w:color w:val="auto"/>
                <w:sz w:val="21"/>
                <w:szCs w:val="21"/>
                <w:highlight w:val="none"/>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Merge w:val="continue"/>
            <w:vAlign w:val="center"/>
          </w:tcPr>
          <w:p>
            <w:pPr>
              <w:pStyle w:val="21"/>
              <w:bidi w:val="0"/>
              <w:rPr>
                <w:rFonts w:hint="default" w:ascii="Times New Roman" w:hAnsi="Times New Roman" w:cs="Times New Roman"/>
                <w:color w:val="auto"/>
                <w:highlight w:val="none"/>
              </w:rPr>
            </w:pP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现状和影响评价</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等效连续A声级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399" w:type="dxa"/>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一般工业固废</w:t>
            </w:r>
            <w:r>
              <w:rPr>
                <w:rFonts w:hint="default" w:ascii="Times New Roman" w:hAnsi="Times New Roman" w:cs="Times New Roman"/>
                <w:color w:val="auto"/>
                <w:highlight w:val="none"/>
                <w:lang w:eastAsia="zh-CN"/>
              </w:rPr>
              <w:t>、危险废物</w:t>
            </w:r>
            <w:r>
              <w:rPr>
                <w:rFonts w:hint="default" w:ascii="Times New Roman" w:hAnsi="Times New Roman" w:cs="Times New Roman"/>
                <w:color w:val="auto"/>
                <w:highlight w:val="none"/>
              </w:rPr>
              <w:t>及生活垃圾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Merge w:val="continue"/>
            <w:vAlign w:val="center"/>
          </w:tcPr>
          <w:p>
            <w:pPr>
              <w:pStyle w:val="21"/>
              <w:bidi w:val="0"/>
              <w:rPr>
                <w:rFonts w:hint="default" w:ascii="Times New Roman" w:hAnsi="Times New Roman" w:cs="Times New Roman"/>
                <w:color w:val="auto"/>
                <w:highlight w:val="none"/>
              </w:rPr>
            </w:pPr>
          </w:p>
        </w:tc>
        <w:tc>
          <w:tcPr>
            <w:tcW w:w="107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w:t>
            </w:r>
          </w:p>
        </w:tc>
        <w:tc>
          <w:tcPr>
            <w:tcW w:w="139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607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《土壤环境质量 建设用地土壤污染风险管控标准</w:t>
            </w:r>
          </w:p>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（试行）》（GB 36600-2018）要求的45项基本因子</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pH值、石油类</w:t>
            </w:r>
            <w:r>
              <w:rPr>
                <w:rFonts w:hint="default" w:ascii="Times New Roman" w:hAnsi="Times New Roman" w:cs="Times New Roman"/>
                <w:color w:val="auto"/>
                <w:szCs w:val="20"/>
                <w:highlight w:val="none"/>
                <w:lang w:val="en-US" w:eastAsia="zh-CN"/>
              </w:rPr>
              <w:t>（C</w:t>
            </w:r>
            <w:r>
              <w:rPr>
                <w:rFonts w:hint="default" w:ascii="Times New Roman" w:hAnsi="Times New Roman" w:cs="Times New Roman"/>
                <w:color w:val="auto"/>
                <w:szCs w:val="20"/>
                <w:highlight w:val="none"/>
                <w:vertAlign w:val="subscript"/>
                <w:lang w:val="en-US" w:eastAsia="zh-CN"/>
              </w:rPr>
              <w:t>10</w:t>
            </w:r>
            <w:r>
              <w:rPr>
                <w:rFonts w:hint="default" w:ascii="Times New Roman" w:hAnsi="Times New Roman" w:cs="Times New Roman"/>
                <w:color w:val="auto"/>
                <w:szCs w:val="20"/>
                <w:highlight w:val="none"/>
                <w:lang w:val="en-US" w:eastAsia="zh-CN"/>
              </w:rPr>
              <w:t>-C</w:t>
            </w:r>
            <w:r>
              <w:rPr>
                <w:rFonts w:hint="default" w:ascii="Times New Roman" w:hAnsi="Times New Roman" w:cs="Times New Roman"/>
                <w:color w:val="auto"/>
                <w:szCs w:val="20"/>
                <w:highlight w:val="none"/>
                <w:vertAlign w:val="subscript"/>
                <w:lang w:val="en-US" w:eastAsia="zh-CN"/>
              </w:rPr>
              <w:t>40</w:t>
            </w:r>
            <w:r>
              <w:rPr>
                <w:rFonts w:hint="default" w:ascii="Times New Roman" w:hAnsi="Times New Roman" w:cs="Times New Roman"/>
                <w:color w:val="auto"/>
                <w:szCs w:val="20"/>
                <w:highlight w:val="none"/>
                <w:lang w:val="en-US" w:eastAsia="zh-CN"/>
              </w:rPr>
              <w:t>）</w:t>
            </w:r>
          </w:p>
        </w:tc>
      </w:tr>
    </w:tbl>
    <w:p>
      <w:pPr>
        <w:pStyle w:val="3"/>
        <w:tabs>
          <w:tab w:val="clear" w:pos="420"/>
        </w:tabs>
        <w:bidi w:val="0"/>
        <w:rPr>
          <w:rFonts w:hint="default" w:ascii="Times New Roman" w:hAnsi="Times New Roman" w:cs="Times New Roman"/>
          <w:color w:val="auto"/>
          <w:highlight w:val="none"/>
          <w:lang w:val="en-US" w:eastAsia="zh-CN"/>
        </w:rPr>
      </w:pPr>
      <w:bookmarkStart w:id="77" w:name="_Toc8258"/>
      <w:bookmarkStart w:id="78" w:name="_Toc9331"/>
      <w:bookmarkStart w:id="79" w:name="_Toc10042"/>
      <w:bookmarkStart w:id="80" w:name="_Toc23601"/>
      <w:bookmarkStart w:id="81" w:name="_Toc31335"/>
      <w:bookmarkStart w:id="82" w:name="_Toc30363"/>
      <w:r>
        <w:rPr>
          <w:rFonts w:hint="default" w:ascii="Times New Roman" w:hAnsi="Times New Roman" w:cs="Times New Roman"/>
          <w:color w:val="auto"/>
          <w:highlight w:val="none"/>
          <w:lang w:val="en-US" w:eastAsia="zh-CN"/>
        </w:rPr>
        <w:t>环境功能区划及评价标准</w:t>
      </w:r>
      <w:bookmarkEnd w:id="77"/>
      <w:bookmarkEnd w:id="78"/>
      <w:bookmarkEnd w:id="79"/>
      <w:bookmarkEnd w:id="80"/>
      <w:bookmarkEnd w:id="81"/>
      <w:bookmarkEnd w:id="82"/>
    </w:p>
    <w:p>
      <w:pPr>
        <w:pStyle w:val="4"/>
        <w:bidi w:val="0"/>
        <w:rPr>
          <w:rFonts w:hint="default" w:ascii="Times New Roman" w:hAnsi="Times New Roman" w:cs="Times New Roman"/>
          <w:color w:val="auto"/>
          <w:highlight w:val="none"/>
          <w:lang w:val="en-US" w:eastAsia="zh-CN"/>
        </w:rPr>
      </w:pPr>
      <w:bookmarkStart w:id="83" w:name="_Toc18925"/>
      <w:bookmarkStart w:id="84" w:name="_Toc14063"/>
      <w:r>
        <w:rPr>
          <w:rFonts w:hint="default" w:ascii="Times New Roman" w:hAnsi="Times New Roman" w:cs="Times New Roman"/>
          <w:color w:val="auto"/>
          <w:highlight w:val="none"/>
          <w:lang w:val="en-US" w:eastAsia="zh-CN"/>
        </w:rPr>
        <w:t>环境功能区划及环境质量标准</w:t>
      </w:r>
      <w:bookmarkEnd w:id="83"/>
      <w:bookmarkEnd w:id="84"/>
    </w:p>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水环境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地表水环境质量标准</w:t>
      </w:r>
    </w:p>
    <w:p>
      <w:pPr>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本项目周边地表水系</w:t>
      </w:r>
      <w:r>
        <w:rPr>
          <w:rFonts w:hint="eastAsia"/>
          <w:color w:val="auto"/>
          <w:lang w:eastAsia="zh-CN"/>
        </w:rPr>
        <w:t>（</w:t>
      </w:r>
      <w:r>
        <w:rPr>
          <w:rFonts w:hint="eastAsia"/>
          <w:color w:val="auto"/>
          <w:lang w:val="en-US" w:eastAsia="zh-CN"/>
        </w:rPr>
        <w:t>详见</w:t>
      </w:r>
      <w:r>
        <w:rPr>
          <w:rFonts w:hint="eastAsia"/>
          <w:color w:val="auto"/>
          <w:lang w:val="en-US" w:eastAsia="zh-CN"/>
        </w:rPr>
        <w:fldChar w:fldCharType="begin"/>
      </w:r>
      <w:r>
        <w:rPr>
          <w:rFonts w:hint="eastAsia"/>
          <w:color w:val="auto"/>
          <w:lang w:val="en-US" w:eastAsia="zh-CN"/>
        </w:rPr>
        <w:instrText xml:space="preserve"> REF _Ref18072 \n \h </w:instrText>
      </w:r>
      <w:r>
        <w:rPr>
          <w:rFonts w:hint="eastAsia"/>
          <w:color w:val="auto"/>
          <w:lang w:val="en-US" w:eastAsia="zh-CN"/>
        </w:rPr>
        <w:fldChar w:fldCharType="separate"/>
      </w:r>
      <w:r>
        <w:rPr>
          <w:rFonts w:hint="eastAsia"/>
          <w:color w:val="auto"/>
          <w:lang w:val="en-US" w:eastAsia="zh-CN"/>
        </w:rPr>
        <w:t>图1.4-1</w:t>
      </w:r>
      <w:r>
        <w:rPr>
          <w:rFonts w:hint="eastAsia"/>
          <w:color w:val="auto"/>
          <w:lang w:val="en-US" w:eastAsia="zh-CN"/>
        </w:rPr>
        <w:fldChar w:fldCharType="end"/>
      </w:r>
      <w:r>
        <w:rPr>
          <w:rFonts w:hint="eastAsia"/>
          <w:color w:val="auto"/>
          <w:lang w:eastAsia="zh-CN"/>
        </w:rPr>
        <w:t>）</w:t>
      </w:r>
      <w:r>
        <w:rPr>
          <w:rFonts w:hint="default" w:ascii="Times New Roman" w:hAnsi="Times New Roman" w:cs="Times New Roman"/>
          <w:color w:val="auto"/>
          <w:highlight w:val="none"/>
          <w:lang w:val="en-US" w:eastAsia="zh-CN"/>
        </w:rPr>
        <w:t>主要为东北侧东澳水库，东侧东澳水库排洪渠以及南侧东澳水库3#滞洪区和猫垅溪，渠水由北往南最终流入牙城湾。</w:t>
      </w:r>
      <w:r>
        <w:rPr>
          <w:rFonts w:hint="default" w:ascii="Times New Roman" w:hAnsi="Times New Roman" w:cs="Times New Roman"/>
          <w:color w:val="auto"/>
          <w:highlight w:val="none"/>
        </w:rPr>
        <w:t>根据福建省人民政府关于《宁德市地表水环境功能区划</w:t>
      </w:r>
      <w:r>
        <w:rPr>
          <w:rFonts w:hint="default" w:ascii="Times New Roman" w:hAnsi="Times New Roman" w:cs="Times New Roman"/>
          <w:color w:val="auto"/>
          <w:highlight w:val="none"/>
          <w:lang w:val="en-US" w:eastAsia="zh-CN"/>
        </w:rPr>
        <w:t>定</w:t>
      </w:r>
      <w:r>
        <w:rPr>
          <w:rFonts w:hint="default" w:ascii="Times New Roman" w:hAnsi="Times New Roman" w:cs="Times New Roman"/>
          <w:color w:val="auto"/>
          <w:highlight w:val="none"/>
        </w:rPr>
        <w:t>方案的批复》（闽政文[2012] 187号），</w:t>
      </w:r>
      <w:r>
        <w:rPr>
          <w:rFonts w:hint="default" w:ascii="Times New Roman" w:hAnsi="Times New Roman" w:cs="Times New Roman"/>
          <w:color w:val="auto"/>
          <w:highlight w:val="none"/>
          <w:lang w:val="en-US" w:eastAsia="zh-CN"/>
        </w:rPr>
        <w:t>东澳水库、猫垅溪环境功能类别为</w:t>
      </w:r>
      <w:r>
        <w:rPr>
          <w:rFonts w:hint="default" w:ascii="Times New Roman" w:hAnsi="Times New Roman" w:cs="Times New Roman"/>
          <w:color w:val="auto"/>
          <w:highlight w:val="none"/>
        </w:rPr>
        <w:t>Ⅲ类，水环境质量</w:t>
      </w:r>
      <w:r>
        <w:rPr>
          <w:rFonts w:hint="default" w:ascii="Times New Roman" w:hAnsi="Times New Roman" w:cs="Times New Roman"/>
          <w:color w:val="auto"/>
          <w:sz w:val="24"/>
          <w:szCs w:val="24"/>
          <w:highlight w:val="none"/>
        </w:rPr>
        <w:t>执行《地表水环境质量标准》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GB3838-2002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表1中Ⅲ类标准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根据《宁德市霞浦县牙城镇东洋工业园控制性详细规划环境影响报告书》，东澳水库排洪渠</w:t>
      </w:r>
      <w:r>
        <w:rPr>
          <w:rFonts w:hint="default" w:ascii="Times New Roman" w:hAnsi="Times New Roman" w:cs="Times New Roman"/>
          <w:color w:val="auto"/>
          <w:highlight w:val="none"/>
          <w:lang w:val="en-US" w:eastAsia="zh-CN"/>
        </w:rPr>
        <w:t>环境功能类别为</w:t>
      </w:r>
      <w:r>
        <w:rPr>
          <w:rFonts w:hint="default" w:ascii="Times New Roman" w:hAnsi="Times New Roman" w:eastAsia="宋体" w:cs="Times New Roman"/>
          <w:color w:val="auto"/>
          <w:kern w:val="2"/>
          <w:sz w:val="24"/>
          <w:szCs w:val="24"/>
          <w:highlight w:val="none"/>
          <w:lang w:val="en-US" w:eastAsia="zh-CN" w:bidi="ar-SA"/>
        </w:rPr>
        <w:t>Ⅳ</w:t>
      </w:r>
      <w:r>
        <w:rPr>
          <w:rFonts w:hint="default" w:ascii="Times New Roman" w:hAnsi="Times New Roman" w:cs="Times New Roman"/>
          <w:color w:val="auto"/>
          <w:highlight w:val="none"/>
        </w:rPr>
        <w:t>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水环境质量</w:t>
      </w:r>
      <w:r>
        <w:rPr>
          <w:rFonts w:hint="default" w:ascii="Times New Roman" w:hAnsi="Times New Roman" w:cs="Times New Roman"/>
          <w:color w:val="auto"/>
          <w:sz w:val="24"/>
          <w:szCs w:val="24"/>
          <w:highlight w:val="none"/>
          <w:lang w:val="en-US" w:eastAsia="zh-CN"/>
        </w:rPr>
        <w:t>执行</w:t>
      </w:r>
      <w:r>
        <w:rPr>
          <w:rFonts w:hint="default" w:ascii="Times New Roman" w:hAnsi="Times New Roman" w:cs="Times New Roman"/>
          <w:color w:val="auto"/>
          <w:sz w:val="24"/>
          <w:szCs w:val="24"/>
          <w:highlight w:val="none"/>
        </w:rPr>
        <w:t>《地表水环境质量标准》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GB3838-2002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表1中</w:t>
      </w:r>
      <w:r>
        <w:rPr>
          <w:rFonts w:hint="default" w:ascii="Times New Roman" w:hAnsi="Times New Roman" w:eastAsia="宋体" w:cs="Times New Roman"/>
          <w:color w:val="auto"/>
          <w:kern w:val="2"/>
          <w:sz w:val="24"/>
          <w:szCs w:val="24"/>
          <w:highlight w:val="none"/>
          <w:lang w:val="en-US" w:eastAsia="zh-CN" w:bidi="ar-SA"/>
        </w:rPr>
        <w:t>Ⅳ</w:t>
      </w:r>
      <w:r>
        <w:rPr>
          <w:rFonts w:hint="default" w:ascii="Times New Roman" w:hAnsi="Times New Roman" w:cs="Times New Roman"/>
          <w:color w:val="auto"/>
          <w:sz w:val="24"/>
          <w:szCs w:val="24"/>
          <w:highlight w:val="none"/>
        </w:rPr>
        <w:t>类标准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东澳水库3#滞洪区作为牙城镇污水处理厂的排污区，不执行任何水质标准。具体环境功能区划见表</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_Ref19478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表1.4-1</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，执行的质量标准详见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_Ref19511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表1.4-2</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85" w:name="_Ref19478"/>
      <w:r>
        <w:rPr>
          <w:rFonts w:hint="default" w:ascii="Times New Roman" w:hAnsi="Times New Roman" w:cs="Times New Roman"/>
          <w:color w:val="auto"/>
          <w:highlight w:val="none"/>
          <w:lang w:val="en-US" w:eastAsia="zh-CN"/>
        </w:rPr>
        <w:t>地表水环境功能区划一览表</w:t>
      </w:r>
      <w:bookmarkEnd w:id="85"/>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311"/>
        <w:gridCol w:w="1200"/>
        <w:gridCol w:w="3077"/>
        <w:gridCol w:w="2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131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水系</w:t>
            </w:r>
          </w:p>
        </w:tc>
        <w:tc>
          <w:tcPr>
            <w:tcW w:w="120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功能类别</w:t>
            </w:r>
          </w:p>
        </w:tc>
        <w:tc>
          <w:tcPr>
            <w:tcW w:w="307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规划功能</w:t>
            </w:r>
          </w:p>
        </w:tc>
        <w:tc>
          <w:tcPr>
            <w:tcW w:w="282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31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东澳水库、猫垅溪</w:t>
            </w:r>
          </w:p>
        </w:tc>
        <w:tc>
          <w:tcPr>
            <w:tcW w:w="120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w:t>
            </w:r>
          </w:p>
        </w:tc>
        <w:tc>
          <w:tcPr>
            <w:tcW w:w="307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水产养殖，鱼虾越冬及游泳池</w:t>
            </w:r>
          </w:p>
        </w:tc>
        <w:tc>
          <w:tcPr>
            <w:tcW w:w="2823"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31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东澳水库排洪渠</w:t>
            </w:r>
          </w:p>
        </w:tc>
        <w:tc>
          <w:tcPr>
            <w:tcW w:w="120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Ⅳ</w:t>
            </w:r>
          </w:p>
        </w:tc>
        <w:tc>
          <w:tcPr>
            <w:tcW w:w="307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一般工业用水区及人体非直接接触的娱乐用水区</w:t>
            </w:r>
          </w:p>
        </w:tc>
        <w:tc>
          <w:tcPr>
            <w:tcW w:w="2823"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31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东澳水库3#滞洪区</w:t>
            </w:r>
          </w:p>
        </w:tc>
        <w:tc>
          <w:tcPr>
            <w:tcW w:w="120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7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282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作为牙城镇污水处理厂的排污区，不执行任何水质标准</w:t>
            </w:r>
          </w:p>
        </w:tc>
      </w:tr>
    </w:tbl>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86" w:name="_Ref19511"/>
      <w:r>
        <w:rPr>
          <w:rFonts w:hint="default" w:ascii="Times New Roman" w:hAnsi="Times New Roman" w:cs="Times New Roman"/>
          <w:color w:val="auto"/>
          <w:highlight w:val="none"/>
          <w:lang w:val="en-US" w:eastAsia="zh-CN"/>
        </w:rPr>
        <w:t>《地表水环境质量标准》(GB3838-2002)（摘录）</w:t>
      </w:r>
      <w:bookmarkEnd w:id="86"/>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1666"/>
        <w:gridCol w:w="2112"/>
        <w:gridCol w:w="2173"/>
        <w:gridCol w:w="21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p>
        </w:tc>
        <w:tc>
          <w:tcPr>
            <w:tcW w:w="211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Ⅲ类标准</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Ⅳ类标准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211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溶解氧（DO）</w:t>
            </w:r>
          </w:p>
        </w:tc>
        <w:tc>
          <w:tcPr>
            <w:tcW w:w="2112"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211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211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-N</w:t>
            </w:r>
          </w:p>
        </w:tc>
        <w:tc>
          <w:tcPr>
            <w:tcW w:w="211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石油类</w:t>
            </w:r>
          </w:p>
        </w:tc>
        <w:tc>
          <w:tcPr>
            <w:tcW w:w="211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16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总磷（以P计）</w:t>
            </w:r>
          </w:p>
        </w:tc>
        <w:tc>
          <w:tcPr>
            <w:tcW w:w="211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≤0.2（湖、库0.05）</w:t>
            </w:r>
          </w:p>
        </w:tc>
        <w:tc>
          <w:tcPr>
            <w:tcW w:w="217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≤0.3（湖、库0.1）</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（2）地下水环境质量标准</w:t>
      </w:r>
    </w:p>
    <w:p>
      <w:pPr>
        <w:rPr>
          <w:rFonts w:hint="default"/>
          <w:color w:val="auto"/>
          <w:lang w:val="en-US" w:eastAsia="zh-CN"/>
        </w:rPr>
      </w:pPr>
      <w:r>
        <w:rPr>
          <w:rFonts w:hint="default" w:ascii="Times New Roman" w:hAnsi="Times New Roman" w:cs="Times New Roman"/>
          <w:color w:val="auto"/>
          <w:highlight w:val="none"/>
          <w:lang w:val="en-US" w:eastAsia="zh-CN"/>
        </w:rPr>
        <w:t>区域地下水没有明确的环境功能区划，本次评价根据实际使用功能，参照国家相关技术规范给予划分，作为环境现状质量分析时的评价依据。本项目所在区域地下水质量评价采用《地下水质量标准》（GB/T14848-2017）Ⅲ类标准，部分摘录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_Ref19570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color w:val="auto"/>
          <w:lang w:val="en-US" w:eastAsia="zh-CN"/>
        </w:rPr>
        <w:sectPr>
          <w:footerReference r:id="rId7" w:type="default"/>
          <w:pgSz w:w="11906" w:h="16838"/>
          <w:pgMar w:top="1417" w:right="1417" w:bottom="1417" w:left="1417" w:header="1020" w:footer="1020" w:gutter="0"/>
          <w:pgBorders w:offsetFrom="page">
            <w:top w:val="none" w:sz="0" w:space="0"/>
            <w:left w:val="none" w:sz="0" w:space="0"/>
            <w:bottom w:val="none" w:sz="0" w:space="0"/>
            <w:right w:val="none" w:sz="0" w:space="0"/>
          </w:pgBorders>
          <w:pgNumType w:fmt="decimal" w:start="1"/>
          <w:cols w:space="425" w:num="1"/>
          <w:docGrid w:type="lines" w:linePitch="312" w:charSpace="0"/>
        </w:sectPr>
      </w:pPr>
    </w:p>
    <w:p>
      <w:pPr>
        <w:ind w:left="0" w:leftChars="0" w:firstLine="0" w:firstLineChars="0"/>
        <w:jc w:val="center"/>
        <w:rPr>
          <w:rFonts w:hint="default"/>
          <w:color w:val="auto"/>
          <w:lang w:val="en-US" w:eastAsia="zh-CN"/>
        </w:rPr>
      </w:pPr>
    </w:p>
    <w:p>
      <w:pPr>
        <w:pStyle w:val="22"/>
        <w:bidi w:val="0"/>
        <w:rPr>
          <w:rFonts w:hint="default"/>
          <w:color w:val="auto"/>
          <w:lang w:val="en-US" w:eastAsia="zh-CN"/>
        </w:rPr>
        <w:sectPr>
          <w:pgSz w:w="23811" w:h="16838" w:orient="landscape"/>
          <w:pgMar w:top="1417" w:right="1417" w:bottom="1417" w:left="1417" w:header="1020" w:footer="1020" w:gutter="0"/>
          <w:pgBorders w:offsetFrom="page">
            <w:top w:val="none" w:sz="0" w:space="0"/>
            <w:left w:val="none" w:sz="0" w:space="0"/>
            <w:bottom w:val="none" w:sz="0" w:space="0"/>
            <w:right w:val="none" w:sz="0" w:space="0"/>
          </w:pgBorders>
          <w:pgNumType w:fmt="decimal"/>
          <w:cols w:space="425" w:num="1"/>
          <w:docGrid w:type="lines" w:linePitch="312" w:charSpace="0"/>
        </w:sectPr>
      </w:pPr>
      <w:bookmarkStart w:id="87" w:name="_Ref18072"/>
      <w:r>
        <w:rPr>
          <w:rFonts w:hint="eastAsia"/>
          <w:color w:val="auto"/>
          <w:lang w:val="en-US" w:eastAsia="zh-CN"/>
        </w:rPr>
        <w:t>项目周边地表水系图</w:t>
      </w:r>
      <w:bookmarkEnd w:id="87"/>
    </w:p>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88" w:name="_Ref19570"/>
      <w:r>
        <w:rPr>
          <w:rFonts w:hint="default" w:ascii="Times New Roman" w:hAnsi="Times New Roman" w:cs="Times New Roman"/>
          <w:color w:val="auto"/>
          <w:highlight w:val="none"/>
          <w:lang w:val="en-US" w:eastAsia="zh-CN"/>
        </w:rPr>
        <w:t>《地下水质量标准》（GB/T14848-2017）（摘录）</w:t>
      </w:r>
      <w:bookmarkEnd w:id="88"/>
    </w:p>
    <w:tbl>
      <w:tblPr>
        <w:tblStyle w:val="18"/>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6"/>
        <w:gridCol w:w="2475"/>
        <w:gridCol w:w="1135"/>
        <w:gridCol w:w="1135"/>
        <w:gridCol w:w="1135"/>
        <w:gridCol w:w="1245"/>
        <w:gridCol w:w="13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I 类</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II 类</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Ⅲ类</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IV 类</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V 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pH（无量纲）</w:t>
            </w:r>
          </w:p>
        </w:tc>
        <w:tc>
          <w:tcPr>
            <w:tcW w:w="3405" w:type="dxa"/>
            <w:gridSpan w:val="3"/>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6.5≤pH≤8.5</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5.5≤pH&lt;6.5</w:t>
            </w:r>
          </w:p>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8.5&lt;pH≤9.0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pH&lt;6.5或</w:t>
            </w:r>
          </w:p>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pH&gt;9.0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总硬度（以 CaCO</w:t>
            </w:r>
            <w:r>
              <w:rPr>
                <w:rFonts w:hint="default" w:ascii="Times New Roman" w:hAnsi="Times New Roman" w:cs="Times New Roman"/>
                <w:color w:val="auto"/>
                <w:szCs w:val="20"/>
                <w:highlight w:val="none"/>
                <w:vertAlign w:val="subscript"/>
                <w:lang w:val="en-US" w:eastAsia="zh-CN"/>
              </w:rPr>
              <w:t>3</w:t>
            </w:r>
            <w:r>
              <w:rPr>
                <w:rFonts w:hint="default" w:ascii="Times New Roman" w:hAnsi="Times New Roman" w:cs="Times New Roman"/>
                <w:color w:val="auto"/>
                <w:szCs w:val="20"/>
                <w:highlight w:val="none"/>
                <w:lang w:val="en-US" w:eastAsia="zh-CN"/>
              </w:rPr>
              <w:t xml:space="preserve"> 计）/(mg/L)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≤450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氨氮/(mg/L)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≤0.50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耗氧量（CODMn 法，以O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 xml:space="preserve"> 计）/(mg/L)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挥发性酚类（以苯酚计）/(mg/L)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≤0.002</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氰化物/(mg/L)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氯化物/(mg/L)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≤250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硫酸盐/(mg/L)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≤250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砷/(mg/L)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汞/(mg/L)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≤0.0001</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≤0.002</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镉/(mg/L)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镍/(mg/L)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≤0.002</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≤0.002</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13</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铁/(mg/L)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≤0.3</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14</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锰/(mg/L)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铜/(mg/L)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16</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锌/(mg/L)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≤0.5</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铬(六价)/(mg/L)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硝酸盐(以N计)/(mg/L)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19</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亚硝酸盐(以N计)/(mg/L)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≤4.80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&gt;4.80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铅/(mg/L)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21</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钠离子(mg/L)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≤150</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≤200</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w:t>
            </w:r>
          </w:p>
        </w:tc>
        <w:tc>
          <w:tcPr>
            <w:tcW w:w="247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石油类(mg/L)</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35"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2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3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7" w:type="dxa"/>
            <w:gridSpan w:val="7"/>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说明：Ⅰ类：地下水化学组分含量低，适用于各种用途；</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630" w:firstLineChars="300"/>
              <w:jc w:val="left"/>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Ⅱ类：地下水化学组分含量较低，适用于各种用途；</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630" w:firstLineChars="300"/>
              <w:jc w:val="left"/>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Ⅲ类：地下水化学组分含量中等，以 GB5749-2006 为依据，主要适用于集中式生活饮用水水源及工农业用水；</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630" w:firstLineChars="300"/>
              <w:jc w:val="left"/>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Ⅳ类：地下水化学组分含量较高，以农业和工业用水质量要求以及一定水平的人体健康风险为依据，适用于农业和部分工业用水，适当处理后可作生活饮用水；</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630" w:firstLineChars="300"/>
              <w:jc w:val="left"/>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Ⅴ类：地下水化学组分含量高，不宜作为生活饮用水水源，其他用水可根据使用目的选用。</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630" w:firstLineChars="300"/>
              <w:jc w:val="left"/>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因GB/T14848-2017中无石油类标准，本次评价参照《地表水环境质量标准》（GB3838-2002）Ⅲ类标准执行。</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（3）海水质量标准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根据《福建省人民政府关于印发福建省近岸海域环境功能区划（修编）的通知》（闽政[2011] 45号），斗门闸门外的牙城湾海域属于第二类近岸海域功能区，</w:t>
      </w:r>
      <w:r>
        <w:rPr>
          <w:rFonts w:hint="eastAsia" w:cs="Times New Roman"/>
          <w:color w:val="auto"/>
          <w:highlight w:val="none"/>
          <w:lang w:val="en-US" w:eastAsia="zh-CN"/>
        </w:rPr>
        <w:t>主导环境功能为港口、纳污，辅助功能为养殖，</w:t>
      </w:r>
      <w:r>
        <w:rPr>
          <w:rFonts w:hint="default" w:ascii="Times New Roman" w:hAnsi="Times New Roman" w:cs="Times New Roman"/>
          <w:color w:val="auto"/>
          <w:highlight w:val="none"/>
          <w:lang w:val="en-US" w:eastAsia="zh-CN"/>
        </w:rPr>
        <w:t>水质执行《海水水质标准》（GB3097-1997）中的第二类水质标准，部分摘录见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_Ref19622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89" w:name="_Ref19622"/>
      <w:r>
        <w:rPr>
          <w:rFonts w:hint="default" w:ascii="Times New Roman" w:hAnsi="Times New Roman" w:cs="Times New Roman"/>
          <w:color w:val="auto"/>
          <w:highlight w:val="none"/>
          <w:lang w:val="en-US" w:eastAsia="zh-CN"/>
        </w:rPr>
        <w:t>《海水水质标准》（GB3097-1997）（摘录）</w:t>
      </w:r>
      <w:bookmarkEnd w:id="89"/>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816"/>
        <w:gridCol w:w="1398"/>
        <w:gridCol w:w="1327"/>
        <w:gridCol w:w="1327"/>
        <w:gridCol w:w="1327"/>
        <w:gridCol w:w="13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单位</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第一类</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第二类</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第三类</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第四类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水温</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2654" w:type="dxa"/>
            <w:gridSpan w:val="2"/>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人为造成的海水温升夏季不超过当时当地1℃，其他季节不超过2℃</w:t>
            </w:r>
          </w:p>
        </w:tc>
        <w:tc>
          <w:tcPr>
            <w:tcW w:w="2658"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人为造成的海水温升不超过当时当地4℃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pH</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无量纲</w:t>
            </w:r>
          </w:p>
        </w:tc>
        <w:tc>
          <w:tcPr>
            <w:tcW w:w="2654" w:type="dxa"/>
            <w:gridSpan w:val="2"/>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line="240" w:lineRule="auto"/>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7.8~8.5</w:t>
            </w:r>
          </w:p>
          <w:p>
            <w:pPr>
              <w:pStyle w:val="21"/>
              <w:keepNext w:val="0"/>
              <w:keepLines w:val="0"/>
              <w:widowControl w:val="0"/>
              <w:suppressLineNumbers w:val="0"/>
              <w:bidi w:val="0"/>
              <w:spacing w:before="0" w:beforeAutospacing="0" w:after="0" w:afterAutospacing="0" w:line="240" w:lineRule="auto"/>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同时不超过该海域正常变动范围的0.2 pH单位</w:t>
            </w:r>
          </w:p>
        </w:tc>
        <w:tc>
          <w:tcPr>
            <w:tcW w:w="2658"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6.8~8.8</w:t>
            </w:r>
          </w:p>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同时不超过该海域正常变动范围的0.5 pH单位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悬浮物</w:t>
            </w:r>
          </w:p>
        </w:tc>
        <w:tc>
          <w:tcPr>
            <w:tcW w:w="13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mg/L</w:t>
            </w:r>
          </w:p>
        </w:tc>
        <w:tc>
          <w:tcPr>
            <w:tcW w:w="2654" w:type="dxa"/>
            <w:gridSpan w:val="2"/>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人为增加的量≤10</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人为增加的量≤100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人为增加的量≤150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溶解氧＞</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化学需氧量（COD）≤</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生化需氧量（BOD</w:t>
            </w:r>
            <w:r>
              <w:rPr>
                <w:rFonts w:hint="default" w:ascii="Times New Roman" w:hAnsi="Times New Roman" w:cs="Times New Roman"/>
                <w:color w:val="auto"/>
                <w:szCs w:val="20"/>
                <w:highlight w:val="none"/>
                <w:vertAlign w:val="subscript"/>
                <w:lang w:val="en-US" w:eastAsia="zh-CN"/>
              </w:rPr>
              <w:t>5</w:t>
            </w:r>
            <w:r>
              <w:rPr>
                <w:rFonts w:hint="default" w:ascii="Times New Roman" w:hAnsi="Times New Roman" w:cs="Times New Roman"/>
                <w:color w:val="auto"/>
                <w:szCs w:val="20"/>
                <w:highlight w:val="none"/>
                <w:lang w:val="en-US" w:eastAsia="zh-CN"/>
              </w:rPr>
              <w:t>）≤</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无机氮</w:t>
            </w:r>
          </w:p>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（以N计）≤</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0.20</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0.30</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0.40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活性磷酸盐</w:t>
            </w:r>
          </w:p>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（以P计）≤</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0.015</w:t>
            </w:r>
          </w:p>
        </w:tc>
        <w:tc>
          <w:tcPr>
            <w:tcW w:w="2654" w:type="dxa"/>
            <w:gridSpan w:val="2"/>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0.030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石油类≤</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654" w:type="dxa"/>
            <w:gridSpan w:val="2"/>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铜≤</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0.010</w:t>
            </w:r>
          </w:p>
        </w:tc>
        <w:tc>
          <w:tcPr>
            <w:tcW w:w="2658"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铅≤</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锌≤</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0.020</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0.050</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13</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镉≤</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0.001</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0.005</w:t>
            </w:r>
          </w:p>
        </w:tc>
        <w:tc>
          <w:tcPr>
            <w:tcW w:w="2658"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14</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总铬≤</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0.10</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0.20</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汞≤</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0.00005</w:t>
            </w:r>
          </w:p>
        </w:tc>
        <w:tc>
          <w:tcPr>
            <w:tcW w:w="2654" w:type="dxa"/>
            <w:gridSpan w:val="2"/>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0.0002</w:t>
            </w:r>
          </w:p>
        </w:tc>
        <w:tc>
          <w:tcPr>
            <w:tcW w:w="133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16</w:t>
            </w:r>
          </w:p>
        </w:tc>
        <w:tc>
          <w:tcPr>
            <w:tcW w:w="18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砷≤</w:t>
            </w:r>
          </w:p>
        </w:tc>
        <w:tc>
          <w:tcPr>
            <w:tcW w:w="13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0.020</w:t>
            </w:r>
          </w:p>
        </w:tc>
        <w:tc>
          <w:tcPr>
            <w:tcW w:w="1327"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0.030</w:t>
            </w:r>
          </w:p>
        </w:tc>
        <w:tc>
          <w:tcPr>
            <w:tcW w:w="2658"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0.050</w:t>
            </w:r>
          </w:p>
        </w:tc>
      </w:tr>
    </w:tbl>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环境空气</w:t>
      </w:r>
    </w:p>
    <w:p>
      <w:pPr>
        <w:bidi w:val="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t>根据《宁德市霞浦县牙城镇东洋工业园控制性详细规划环境影响报告书》</w:t>
      </w:r>
      <w:r>
        <w:rPr>
          <w:rFonts w:hint="default" w:ascii="Times New Roman" w:hAnsi="Times New Roman" w:cs="Times New Roman"/>
          <w:color w:val="auto"/>
          <w:highlight w:val="none"/>
        </w:rPr>
        <w:t>，项目所在区域环境空气质量功能区划为</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类区，环境空气质量执行《环境空气质量标准》（GB3095-2012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中二级标准，其中非甲烷总烃参照执行《大气污染物综合排放</w:t>
      </w:r>
      <w:r>
        <w:rPr>
          <w:rFonts w:hint="default" w:ascii="Times New Roman" w:hAnsi="Times New Roman" w:cs="Times New Roman"/>
          <w:color w:val="auto"/>
          <w:highlight w:val="none"/>
          <w:lang w:val="en-US" w:eastAsia="zh-CN"/>
        </w:rPr>
        <w:t>标准</w:t>
      </w:r>
      <w:r>
        <w:rPr>
          <w:rFonts w:hint="default" w:ascii="Times New Roman" w:hAnsi="Times New Roman" w:cs="Times New Roman"/>
          <w:color w:val="auto"/>
          <w:highlight w:val="none"/>
        </w:rPr>
        <w:t>详解》</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氨、硫化氢</w:t>
      </w:r>
      <w:r>
        <w:rPr>
          <w:rFonts w:hint="default" w:ascii="Times New Roman" w:hAnsi="Times New Roman" w:cs="Times New Roman"/>
          <w:color w:val="auto"/>
          <w:highlight w:val="none"/>
        </w:rPr>
        <w:t>执行《环境影响评价技术导则 大气环境》(HJ2.2-2018）附录D其他污染物空气质量浓度参考限值，详见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_Ref19713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表1.4-5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p>
    <w:p>
      <w:pPr>
        <w:bidi w:val="0"/>
        <w:rPr>
          <w:rFonts w:hint="default" w:ascii="Times New Roman" w:hAnsi="Times New Roman" w:cs="Times New Roman"/>
          <w:color w:val="auto"/>
          <w:highlight w:val="none"/>
          <w:lang w:val="en-US" w:eastAsia="zh-CN"/>
        </w:rPr>
      </w:pPr>
    </w:p>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90" w:name="_Ref19713"/>
      <w:r>
        <w:rPr>
          <w:rFonts w:hint="default" w:ascii="Times New Roman" w:hAnsi="Times New Roman" w:cs="Times New Roman"/>
          <w:color w:val="auto"/>
          <w:highlight w:val="none"/>
          <w:lang w:val="en-US" w:eastAsia="zh-CN"/>
        </w:rPr>
        <w:t>大气环境质量标准一览表</w:t>
      </w:r>
      <w:bookmarkEnd w:id="90"/>
    </w:p>
    <w:tbl>
      <w:tblPr>
        <w:tblStyle w:val="17"/>
        <w:tblW w:w="9282"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724"/>
        <w:gridCol w:w="1403"/>
        <w:gridCol w:w="1980"/>
        <w:gridCol w:w="1573"/>
        <w:gridCol w:w="360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blHeader/>
          <w:jc w:val="center"/>
        </w:trPr>
        <w:tc>
          <w:tcPr>
            <w:tcW w:w="72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序号</w:t>
            </w:r>
          </w:p>
        </w:tc>
        <w:tc>
          <w:tcPr>
            <w:tcW w:w="140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污染物名称</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取值时间</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浓度限值</w:t>
            </w:r>
          </w:p>
        </w:tc>
        <w:tc>
          <w:tcPr>
            <w:tcW w:w="3602"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PM</w:t>
            </w:r>
            <w:r>
              <w:rPr>
                <w:rFonts w:hint="default" w:ascii="Times New Roman" w:hAnsi="Times New Roman" w:eastAsia="宋体" w:cs="Times New Roman"/>
                <w:color w:val="auto"/>
                <w:kern w:val="2"/>
                <w:sz w:val="21"/>
                <w:szCs w:val="24"/>
                <w:highlight w:val="none"/>
                <w:vertAlign w:val="subscript"/>
                <w:lang w:val="en-US" w:eastAsia="zh-CN" w:bidi="ar-SA"/>
              </w:rPr>
              <w:t>10</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年平均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《环境空气质量标准》(GB3095-2012)中的二级标准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PM</w:t>
            </w:r>
            <w:r>
              <w:rPr>
                <w:rFonts w:hint="default" w:ascii="Times New Roman" w:hAnsi="Times New Roman" w:eastAsia="宋体" w:cs="Times New Roman"/>
                <w:color w:val="auto"/>
                <w:kern w:val="2"/>
                <w:sz w:val="21"/>
                <w:szCs w:val="24"/>
                <w:highlight w:val="none"/>
                <w:vertAlign w:val="subscript"/>
                <w:lang w:val="en-US" w:eastAsia="zh-CN" w:bidi="ar-SA"/>
              </w:rPr>
              <w:t>2.5</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年平均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35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75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TSP</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年平均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300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SO</w:t>
            </w:r>
            <w:r>
              <w:rPr>
                <w:rFonts w:hint="default" w:ascii="Times New Roman" w:hAnsi="Times New Roman" w:eastAsia="宋体" w:cs="Times New Roman"/>
                <w:color w:val="auto"/>
                <w:kern w:val="2"/>
                <w:sz w:val="21"/>
                <w:szCs w:val="24"/>
                <w:highlight w:val="none"/>
                <w:vertAlign w:val="subscript"/>
                <w:lang w:val="en-US" w:eastAsia="zh-CN" w:bidi="ar-SA"/>
              </w:rPr>
              <w:t>2</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年平均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500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NO</w:t>
            </w:r>
            <w:r>
              <w:rPr>
                <w:rFonts w:hint="default" w:ascii="Times New Roman" w:hAnsi="Times New Roman" w:eastAsia="宋体" w:cs="Times New Roman"/>
                <w:color w:val="auto"/>
                <w:kern w:val="2"/>
                <w:sz w:val="21"/>
                <w:szCs w:val="24"/>
                <w:highlight w:val="none"/>
                <w:vertAlign w:val="subscript"/>
                <w:lang w:val="en-US" w:eastAsia="zh-CN" w:bidi="ar-SA"/>
              </w:rPr>
              <w:t>2</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年平均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6</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氮氧化物（NO</w:t>
            </w:r>
            <w:r>
              <w:rPr>
                <w:rFonts w:hint="default" w:ascii="Times New Roman" w:hAnsi="Times New Roman" w:cs="Times New Roman"/>
                <w:color w:val="auto"/>
                <w:kern w:val="2"/>
                <w:sz w:val="21"/>
                <w:szCs w:val="24"/>
                <w:highlight w:val="none"/>
                <w:vertAlign w:val="subscript"/>
                <w:lang w:val="en-US" w:eastAsia="zh-CN" w:bidi="ar-SA"/>
              </w:rPr>
              <w:t>X</w:t>
            </w:r>
            <w:r>
              <w:rPr>
                <w:rFonts w:hint="default" w:ascii="Times New Roman" w:hAnsi="Times New Roman" w:cs="Times New Roman"/>
                <w:color w:val="auto"/>
                <w:kern w:val="2"/>
                <w:sz w:val="21"/>
                <w:szCs w:val="24"/>
                <w:highlight w:val="none"/>
                <w:lang w:val="en-US" w:eastAsia="zh-CN" w:bidi="ar-SA"/>
              </w:rPr>
              <w:t>）</w:t>
            </w:r>
          </w:p>
        </w:tc>
        <w:tc>
          <w:tcPr>
            <w:tcW w:w="1980"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年平均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50</w:t>
            </w:r>
            <w:r>
              <w:rPr>
                <w:rFonts w:hint="default" w:ascii="Times New Roman" w:hAnsi="Times New Roman" w:eastAsia="宋体" w:cs="Times New Roman"/>
                <w:color w:val="auto"/>
                <w:kern w:val="2"/>
                <w:sz w:val="21"/>
                <w:szCs w:val="24"/>
                <w:highlight w:val="none"/>
                <w:lang w:val="en-US" w:eastAsia="zh-CN" w:bidi="ar-SA"/>
              </w:rPr>
              <w:t xml:space="preserve">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 xml:space="preserve">100 </w:t>
            </w:r>
            <w:r>
              <w:rPr>
                <w:rFonts w:hint="default" w:ascii="Times New Roman" w:hAnsi="Times New Roman" w:eastAsia="宋体" w:cs="Times New Roman"/>
                <w:color w:val="auto"/>
                <w:kern w:val="2"/>
                <w:sz w:val="21"/>
                <w:szCs w:val="24"/>
                <w:highlight w:val="none"/>
                <w:lang w:val="en-US" w:eastAsia="zh-CN" w:bidi="ar-SA"/>
              </w:rPr>
              <w:t>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 xml:space="preserve">250 </w:t>
            </w:r>
            <w:r>
              <w:rPr>
                <w:rFonts w:hint="default" w:ascii="Times New Roman" w:hAnsi="Times New Roman" w:eastAsia="宋体" w:cs="Times New Roman"/>
                <w:color w:val="auto"/>
                <w:kern w:val="2"/>
                <w:sz w:val="21"/>
                <w:szCs w:val="24"/>
                <w:highlight w:val="none"/>
                <w:lang w:val="en-US" w:eastAsia="zh-CN" w:bidi="ar-SA"/>
              </w:rPr>
              <w:t>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7</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CO</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 mg/m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 mg/m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8</w:t>
            </w:r>
          </w:p>
        </w:tc>
        <w:tc>
          <w:tcPr>
            <w:tcW w:w="140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O</w:t>
            </w:r>
            <w:r>
              <w:rPr>
                <w:rFonts w:hint="default" w:ascii="Times New Roman" w:hAnsi="Times New Roman" w:eastAsia="宋体" w:cs="Times New Roman"/>
                <w:color w:val="auto"/>
                <w:kern w:val="2"/>
                <w:sz w:val="21"/>
                <w:szCs w:val="24"/>
                <w:highlight w:val="none"/>
                <w:vertAlign w:val="subscript"/>
                <w:lang w:val="en-US" w:eastAsia="zh-CN" w:bidi="ar-SA"/>
              </w:rPr>
              <w:t>3</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日最大8小时平均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160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40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1小时平均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9</w:t>
            </w:r>
          </w:p>
        </w:tc>
        <w:tc>
          <w:tcPr>
            <w:tcW w:w="140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非甲烷总烃</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一次值</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2.0</w:t>
            </w:r>
            <w:r>
              <w:rPr>
                <w:rFonts w:hint="default" w:ascii="Times New Roman" w:hAnsi="Times New Roman" w:eastAsia="宋体" w:cs="Times New Roman"/>
                <w:color w:val="auto"/>
                <w:kern w:val="2"/>
                <w:sz w:val="21"/>
                <w:szCs w:val="24"/>
                <w:highlight w:val="none"/>
                <w:lang w:val="en-US" w:eastAsia="zh-CN" w:bidi="ar-SA"/>
              </w:rPr>
              <w:t xml:space="preserve"> mg/m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 w:val="21"/>
                <w:szCs w:val="21"/>
                <w:highlight w:val="none"/>
              </w:rPr>
              <w:t>参照执行《大气污染物综合排放</w:t>
            </w:r>
            <w:r>
              <w:rPr>
                <w:rFonts w:hint="default" w:ascii="Times New Roman" w:hAnsi="Times New Roman" w:cs="Times New Roman"/>
                <w:color w:val="auto"/>
                <w:sz w:val="21"/>
                <w:szCs w:val="21"/>
                <w:highlight w:val="none"/>
                <w:lang w:val="en-US" w:eastAsia="zh-CN"/>
              </w:rPr>
              <w:t>标准</w:t>
            </w:r>
            <w:r>
              <w:rPr>
                <w:rFonts w:hint="default" w:ascii="Times New Roman" w:hAnsi="Times New Roman" w:cs="Times New Roman"/>
                <w:color w:val="auto"/>
                <w:sz w:val="21"/>
                <w:szCs w:val="21"/>
                <w:highlight w:val="none"/>
              </w:rPr>
              <w:t>详解》</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10</w:t>
            </w:r>
          </w:p>
        </w:tc>
        <w:tc>
          <w:tcPr>
            <w:tcW w:w="140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氨</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w:t>
            </w:r>
            <w:r>
              <w:rPr>
                <w:rFonts w:hint="default" w:ascii="Times New Roman" w:hAnsi="Times New Roman" w:cs="Times New Roman"/>
                <w:color w:val="auto"/>
                <w:kern w:val="2"/>
                <w:sz w:val="21"/>
                <w:szCs w:val="24"/>
                <w:highlight w:val="none"/>
                <w:lang w:val="en-US" w:eastAsia="zh-CN" w:bidi="ar-SA"/>
              </w:rPr>
              <w:t xml:space="preserve"> h</w:t>
            </w:r>
            <w:r>
              <w:rPr>
                <w:rFonts w:hint="default" w:ascii="Times New Roman" w:hAnsi="Times New Roman" w:eastAsia="宋体" w:cs="Times New Roman"/>
                <w:color w:val="auto"/>
                <w:kern w:val="2"/>
                <w:sz w:val="21"/>
                <w:szCs w:val="24"/>
                <w:highlight w:val="none"/>
                <w:lang w:val="en-US" w:eastAsia="zh-CN" w:bidi="ar-SA"/>
              </w:rPr>
              <w:t>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200</w:t>
            </w:r>
            <w:r>
              <w:rPr>
                <w:rFonts w:hint="default" w:ascii="Times New Roman" w:hAnsi="Times New Roman" w:eastAsia="宋体" w:cs="Times New Roman"/>
                <w:color w:val="auto"/>
                <w:kern w:val="2"/>
                <w:sz w:val="21"/>
                <w:szCs w:val="24"/>
                <w:highlight w:val="none"/>
                <w:lang w:val="en-US" w:eastAsia="zh-CN" w:bidi="ar-SA"/>
              </w:rPr>
              <w:t xml:space="preserve">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《环境影响评价技术导则 大气环境》（HJ2.2-2018）附录D其他污染物空气质量浓度参考限值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72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11</w:t>
            </w:r>
          </w:p>
        </w:tc>
        <w:tc>
          <w:tcPr>
            <w:tcW w:w="140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硫化氢</w:t>
            </w:r>
          </w:p>
        </w:tc>
        <w:tc>
          <w:tcPr>
            <w:tcW w:w="198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w:t>
            </w:r>
            <w:r>
              <w:rPr>
                <w:rFonts w:hint="default" w:ascii="Times New Roman" w:hAnsi="Times New Roman" w:cs="Times New Roman"/>
                <w:color w:val="auto"/>
                <w:kern w:val="2"/>
                <w:sz w:val="21"/>
                <w:szCs w:val="24"/>
                <w:highlight w:val="none"/>
                <w:lang w:val="en-US" w:eastAsia="zh-CN" w:bidi="ar-SA"/>
              </w:rPr>
              <w:t xml:space="preserve"> h</w:t>
            </w:r>
            <w:r>
              <w:rPr>
                <w:rFonts w:hint="default" w:ascii="Times New Roman" w:hAnsi="Times New Roman" w:eastAsia="宋体" w:cs="Times New Roman"/>
                <w:color w:val="auto"/>
                <w:kern w:val="2"/>
                <w:sz w:val="21"/>
                <w:szCs w:val="24"/>
                <w:highlight w:val="none"/>
                <w:lang w:val="en-US" w:eastAsia="zh-CN" w:bidi="ar-SA"/>
              </w:rPr>
              <w:t>平均</w:t>
            </w:r>
          </w:p>
        </w:tc>
        <w:tc>
          <w:tcPr>
            <w:tcW w:w="157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10</w:t>
            </w:r>
            <w:r>
              <w:rPr>
                <w:rFonts w:hint="default" w:ascii="Times New Roman" w:hAnsi="Times New Roman" w:eastAsia="宋体" w:cs="Times New Roman"/>
                <w:color w:val="auto"/>
                <w:kern w:val="2"/>
                <w:sz w:val="21"/>
                <w:szCs w:val="24"/>
                <w:highlight w:val="none"/>
                <w:lang w:val="en-US" w:eastAsia="zh-CN" w:bidi="ar-SA"/>
              </w:rPr>
              <w:t xml:space="preserve"> μg/m</w:t>
            </w:r>
            <w:r>
              <w:rPr>
                <w:rFonts w:hint="default" w:ascii="Times New Roman" w:hAnsi="Times New Roman" w:eastAsia="宋体" w:cs="Times New Roman"/>
                <w:color w:val="auto"/>
                <w:kern w:val="2"/>
                <w:sz w:val="21"/>
                <w:szCs w:val="24"/>
                <w:highlight w:val="none"/>
                <w:vertAlign w:val="superscript"/>
                <w:lang w:val="en-US" w:eastAsia="zh-CN" w:bidi="ar-SA"/>
              </w:rPr>
              <w:t>3</w:t>
            </w:r>
          </w:p>
        </w:tc>
        <w:tc>
          <w:tcPr>
            <w:tcW w:w="3602"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r>
    </w:tbl>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声环境</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default" w:ascii="Times New Roman" w:hAnsi="Times New Roman" w:cs="Times New Roman"/>
          <w:color w:val="auto"/>
          <w:highlight w:val="none"/>
          <w:lang w:val="en-US" w:eastAsia="zh-CN"/>
        </w:rPr>
        <w:t>霞浦县牙城镇工业园区内，声环境质量</w:t>
      </w:r>
      <w:r>
        <w:rPr>
          <w:rFonts w:hint="default" w:ascii="Times New Roman" w:hAnsi="Times New Roman" w:cs="Times New Roman"/>
          <w:color w:val="auto"/>
          <w:highlight w:val="none"/>
        </w:rPr>
        <w:t>执行《声环境质量标准》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GB3096-2008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中3</w:t>
      </w:r>
      <w:r>
        <w:rPr>
          <w:rFonts w:hint="default" w:ascii="Times New Roman" w:hAnsi="Times New Roman" w:cs="Times New Roman"/>
          <w:color w:val="auto"/>
          <w:highlight w:val="none"/>
        </w:rPr>
        <w:t>类标准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周边敏感目标执行</w:t>
      </w:r>
      <w:r>
        <w:rPr>
          <w:rFonts w:hint="default" w:ascii="Times New Roman" w:hAnsi="Times New Roman" w:cs="Times New Roman"/>
          <w:color w:val="auto"/>
          <w:highlight w:val="none"/>
        </w:rPr>
        <w:t>《声环境质量标准》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GB3096-2008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中2</w:t>
      </w:r>
      <w:r>
        <w:rPr>
          <w:rFonts w:hint="default" w:ascii="Times New Roman" w:hAnsi="Times New Roman" w:cs="Times New Roman"/>
          <w:color w:val="auto"/>
          <w:highlight w:val="none"/>
        </w:rPr>
        <w:t>类标准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_Ref19785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w:t>
      </w:r>
    </w:p>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91" w:name="_Ref19785"/>
      <w:r>
        <w:rPr>
          <w:rFonts w:hint="default" w:ascii="Times New Roman" w:hAnsi="Times New Roman" w:cs="Times New Roman"/>
          <w:color w:val="auto"/>
          <w:highlight w:val="none"/>
          <w:lang w:val="en-US" w:eastAsia="zh-CN"/>
        </w:rPr>
        <w:t>声环境质量标准（摘录）</w:t>
      </w:r>
      <w:bookmarkEnd w:id="91"/>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4479"/>
        <w:gridCol w:w="1183"/>
        <w:gridCol w:w="834"/>
        <w:gridCol w:w="8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声环境功能区类别</w:t>
            </w:r>
          </w:p>
        </w:tc>
        <w:tc>
          <w:tcPr>
            <w:tcW w:w="4479"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适用区域</w:t>
            </w:r>
          </w:p>
        </w:tc>
        <w:tc>
          <w:tcPr>
            <w:tcW w:w="118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单位</w:t>
            </w:r>
          </w:p>
        </w:tc>
        <w:tc>
          <w:tcPr>
            <w:tcW w:w="83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昼间</w:t>
            </w:r>
          </w:p>
        </w:tc>
        <w:tc>
          <w:tcPr>
            <w:tcW w:w="83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2类</w:t>
            </w:r>
          </w:p>
        </w:tc>
        <w:tc>
          <w:tcPr>
            <w:tcW w:w="4479"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以商业金融、集市贸易为主要功能，或者居住、商业、工业混杂，需要维护住宅安静的区域</w:t>
            </w:r>
          </w:p>
        </w:tc>
        <w:tc>
          <w:tcPr>
            <w:tcW w:w="1183"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dB（A）</w:t>
            </w:r>
          </w:p>
        </w:tc>
        <w:tc>
          <w:tcPr>
            <w:tcW w:w="83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60</w:t>
            </w:r>
          </w:p>
        </w:tc>
        <w:tc>
          <w:tcPr>
            <w:tcW w:w="83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3类</w:t>
            </w:r>
          </w:p>
        </w:tc>
        <w:tc>
          <w:tcPr>
            <w:tcW w:w="4479"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以工业生产、仓储物流为主要功能，需防止工业噪声对周围环境产生严重影响的区域</w:t>
            </w:r>
          </w:p>
        </w:tc>
        <w:tc>
          <w:tcPr>
            <w:tcW w:w="1183"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83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65</w:t>
            </w:r>
          </w:p>
        </w:tc>
        <w:tc>
          <w:tcPr>
            <w:tcW w:w="834"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w:t>
            </w:r>
          </w:p>
        </w:tc>
      </w:tr>
    </w:tbl>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土壤环境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规划区域土壤主要功能以工业用地为主，厂区内土壤环境质量执行《土壤环境质量 建设用地土壤污染风险管控标准（试行）》（GB36600-2018）筛选值中的第二类用地标准，详见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_Ref19837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ind w:left="420" w:leftChars="0" w:hanging="420" w:firstLineChars="0"/>
        <w:outlineLvl w:val="9"/>
        <w:rPr>
          <w:rFonts w:hint="default" w:ascii="Times New Roman" w:hAnsi="Times New Roman" w:cs="Times New Roman"/>
          <w:color w:val="auto"/>
          <w:highlight w:val="none"/>
          <w:lang w:val="en-US" w:eastAsia="zh-CN"/>
        </w:rPr>
      </w:pPr>
      <w:bookmarkStart w:id="92" w:name="_Ref19837"/>
      <w:r>
        <w:rPr>
          <w:rFonts w:hint="default" w:ascii="Times New Roman" w:hAnsi="Times New Roman" w:cs="Times New Roman"/>
          <w:color w:val="auto"/>
          <w:highlight w:val="none"/>
          <w:lang w:val="en-US" w:eastAsia="zh-CN"/>
        </w:rPr>
        <w:t>土壤环境质量标准限值（摘录）</w:t>
      </w:r>
      <w:bookmarkEnd w:id="92"/>
    </w:p>
    <w:tbl>
      <w:tblPr>
        <w:tblStyle w:val="17"/>
        <w:tblW w:w="9067" w:type="dxa"/>
        <w:tblInd w:w="0" w:type="dxa"/>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Layout w:type="fixed"/>
        <w:tblCellMar>
          <w:top w:w="0" w:type="dxa"/>
          <w:left w:w="0" w:type="dxa"/>
          <w:bottom w:w="0" w:type="dxa"/>
          <w:right w:w="0" w:type="dxa"/>
        </w:tblCellMar>
      </w:tblPr>
      <w:tblGrid>
        <w:gridCol w:w="746"/>
        <w:gridCol w:w="1890"/>
        <w:gridCol w:w="838"/>
        <w:gridCol w:w="1052"/>
        <w:gridCol w:w="1233"/>
        <w:gridCol w:w="1119"/>
        <w:gridCol w:w="1068"/>
        <w:gridCol w:w="1121"/>
      </w:tblGrid>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blHeader/>
        </w:trPr>
        <w:tc>
          <w:tcPr>
            <w:tcW w:w="746"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序号</w:t>
            </w:r>
          </w:p>
        </w:tc>
        <w:tc>
          <w:tcPr>
            <w:tcW w:w="1890"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污染物项目</w:t>
            </w:r>
          </w:p>
        </w:tc>
        <w:tc>
          <w:tcPr>
            <w:tcW w:w="838"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单位</w:t>
            </w:r>
          </w:p>
        </w:tc>
        <w:tc>
          <w:tcPr>
            <w:tcW w:w="1052"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CAS编号</w:t>
            </w:r>
          </w:p>
        </w:tc>
        <w:tc>
          <w:tcPr>
            <w:tcW w:w="2352" w:type="dxa"/>
            <w:gridSpan w:val="2"/>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筛选值</w:t>
            </w:r>
          </w:p>
        </w:tc>
        <w:tc>
          <w:tcPr>
            <w:tcW w:w="2189" w:type="dxa"/>
            <w:gridSpan w:val="2"/>
            <w:tcBorders>
              <w:tl2br w:val="nil"/>
              <w:tr2bl w:val="nil"/>
            </w:tcBorders>
            <w:shd w:val="clear" w:color="auto" w:fill="auto"/>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管制值</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blHeader/>
        </w:trPr>
        <w:tc>
          <w:tcPr>
            <w:tcW w:w="746"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1890"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1052"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第一类用地</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第二类用地</w:t>
            </w:r>
          </w:p>
        </w:tc>
        <w:tc>
          <w:tcPr>
            <w:tcW w:w="1068" w:type="dxa"/>
            <w:tcBorders>
              <w:tl2br w:val="nil"/>
              <w:tr2bl w:val="nil"/>
            </w:tcBorders>
            <w:shd w:val="clear" w:color="auto" w:fill="auto"/>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第一类用地</w:t>
            </w:r>
          </w:p>
        </w:tc>
        <w:tc>
          <w:tcPr>
            <w:tcW w:w="1121" w:type="dxa"/>
            <w:tcBorders>
              <w:tl2br w:val="nil"/>
              <w:tr2bl w:val="nil"/>
            </w:tcBorders>
            <w:shd w:val="clear" w:color="auto" w:fill="auto"/>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第二类用地</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9067" w:type="dxa"/>
            <w:gridSpan w:val="8"/>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重金属和无机物</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砷</w:t>
            </w:r>
          </w:p>
        </w:tc>
        <w:tc>
          <w:tcPr>
            <w:tcW w:w="838"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mg/kg</w:t>
            </w: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7440-38-2</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w:t>
            </w:r>
            <w:r>
              <w:rPr>
                <w:rFonts w:hint="default" w:ascii="Times New Roman" w:hAnsi="Times New Roman" w:eastAsia="宋体" w:cs="Times New Roman"/>
                <w:color w:val="auto"/>
                <w:kern w:val="2"/>
                <w:sz w:val="21"/>
                <w:szCs w:val="24"/>
                <w:highlight w:val="none"/>
                <w:vertAlign w:val="superscript"/>
                <w:lang w:val="en-US" w:eastAsia="zh-CN" w:bidi="ar-SA"/>
              </w:rPr>
              <w:t>①</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60</w:t>
            </w:r>
            <w:r>
              <w:rPr>
                <w:rFonts w:hint="default" w:ascii="Times New Roman" w:hAnsi="Times New Roman" w:eastAsia="宋体" w:cs="Times New Roman"/>
                <w:color w:val="auto"/>
                <w:kern w:val="2"/>
                <w:sz w:val="21"/>
                <w:szCs w:val="24"/>
                <w:highlight w:val="none"/>
                <w:vertAlign w:val="superscript"/>
                <w:lang w:val="en-US" w:eastAsia="zh-CN" w:bidi="ar-SA"/>
              </w:rPr>
              <w:t>①</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140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镉</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7440-43-9</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47</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172</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铬（六价）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18540-29-9</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5.7</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78</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铜</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7440-50-8</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18000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8000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36000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铅</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7439-92-1</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400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800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2500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汞</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7439-97-6</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38</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33</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82</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镍</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7440-02-0</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900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9067" w:type="dxa"/>
            <w:gridSpan w:val="8"/>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挥发性有机物</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四氯化碳</w:t>
            </w:r>
          </w:p>
        </w:tc>
        <w:tc>
          <w:tcPr>
            <w:tcW w:w="838"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mg/kg</w:t>
            </w: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56-23-5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0.9</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2.8</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9</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36</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9</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氯仿</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67-66-3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0.3</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0.9</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氯甲烷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74-87-3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37</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21</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1,1-二氯乙烷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75-34-3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9</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1,2-二氯乙烷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107-06-2</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0.52</w:t>
            </w:r>
            <w:r>
              <w:rPr>
                <w:rFonts w:hint="default" w:ascii="Times New Roman" w:hAnsi="Times New Roman" w:eastAsia="宋体" w:cs="Times New Roman"/>
                <w:color w:val="auto"/>
                <w:kern w:val="2"/>
                <w:sz w:val="21"/>
                <w:szCs w:val="24"/>
                <w:highlight w:val="none"/>
                <w:lang w:val="en-US" w:eastAsia="zh-CN" w:bidi="ar-SA"/>
              </w:rPr>
              <w:tab/>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21</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13</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1,1-二氯乙烯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75-35-4</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66</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14</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顺-1,2－二氯乙烯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156-59-2</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66</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596</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反-1,2－二氯乙烯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156-60-5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54</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31</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163</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16</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二氯甲烷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75-09-2</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94</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616</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17</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1,2－二氯丙烷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78-87-5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47</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18</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1,1,1,2－四氯乙烷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630-20-6</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2.6</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26</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19</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1,1,2,2－四氯乙烷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79-34-5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1.6</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6.8</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14</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四氯乙烯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127-18-4</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II</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53</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34</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183</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21</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w:t>
            </w:r>
            <w:r>
              <w:rPr>
                <w:rFonts w:hint="default" w:ascii="Times New Roman" w:hAnsi="Times New Roman" w:eastAsia="宋体" w:cs="Times New Roman"/>
                <w:color w:val="auto"/>
                <w:kern w:val="2"/>
                <w:sz w:val="21"/>
                <w:szCs w:val="24"/>
                <w:highlight w:val="none"/>
                <w:lang w:val="en-US" w:eastAsia="en-US" w:bidi="ar-SA"/>
              </w:rPr>
              <w:t>1-</w:t>
            </w:r>
            <w:r>
              <w:rPr>
                <w:rFonts w:hint="default" w:ascii="Times New Roman" w:hAnsi="Times New Roman" w:eastAsia="宋体" w:cs="Times New Roman"/>
                <w:color w:val="auto"/>
                <w:kern w:val="2"/>
                <w:sz w:val="21"/>
                <w:szCs w:val="24"/>
                <w:highlight w:val="none"/>
                <w:lang w:val="en-US" w:eastAsia="zh-CN" w:bidi="ar-SA"/>
              </w:rPr>
              <w:t>三氯乙烷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71-55-6</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701</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840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840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840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22</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1,1,2-三氯乙烷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79-00-5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0.6</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2.8</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23</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三氯乙烯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79-01-6</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0.7</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2.8</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24</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1,2,3-三氯丙烷</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96-18-4</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0.05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25</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75-01-4</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0.12</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0.43</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1.2</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4.3</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26</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71-43-2</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27</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氯苯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108-90-7</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68</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270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1000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28</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1,2-二氯苯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95-50-1</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560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560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560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560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29</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1,4-二氯苯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106-46-7</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5.6</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56</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30</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乙苯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100-41-4</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7.2</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28</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72</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280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31</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苯乙烯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100-42-5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1290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1290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1290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1290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32</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甲苯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108-88-3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1200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1200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33</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间二甲苯+对二甲苯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108-38-3,</w:t>
            </w:r>
          </w:p>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106-42-3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163</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570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570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34</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邻二甲苯</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95-47-6</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222</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640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640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640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9067" w:type="dxa"/>
            <w:gridSpan w:val="8"/>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半挥发性有机物</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35</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硝基苯</w:t>
            </w:r>
          </w:p>
        </w:tc>
        <w:tc>
          <w:tcPr>
            <w:tcW w:w="838" w:type="dxa"/>
            <w:vMerge w:val="restart"/>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zh-CN" w:bidi="ar-SA"/>
              </w:rPr>
              <w:t>mg/kg</w:t>
            </w: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98-95-3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34</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76</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190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760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36</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苯胺</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62-53-3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92</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260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211</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663</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37</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2-氯酚</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95-57-8</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250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2256</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4500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38</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苯并</w:t>
            </w:r>
            <w:r>
              <w:rPr>
                <w:rFonts w:hint="default" w:ascii="Times New Roman" w:hAnsi="Times New Roman" w:eastAsia="宋体" w:cs="Times New Roman"/>
                <w:color w:val="auto"/>
                <w:kern w:val="2"/>
                <w:sz w:val="21"/>
                <w:szCs w:val="24"/>
                <w:highlight w:val="none"/>
                <w:lang w:val="en-US" w:eastAsia="en-US" w:bidi="ar-SA"/>
              </w:rPr>
              <w:t>［a］</w:t>
            </w:r>
            <w:r>
              <w:rPr>
                <w:rFonts w:hint="default" w:ascii="Times New Roman" w:hAnsi="Times New Roman" w:eastAsia="宋体" w:cs="Times New Roman"/>
                <w:color w:val="auto"/>
                <w:kern w:val="2"/>
                <w:sz w:val="21"/>
                <w:szCs w:val="24"/>
                <w:highlight w:val="none"/>
                <w:lang w:val="en-US" w:eastAsia="zh-CN" w:bidi="ar-SA"/>
              </w:rPr>
              <w:t>蔥</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56-55-3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5.5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151</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39</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苯并</w:t>
            </w:r>
            <w:r>
              <w:rPr>
                <w:rFonts w:hint="default" w:ascii="Times New Roman" w:hAnsi="Times New Roman" w:eastAsia="宋体" w:cs="Times New Roman"/>
                <w:color w:val="auto"/>
                <w:kern w:val="2"/>
                <w:sz w:val="21"/>
                <w:szCs w:val="24"/>
                <w:highlight w:val="none"/>
                <w:lang w:val="en-US" w:eastAsia="en-US" w:bidi="ar-SA"/>
              </w:rPr>
              <w:t>［a］</w:t>
            </w:r>
            <w:r>
              <w:rPr>
                <w:rFonts w:hint="default" w:ascii="Times New Roman" w:hAnsi="Times New Roman" w:eastAsia="宋体" w:cs="Times New Roman"/>
                <w:color w:val="auto"/>
                <w:kern w:val="2"/>
                <w:sz w:val="21"/>
                <w:szCs w:val="24"/>
                <w:highlight w:val="none"/>
                <w:lang w:val="en-US" w:eastAsia="zh-CN" w:bidi="ar-SA"/>
              </w:rPr>
              <w:t>芘</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50-32-8</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0.55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5.5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40</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苯并</w:t>
            </w:r>
            <w:r>
              <w:rPr>
                <w:rFonts w:hint="default" w:ascii="Times New Roman" w:hAnsi="Times New Roman" w:eastAsia="宋体" w:cs="Times New Roman"/>
                <w:color w:val="auto"/>
                <w:kern w:val="2"/>
                <w:sz w:val="21"/>
                <w:szCs w:val="24"/>
                <w:highlight w:val="none"/>
                <w:lang w:val="en-US" w:eastAsia="en-US" w:bidi="ar-SA"/>
              </w:rPr>
              <w:t>［b］</w:t>
            </w:r>
            <w:r>
              <w:rPr>
                <w:rFonts w:hint="default" w:ascii="Times New Roman" w:hAnsi="Times New Roman" w:eastAsia="宋体" w:cs="Times New Roman"/>
                <w:color w:val="auto"/>
                <w:kern w:val="2"/>
                <w:sz w:val="21"/>
                <w:szCs w:val="24"/>
                <w:highlight w:val="none"/>
                <w:lang w:val="en-US" w:eastAsia="zh-CN" w:bidi="ar-SA"/>
              </w:rPr>
              <w:t>荧蔥</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205-99-2</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5.5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151</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41</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苯并</w:t>
            </w:r>
            <w:r>
              <w:rPr>
                <w:rFonts w:hint="default" w:ascii="Times New Roman" w:hAnsi="Times New Roman" w:eastAsia="宋体" w:cs="Times New Roman"/>
                <w:color w:val="auto"/>
                <w:kern w:val="2"/>
                <w:sz w:val="21"/>
                <w:szCs w:val="24"/>
                <w:highlight w:val="none"/>
                <w:lang w:val="en-US" w:eastAsia="en-US" w:bidi="ar-SA"/>
              </w:rPr>
              <w:t>［k］</w:t>
            </w:r>
            <w:r>
              <w:rPr>
                <w:rFonts w:hint="default" w:ascii="Times New Roman" w:hAnsi="Times New Roman" w:eastAsia="宋体" w:cs="Times New Roman"/>
                <w:color w:val="auto"/>
                <w:kern w:val="2"/>
                <w:sz w:val="21"/>
                <w:szCs w:val="24"/>
                <w:highlight w:val="none"/>
                <w:lang w:val="en-US" w:eastAsia="zh-CN" w:bidi="ar-SA"/>
              </w:rPr>
              <w:t>荧蔥</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207-08-9</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151</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42</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䓛</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218-01-9</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490</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1293</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4900</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12900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43</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二苯并</w:t>
            </w:r>
            <w:r>
              <w:rPr>
                <w:rFonts w:hint="default" w:ascii="Times New Roman" w:hAnsi="Times New Roman" w:eastAsia="宋体" w:cs="Times New Roman"/>
                <w:color w:val="auto"/>
                <w:kern w:val="2"/>
                <w:sz w:val="21"/>
                <w:szCs w:val="24"/>
                <w:highlight w:val="none"/>
                <w:lang w:val="en-US" w:eastAsia="en-US" w:bidi="ar-SA"/>
              </w:rPr>
              <w:t>［a, h］</w:t>
            </w:r>
            <w:r>
              <w:rPr>
                <w:rFonts w:hint="default" w:ascii="Times New Roman" w:hAnsi="Times New Roman" w:eastAsia="宋体" w:cs="Times New Roman"/>
                <w:color w:val="auto"/>
                <w:kern w:val="2"/>
                <w:sz w:val="21"/>
                <w:szCs w:val="24"/>
                <w:highlight w:val="none"/>
                <w:lang w:val="en-US" w:eastAsia="zh-CN" w:bidi="ar-SA"/>
              </w:rPr>
              <w:t>蔥</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53-70-3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0.55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1.5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5.5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44</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茚并</w:t>
            </w:r>
            <w:r>
              <w:rPr>
                <w:rFonts w:hint="default" w:ascii="Times New Roman" w:hAnsi="Times New Roman" w:eastAsia="宋体" w:cs="Times New Roman"/>
                <w:color w:val="auto"/>
                <w:kern w:val="2"/>
                <w:sz w:val="21"/>
                <w:szCs w:val="24"/>
                <w:highlight w:val="none"/>
                <w:lang w:val="en-US" w:eastAsia="en-US" w:bidi="ar-SA"/>
              </w:rPr>
              <w:t>［1,2,3-cd］</w:t>
            </w:r>
            <w:r>
              <w:rPr>
                <w:rFonts w:hint="default" w:ascii="Times New Roman" w:hAnsi="Times New Roman" w:eastAsia="宋体" w:cs="Times New Roman"/>
                <w:color w:val="auto"/>
                <w:kern w:val="2"/>
                <w:sz w:val="21"/>
                <w:szCs w:val="24"/>
                <w:highlight w:val="none"/>
                <w:lang w:val="en-US" w:eastAsia="zh-CN" w:bidi="ar-SA"/>
              </w:rPr>
              <w:t>芘</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193-39-5</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en-US" w:bidi="ar-SA"/>
              </w:rPr>
              <w:t>5.5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151</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746"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45</w:t>
            </w:r>
          </w:p>
        </w:tc>
        <w:tc>
          <w:tcPr>
            <w:tcW w:w="1890"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萘</w:t>
            </w:r>
          </w:p>
        </w:tc>
        <w:tc>
          <w:tcPr>
            <w:tcW w:w="838" w:type="dxa"/>
            <w:vMerge w:val="continue"/>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p>
        </w:tc>
        <w:tc>
          <w:tcPr>
            <w:tcW w:w="105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en-US" w:bidi="ar-SA"/>
              </w:rPr>
            </w:pPr>
            <w:r>
              <w:rPr>
                <w:rFonts w:hint="default" w:ascii="Times New Roman" w:hAnsi="Times New Roman" w:eastAsia="宋体" w:cs="Times New Roman"/>
                <w:color w:val="auto"/>
                <w:kern w:val="2"/>
                <w:sz w:val="21"/>
                <w:szCs w:val="24"/>
                <w:highlight w:val="none"/>
                <w:lang w:val="en-US" w:eastAsia="en-US" w:bidi="ar-SA"/>
              </w:rPr>
              <w:t>91-20-3</w:t>
            </w:r>
          </w:p>
        </w:tc>
        <w:tc>
          <w:tcPr>
            <w:tcW w:w="1233"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25</w:t>
            </w:r>
          </w:p>
        </w:tc>
        <w:tc>
          <w:tcPr>
            <w:tcW w:w="1119" w:type="dxa"/>
            <w:tcBorders>
              <w:tl2br w:val="nil"/>
              <w:tr2bl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70</w:t>
            </w:r>
          </w:p>
        </w:tc>
        <w:tc>
          <w:tcPr>
            <w:tcW w:w="106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255</w:t>
            </w:r>
          </w:p>
        </w:tc>
        <w:tc>
          <w:tcPr>
            <w:tcW w:w="112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700</w:t>
            </w:r>
          </w:p>
        </w:tc>
      </w:tr>
      <w:tr>
        <w:tblPrEx>
          <w:tblBorders>
            <w:top w:val="single" w:color="282828" w:sz="12" w:space="0"/>
            <w:left w:val="none" w:color="auto" w:sz="0" w:space="0"/>
            <w:bottom w:val="single" w:color="282828" w:sz="12" w:space="0"/>
            <w:right w:val="none" w:color="auto" w:sz="0" w:space="0"/>
            <w:insideH w:val="single" w:color="282828" w:sz="4" w:space="0"/>
            <w:insideV w:val="single" w:color="282828" w:sz="4" w:space="0"/>
          </w:tblBorders>
          <w:tblCellMar>
            <w:top w:w="0" w:type="dxa"/>
            <w:left w:w="0" w:type="dxa"/>
            <w:bottom w:w="0" w:type="dxa"/>
            <w:right w:w="0" w:type="dxa"/>
          </w:tblCellMar>
        </w:tblPrEx>
        <w:trPr>
          <w:trHeight w:val="312" w:hRule="atLeast"/>
        </w:trPr>
        <w:tc>
          <w:tcPr>
            <w:tcW w:w="9067" w:type="dxa"/>
            <w:gridSpan w:val="8"/>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left"/>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注：①具体地块土壤中污染物检测含量超过筛选值，但等于或者低于土壤环境背景值水平的，不纳入污染地块管理。</w:t>
            </w:r>
          </w:p>
        </w:tc>
      </w:tr>
    </w:tbl>
    <w:p>
      <w:pPr>
        <w:pStyle w:val="4"/>
        <w:bidi w:val="0"/>
        <w:rPr>
          <w:rFonts w:hint="default" w:ascii="Times New Roman" w:hAnsi="Times New Roman" w:cs="Times New Roman"/>
          <w:color w:val="auto"/>
          <w:highlight w:val="none"/>
          <w:lang w:val="en-US" w:eastAsia="zh-CN"/>
        </w:rPr>
      </w:pPr>
      <w:bookmarkStart w:id="93" w:name="_Toc20265"/>
      <w:bookmarkStart w:id="94" w:name="_Toc20095"/>
      <w:r>
        <w:rPr>
          <w:rFonts w:hint="default" w:ascii="Times New Roman" w:hAnsi="Times New Roman" w:cs="Times New Roman"/>
          <w:color w:val="auto"/>
          <w:highlight w:val="none"/>
          <w:lang w:val="en-US" w:eastAsia="zh-CN"/>
        </w:rPr>
        <w:t>污染物排放标准</w:t>
      </w:r>
      <w:bookmarkEnd w:id="93"/>
      <w:bookmarkEnd w:id="94"/>
    </w:p>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highlight w:val="none"/>
        </w:rPr>
        <w:t>施工期产生的施工废水经隔油池、沉淀池处理回用于项目场地</w:t>
      </w:r>
      <w:r>
        <w:rPr>
          <w:rFonts w:hint="default" w:ascii="Times New Roman" w:hAnsi="Times New Roman" w:cs="Times New Roman"/>
          <w:color w:val="auto"/>
          <w:sz w:val="24"/>
          <w:szCs w:val="24"/>
          <w:highlight w:val="none"/>
          <w:lang w:val="en-US" w:eastAsia="zh-CN"/>
        </w:rPr>
        <w:t>洒水</w:t>
      </w:r>
      <w:r>
        <w:rPr>
          <w:rFonts w:hint="default" w:ascii="Times New Roman" w:hAnsi="Times New Roman" w:cs="Times New Roman"/>
          <w:color w:val="auto"/>
          <w:sz w:val="24"/>
          <w:szCs w:val="24"/>
          <w:highlight w:val="none"/>
        </w:rPr>
        <w:t>，不外排</w:t>
      </w:r>
      <w:r>
        <w:rPr>
          <w:rFonts w:hint="default" w:ascii="Times New Roman" w:hAnsi="Times New Roman" w:cs="Times New Roman"/>
          <w:color w:val="auto"/>
          <w:sz w:val="24"/>
          <w:szCs w:val="24"/>
          <w:highlight w:val="none"/>
          <w:lang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运营期</w:t>
      </w:r>
    </w:p>
    <w:p>
      <w:pPr>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项目现有工程生活污水经化粪池处理达牙城镇污水处理厂进水水质标准后排污园区污水管网，进入牙城镇污水处理厂处理，详见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_Ref14779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表1.4-10</w:t>
      </w:r>
      <w:r>
        <w:rPr>
          <w:rFonts w:hint="eastAsia" w:cs="Times New Roman"/>
          <w:color w:val="auto"/>
          <w:highlight w:val="none"/>
          <w:lang w:val="en-US" w:eastAsia="zh-CN"/>
        </w:rPr>
        <w:fldChar w:fldCharType="end"/>
      </w:r>
      <w:r>
        <w:rPr>
          <w:rFonts w:hint="eastAsia" w:cs="Times New Roman"/>
          <w:color w:val="auto"/>
          <w:highlight w:val="none"/>
          <w:lang w:val="en-US" w:eastAsia="zh-CN"/>
        </w:rPr>
        <w:t>；生产废水经厂内自建污水站处理达《城市污水再生利用 工业用水水质》（GB/T19923-2005）表1中洗涤用水水质标准后全部回用于现有一期工程原料清洗，不排放，具体详见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_Ref16131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表1.4-8</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扩建工程</w:t>
      </w:r>
      <w:r>
        <w:rPr>
          <w:rFonts w:hint="default" w:ascii="Times New Roman" w:hAnsi="Times New Roman" w:cs="Times New Roman"/>
          <w:color w:val="auto"/>
          <w:highlight w:val="none"/>
          <w:lang w:val="en-US" w:eastAsia="zh-CN"/>
        </w:rPr>
        <w:t>运营期</w:t>
      </w:r>
      <w:r>
        <w:rPr>
          <w:rFonts w:hint="default" w:ascii="Times New Roman" w:hAnsi="Times New Roman" w:cs="Times New Roman"/>
          <w:color w:val="auto"/>
          <w:highlight w:val="none"/>
        </w:rPr>
        <w:t>排放的废水主要为</w:t>
      </w:r>
      <w:r>
        <w:rPr>
          <w:rFonts w:hint="default" w:ascii="Times New Roman" w:hAnsi="Times New Roman" w:cs="Times New Roman"/>
          <w:color w:val="auto"/>
          <w:highlight w:val="none"/>
          <w:lang w:val="en-US" w:eastAsia="zh-CN"/>
        </w:rPr>
        <w:t>生产废水和</w:t>
      </w:r>
      <w:r>
        <w:rPr>
          <w:rFonts w:hint="default" w:ascii="Times New Roman" w:hAnsi="Times New Roman" w:cs="Times New Roman"/>
          <w:color w:val="auto"/>
          <w:highlight w:val="none"/>
        </w:rPr>
        <w:t>生活污水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生产废水经厂内自建的污水处理站处理达《合成树脂工业污染物排放标准》（GB31572-2015）中表1直接排放限值（石油类排放标准参照现有工程环评报告书10 mg/L的要求）</w:t>
      </w:r>
      <w:r>
        <w:rPr>
          <w:rFonts w:hint="eastAsia" w:cs="Times New Roman"/>
          <w:color w:val="auto"/>
          <w:highlight w:val="none"/>
          <w:lang w:val="en-US" w:eastAsia="zh-CN"/>
        </w:rPr>
        <w:t>（根据</w:t>
      </w:r>
      <w:r>
        <w:rPr>
          <w:rFonts w:hint="default" w:ascii="Times New Roman" w:hAnsi="Times New Roman" w:cs="Times New Roman"/>
          <w:color w:val="auto"/>
          <w:highlight w:val="none"/>
          <w:lang w:val="en-US" w:eastAsia="zh-CN"/>
        </w:rPr>
        <w:t>《合成树脂工业污染物排放标准》（GB31572-2015）</w:t>
      </w:r>
      <w:r>
        <w:rPr>
          <w:rFonts w:hint="eastAsia" w:cs="Times New Roman"/>
          <w:color w:val="auto"/>
          <w:highlight w:val="none"/>
          <w:lang w:val="en-US" w:eastAsia="zh-CN"/>
        </w:rPr>
        <w:t>要求，废水进入城镇污水处理厂或经由城镇污水管线排放，应达到直接排放标准；废水进入园区（包括各类工业园区、开发区、工业聚集地等）污水处理厂执行间接排放标准，未规定限值的污染物项目由企业与园区污水处理厂根据其污水处理能力商定相关标准，并报当地环境保护主管部门备案。本项目废水进入牙城镇污水处理厂处理，牙城镇污水处理厂属于城镇污水处理厂，故执行直接排放标准）</w:t>
      </w:r>
      <w:r>
        <w:rPr>
          <w:rFonts w:hint="default" w:ascii="Times New Roman" w:hAnsi="Times New Roman" w:cs="Times New Roman"/>
          <w:color w:val="auto"/>
          <w:highlight w:val="none"/>
          <w:lang w:val="en-US" w:eastAsia="zh-CN"/>
        </w:rPr>
        <w:t>后排入园区污水管网，最终纳入牙城镇污水处理厂深度处理，具体详见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_Ref19926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；生活污水经化粪池处理后，</w:t>
      </w:r>
      <w:r>
        <w:rPr>
          <w:rFonts w:hint="default" w:ascii="Times New Roman" w:hAnsi="Times New Roman" w:cs="Times New Roman"/>
          <w:color w:val="auto"/>
          <w:highlight w:val="none"/>
        </w:rPr>
        <w:t>排入园区污水管网，</w:t>
      </w:r>
      <w:r>
        <w:rPr>
          <w:rFonts w:hint="default" w:ascii="Times New Roman" w:hAnsi="Times New Roman" w:cs="Times New Roman"/>
          <w:color w:val="auto"/>
          <w:highlight w:val="none"/>
          <w:lang w:val="en-US" w:eastAsia="zh-CN"/>
        </w:rPr>
        <w:t>进入</w:t>
      </w:r>
      <w:r>
        <w:rPr>
          <w:rFonts w:hint="default" w:ascii="Times New Roman" w:hAnsi="Times New Roman" w:cs="Times New Roman"/>
          <w:color w:val="auto"/>
          <w:highlight w:val="none"/>
        </w:rPr>
        <w:t>牙城镇污水处理厂</w:t>
      </w:r>
      <w:r>
        <w:rPr>
          <w:rFonts w:hint="default" w:ascii="Times New Roman" w:hAnsi="Times New Roman" w:cs="Times New Roman"/>
          <w:color w:val="auto"/>
          <w:highlight w:val="none"/>
          <w:lang w:val="en-US" w:eastAsia="zh-CN"/>
        </w:rPr>
        <w:t>深度处理，因牙城镇污水处理厂设计的进水水质浓度均小于《污水综合排放标准》（GB8978-1996）表4三级标准限值，故本项目</w:t>
      </w:r>
      <w:r>
        <w:rPr>
          <w:rFonts w:hint="default" w:ascii="Times New Roman" w:hAnsi="Times New Roman" w:cs="Times New Roman"/>
          <w:color w:val="auto"/>
          <w:highlight w:val="none"/>
        </w:rPr>
        <w:t>生活污水经厂区化粪池处理</w:t>
      </w:r>
      <w:r>
        <w:rPr>
          <w:rFonts w:hint="default" w:ascii="Times New Roman" w:hAnsi="Times New Roman" w:cs="Times New Roman"/>
          <w:color w:val="auto"/>
          <w:highlight w:val="none"/>
          <w:lang w:val="en-US" w:eastAsia="zh-CN"/>
        </w:rPr>
        <w:t>后的排放标准执行牙城镇污水处理厂设计的进水水质标准，详见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_Ref14779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牙城镇污水处理厂</w:t>
      </w:r>
      <w:r>
        <w:rPr>
          <w:rFonts w:hint="eastAsia" w:cs="Times New Roman"/>
          <w:color w:val="auto"/>
          <w:highlight w:val="none"/>
          <w:lang w:val="en-US" w:eastAsia="zh-CN"/>
        </w:rPr>
        <w:t>目前在进行提标改造可行性研究报告编制阶段，近期</w:t>
      </w:r>
      <w:r>
        <w:rPr>
          <w:rFonts w:hint="default" w:ascii="Times New Roman" w:hAnsi="Times New Roman" w:cs="Times New Roman"/>
          <w:color w:val="auto"/>
          <w:highlight w:val="none"/>
          <w:lang w:val="en-US" w:eastAsia="zh-CN"/>
        </w:rPr>
        <w:t>尾水排放标准执行《城镇污水处理厂污染物排放标准》（GB18918-2012）表1中一级B标准，</w:t>
      </w:r>
      <w:r>
        <w:rPr>
          <w:rFonts w:hint="eastAsia" w:cs="Times New Roman"/>
          <w:color w:val="auto"/>
          <w:highlight w:val="none"/>
          <w:lang w:val="en-US" w:eastAsia="zh-CN"/>
        </w:rPr>
        <w:t>待远期提标改造工程实施后执行</w:t>
      </w:r>
      <w:r>
        <w:rPr>
          <w:rFonts w:hint="default" w:ascii="Times New Roman" w:hAnsi="Times New Roman" w:cs="Times New Roman"/>
          <w:color w:val="auto"/>
          <w:highlight w:val="none"/>
          <w:lang w:val="en-US" w:eastAsia="zh-CN"/>
        </w:rPr>
        <w:t>《城镇污水处理厂污染物排放标准》（GB18918-2012）表1中一级</w:t>
      </w:r>
      <w:r>
        <w:rPr>
          <w:rFonts w:hint="eastAsia" w:cs="Times New Roman"/>
          <w:color w:val="auto"/>
          <w:highlight w:val="none"/>
          <w:lang w:val="en-US" w:eastAsia="zh-CN"/>
        </w:rPr>
        <w:t>A</w:t>
      </w:r>
      <w:r>
        <w:rPr>
          <w:rFonts w:hint="default" w:ascii="Times New Roman" w:hAnsi="Times New Roman" w:cs="Times New Roman"/>
          <w:color w:val="auto"/>
          <w:highlight w:val="none"/>
          <w:lang w:val="en-US" w:eastAsia="zh-CN"/>
        </w:rPr>
        <w:t>标准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_Ref14838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bookmarkStart w:id="95" w:name="_Toc10846_WPSOffice_Level2"/>
      <w:bookmarkStart w:id="96" w:name="_Toc7113_WPSOffice_Level2"/>
    </w:p>
    <w:bookmarkEnd w:id="95"/>
    <w:bookmarkEnd w:id="96"/>
    <w:p>
      <w:pPr>
        <w:pStyle w:val="24"/>
        <w:bidi w:val="0"/>
        <w:ind w:left="420" w:leftChars="0" w:hanging="420" w:firstLineChars="0"/>
        <w:rPr>
          <w:rFonts w:hint="default" w:ascii="Times New Roman" w:hAnsi="Times New Roman" w:cs="Times New Roman"/>
          <w:color w:val="auto"/>
          <w:highlight w:val="none"/>
          <w:lang w:val="en-US" w:eastAsia="zh-CN"/>
        </w:rPr>
      </w:pPr>
      <w:bookmarkStart w:id="97" w:name="_Ref16131"/>
      <w:bookmarkStart w:id="98" w:name="_Ref19926"/>
      <w:r>
        <w:rPr>
          <w:rFonts w:hint="eastAsia" w:cs="Times New Roman"/>
          <w:color w:val="auto"/>
          <w:highlight w:val="none"/>
          <w:lang w:val="en-US" w:eastAsia="zh-CN"/>
        </w:rPr>
        <w:t>《城市污水再生利用 工业用水水质》（GB/T19923-2005）（摘录）</w:t>
      </w:r>
      <w:bookmarkEnd w:id="97"/>
    </w:p>
    <w:tbl>
      <w:tblPr>
        <w:tblStyle w:val="1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3143"/>
        <w:gridCol w:w="1051"/>
        <w:gridCol w:w="1726"/>
        <w:gridCol w:w="913"/>
        <w:gridCol w:w="898"/>
        <w:gridCol w:w="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序号</w:t>
            </w:r>
          </w:p>
        </w:tc>
        <w:tc>
          <w:tcPr>
            <w:tcW w:w="1693"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控制项目</w:t>
            </w:r>
          </w:p>
        </w:tc>
        <w:tc>
          <w:tcPr>
            <w:tcW w:w="1496" w:type="pct"/>
            <w:gridSpan w:val="2"/>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冷却用水</w:t>
            </w:r>
          </w:p>
        </w:tc>
        <w:tc>
          <w:tcPr>
            <w:tcW w:w="492" w:type="pct"/>
            <w:vMerge w:val="restar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洗涤用水</w:t>
            </w:r>
          </w:p>
        </w:tc>
        <w:tc>
          <w:tcPr>
            <w:tcW w:w="484"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锅炉补给水</w:t>
            </w:r>
          </w:p>
        </w:tc>
        <w:tc>
          <w:tcPr>
            <w:tcW w:w="512"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工艺与产品用水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693"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直流冷却水</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敞开式循环冷却水系统补充水</w:t>
            </w:r>
          </w:p>
        </w:tc>
        <w:tc>
          <w:tcPr>
            <w:tcW w:w="492" w:type="pct"/>
            <w:vMerge w:val="continue"/>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84"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1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pH值</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6.5-9.0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6.5-8.5</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6.5-9.0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6.5-8.5</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悬浮物（SS）（mg/L）≤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浊度（NTU）≤</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5</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5</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色度（度）≤</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5</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生化需氧量（BOD</w:t>
            </w:r>
            <w:r>
              <w:rPr>
                <w:rFonts w:hint="eastAsia"/>
                <w:color w:val="auto"/>
                <w:vertAlign w:val="subscript"/>
                <w:lang w:val="en-US" w:eastAsia="zh-CN"/>
              </w:rPr>
              <w:t>5</w:t>
            </w:r>
            <w:r>
              <w:rPr>
                <w:rFonts w:hint="eastAsia"/>
                <w:color w:val="auto"/>
                <w:lang w:val="en-US" w:eastAsia="zh-CN"/>
              </w:rPr>
              <w:t>）（mg/L）≤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化学需氧量（COD</w:t>
            </w:r>
            <w:r>
              <w:rPr>
                <w:rFonts w:hint="eastAsia"/>
                <w:color w:val="auto"/>
                <w:vertAlign w:val="subscript"/>
                <w:lang w:val="en-US" w:eastAsia="zh-CN"/>
              </w:rPr>
              <w:t>Cr</w:t>
            </w:r>
            <w:r>
              <w:rPr>
                <w:rFonts w:hint="eastAsia"/>
                <w:color w:val="auto"/>
                <w:lang w:val="en-US" w:eastAsia="zh-CN"/>
              </w:rPr>
              <w:t>）（mg/L）≤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7</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铁（mg/L）≤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0.3</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0.3</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0.3</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8</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锰（mg/L）≤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0.1</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0.1</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0.1</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9</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氯离子（mg/L）≤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二氧化硅（SiO</w:t>
            </w:r>
            <w:r>
              <w:rPr>
                <w:rFonts w:hint="eastAsia"/>
                <w:color w:val="auto"/>
                <w:vertAlign w:val="subscript"/>
                <w:lang w:val="en-US" w:eastAsia="zh-CN"/>
              </w:rPr>
              <w:t>2</w:t>
            </w:r>
            <w:r>
              <w:rPr>
                <w:rFonts w:hint="eastAsia"/>
                <w:color w:val="auto"/>
                <w:lang w:val="en-US" w:eastAsia="zh-CN"/>
              </w:rPr>
              <w:t>）≤</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50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50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11</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总硬度（以CaCO</w:t>
            </w:r>
            <w:r>
              <w:rPr>
                <w:rFonts w:hint="eastAsia"/>
                <w:color w:val="auto"/>
                <w:vertAlign w:val="subscript"/>
                <w:lang w:val="en-US" w:eastAsia="zh-CN"/>
              </w:rPr>
              <w:t>3</w:t>
            </w:r>
            <w:r>
              <w:rPr>
                <w:rFonts w:hint="eastAsia"/>
                <w:color w:val="auto"/>
                <w:lang w:val="en-US" w:eastAsia="zh-CN"/>
              </w:rPr>
              <w:t>计/mg/L）≤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450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450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450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450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12</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总碱度（以CaCO</w:t>
            </w:r>
            <w:r>
              <w:rPr>
                <w:rFonts w:hint="eastAsia"/>
                <w:color w:val="auto"/>
                <w:vertAlign w:val="subscript"/>
                <w:lang w:val="en-US" w:eastAsia="zh-CN"/>
              </w:rPr>
              <w:t>3</w:t>
            </w:r>
            <w:r>
              <w:rPr>
                <w:rFonts w:hint="eastAsia"/>
                <w:color w:val="auto"/>
                <w:lang w:val="en-US" w:eastAsia="zh-CN"/>
              </w:rPr>
              <w:t>计/mg/L）≤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350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350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350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350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13</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硫酸盐（mg/L）≤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600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14</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氨氮（以N计/mg/L）≤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r>
              <w:rPr>
                <w:rFonts w:hint="eastAsia"/>
                <w:color w:val="auto"/>
                <w:vertAlign w:val="superscript"/>
                <w:lang w:val="en-US" w:eastAsia="zh-CN"/>
              </w:rPr>
              <w:t>①</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15</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总磷（以P计/mg/L）≤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16</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溶解性总固体（mg/L）≤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1000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1000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1000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1000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17</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石油类（mg/L）≤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18</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阴离子表面活性剂（mg/L）≤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0.5</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0.5</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19</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余氯</w:t>
            </w:r>
            <w:r>
              <w:rPr>
                <w:rFonts w:hint="eastAsia"/>
                <w:color w:val="auto"/>
                <w:vertAlign w:val="superscript"/>
                <w:lang w:val="en-US" w:eastAsia="zh-CN"/>
              </w:rPr>
              <w:t>②</w:t>
            </w:r>
            <w:r>
              <w:rPr>
                <w:rFonts w:hint="eastAsia"/>
                <w:color w:val="auto"/>
                <w:lang w:val="en-US" w:eastAsia="zh-CN"/>
              </w:rPr>
              <w:t>（mg/L）≥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0.05</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0.05</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0.05</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0.05</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0"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w:t>
            </w:r>
          </w:p>
        </w:tc>
        <w:tc>
          <w:tcPr>
            <w:tcW w:w="169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粪大肠菌群（个/L）≤</w:t>
            </w:r>
          </w:p>
        </w:tc>
        <w:tc>
          <w:tcPr>
            <w:tcW w:w="566"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2000</w:t>
            </w:r>
          </w:p>
        </w:tc>
        <w:tc>
          <w:tcPr>
            <w:tcW w:w="92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2000</w:t>
            </w:r>
          </w:p>
        </w:tc>
        <w:tc>
          <w:tcPr>
            <w:tcW w:w="492" w:type="pct"/>
            <w:tcBorders>
              <w:tl2br w:val="nil"/>
              <w:tr2bl w:val="nil"/>
            </w:tcBorders>
            <w:shd w:val="clear" w:color="auto" w:fill="D7D7D7" w:themeFill="background1" w:themeFillShade="D8"/>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2000</w:t>
            </w:r>
          </w:p>
        </w:tc>
        <w:tc>
          <w:tcPr>
            <w:tcW w:w="484"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2000</w:t>
            </w:r>
          </w:p>
        </w:tc>
        <w:tc>
          <w:tcPr>
            <w:tcW w:w="51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tcBorders>
              <w:tl2br w:val="nil"/>
              <w:tr2bl w:val="nil"/>
            </w:tcBorders>
            <w:vAlign w:val="center"/>
          </w:tcPr>
          <w:p>
            <w:pPr>
              <w:pStyle w:val="21"/>
              <w:keepNext w:val="0"/>
              <w:keepLines w:val="0"/>
              <w:suppressLineNumbers w:val="0"/>
              <w:bidi w:val="0"/>
              <w:spacing w:before="0" w:beforeAutospacing="0" w:after="0" w:afterAutospacing="0"/>
              <w:ind w:right="0"/>
              <w:jc w:val="left"/>
              <w:rPr>
                <w:rFonts w:hint="eastAsia"/>
                <w:color w:val="auto"/>
                <w:lang w:val="en-US" w:eastAsia="zh-CN"/>
              </w:rPr>
            </w:pPr>
            <w:r>
              <w:rPr>
                <w:rFonts w:hint="eastAsia"/>
                <w:color w:val="auto"/>
                <w:lang w:val="en-US" w:eastAsia="zh-CN"/>
              </w:rPr>
              <w:t>注： ①当敞开式循环冷却水系统换热器为铜质时，循环冷却系统中循环水的氨氮指标应小于1 mg/L。</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right="0" w:firstLine="420" w:firstLineChars="200"/>
              <w:jc w:val="left"/>
              <w:textAlignment w:val="auto"/>
              <w:rPr>
                <w:rFonts w:hint="default"/>
                <w:color w:val="auto"/>
                <w:lang w:val="en-US" w:eastAsia="zh-CN"/>
              </w:rPr>
            </w:pPr>
            <w:r>
              <w:rPr>
                <w:rFonts w:hint="eastAsia"/>
                <w:color w:val="auto"/>
                <w:lang w:val="en-US" w:eastAsia="zh-CN"/>
              </w:rPr>
              <w:t>②加氯消毒时管末梢值。</w:t>
            </w:r>
          </w:p>
        </w:tc>
      </w:tr>
    </w:tbl>
    <w:p>
      <w:pPr>
        <w:rPr>
          <w:rFonts w:hint="default"/>
          <w:color w:val="auto"/>
          <w:lang w:val="en-US" w:eastAsia="zh-CN"/>
        </w:rPr>
      </w:pPr>
    </w:p>
    <w:p>
      <w:pPr>
        <w:rPr>
          <w:rFonts w:hint="default"/>
          <w:color w:val="auto"/>
          <w:lang w:val="en-US" w:eastAsia="zh-CN"/>
        </w:rPr>
      </w:pPr>
    </w:p>
    <w:p>
      <w:pPr>
        <w:pStyle w:val="24"/>
        <w:bidi w:val="0"/>
        <w:ind w:left="420" w:leftChars="0" w:hanging="42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《合成树脂工业污染物排放标准》（GB</w:t>
      </w:r>
      <w:r>
        <w:rPr>
          <w:rFonts w:hint="eastAsia" w:cs="Times New Roman"/>
          <w:color w:val="auto"/>
          <w:highlight w:val="none"/>
          <w:lang w:val="en-US" w:eastAsia="zh-CN"/>
        </w:rPr>
        <w:t>31572</w:t>
      </w:r>
      <w:r>
        <w:rPr>
          <w:rFonts w:hint="default" w:ascii="Times New Roman" w:hAnsi="Times New Roman" w:cs="Times New Roman"/>
          <w:color w:val="auto"/>
          <w:highlight w:val="none"/>
          <w:lang w:val="en-US" w:eastAsia="zh-CN"/>
        </w:rPr>
        <w:t>-2015）（摘录）</w:t>
      </w:r>
      <w:bookmarkEnd w:id="98"/>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440"/>
        <w:gridCol w:w="976"/>
        <w:gridCol w:w="1656"/>
        <w:gridCol w:w="1322"/>
        <w:gridCol w:w="1370"/>
        <w:gridCol w:w="1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6"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1440"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污染物名称</w:t>
            </w:r>
          </w:p>
        </w:tc>
        <w:tc>
          <w:tcPr>
            <w:tcW w:w="976"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w:t>
            </w: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排放标准值</w:t>
            </w:r>
          </w:p>
        </w:tc>
        <w:tc>
          <w:tcPr>
            <w:tcW w:w="1322"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适用的合成树脂类型</w:t>
            </w:r>
          </w:p>
        </w:tc>
        <w:tc>
          <w:tcPr>
            <w:tcW w:w="1370"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污染物排放监控位置</w:t>
            </w:r>
          </w:p>
        </w:tc>
        <w:tc>
          <w:tcPr>
            <w:tcW w:w="1841"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单位产品基准排水量（m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/t产品）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44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直接排放</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pH值</w:t>
            </w:r>
          </w:p>
        </w:tc>
        <w:tc>
          <w:tcPr>
            <w:tcW w:w="9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w:t>
            </w:r>
          </w:p>
        </w:tc>
        <w:tc>
          <w:tcPr>
            <w:tcW w:w="1322"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所有合成树脂</w:t>
            </w:r>
          </w:p>
        </w:tc>
        <w:tc>
          <w:tcPr>
            <w:tcW w:w="1370"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企业废水总排放口</w:t>
            </w:r>
          </w:p>
        </w:tc>
        <w:tc>
          <w:tcPr>
            <w:tcW w:w="1841"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3.5（热塑性树脂）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悬浮物</w:t>
            </w:r>
          </w:p>
        </w:tc>
        <w:tc>
          <w:tcPr>
            <w:tcW w:w="976"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化学需氧量</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五日生化需氧量</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氨氮</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总氮</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总磷</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1322"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bookmarkStart w:id="99" w:name="_Ref3783"/>
            <w:bookmarkStart w:id="100" w:name="_Ref20017"/>
            <w:r>
              <w:rPr>
                <w:rFonts w:hint="default" w:ascii="Times New Roman" w:hAnsi="Times New Roman" w:cs="Times New Roman"/>
                <w:color w:val="auto"/>
                <w:highlight w:val="none"/>
                <w:lang w:val="en-US" w:eastAsia="zh-CN"/>
              </w:rPr>
              <w:t>8</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乙醛</w:t>
            </w:r>
            <w:r>
              <w:rPr>
                <w:rFonts w:hint="default" w:ascii="Times New Roman" w:hAnsi="Times New Roman" w:cs="Times New Roman"/>
                <w:color w:val="auto"/>
                <w:highlight w:val="none"/>
                <w:vertAlign w:val="superscript"/>
                <w:lang w:val="en-US" w:eastAsia="zh-CN"/>
              </w:rPr>
              <w:t>[1]</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c>
          <w:tcPr>
            <w:tcW w:w="13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热塑性聚酯树脂</w:t>
            </w:r>
          </w:p>
        </w:tc>
        <w:tc>
          <w:tcPr>
            <w:tcW w:w="1370"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841" w:type="dxa"/>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144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石油类</w:t>
            </w:r>
            <w:r>
              <w:rPr>
                <w:rFonts w:hint="default" w:ascii="Times New Roman" w:hAnsi="Times New Roman" w:cs="Times New Roman"/>
                <w:color w:val="auto"/>
                <w:highlight w:val="none"/>
                <w:vertAlign w:val="superscript"/>
                <w:lang w:val="en-US" w:eastAsia="zh-CN"/>
              </w:rPr>
              <w:t>[2]</w:t>
            </w:r>
          </w:p>
        </w:tc>
        <w:tc>
          <w:tcPr>
            <w:tcW w:w="976" w:type="dxa"/>
            <w:vMerge w:val="continue"/>
            <w:vAlign w:val="center"/>
          </w:tcPr>
          <w:p>
            <w:pPr>
              <w:pStyle w:val="21"/>
              <w:bidi w:val="0"/>
              <w:rPr>
                <w:rFonts w:hint="default" w:ascii="Times New Roman" w:hAnsi="Times New Roman" w:cs="Times New Roman"/>
                <w:color w:val="auto"/>
                <w:highlight w:val="none"/>
                <w:lang w:val="en-US" w:eastAsia="zh-CN"/>
              </w:rPr>
            </w:pPr>
          </w:p>
        </w:tc>
        <w:tc>
          <w:tcPr>
            <w:tcW w:w="16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13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84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1" w:type="dxa"/>
            <w:gridSpan w:val="7"/>
            <w:vAlign w:val="center"/>
          </w:tcPr>
          <w:p>
            <w:pPr>
              <w:pStyle w:val="21"/>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注：[1]</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lang w:val="en-US" w:eastAsia="zh-CN"/>
              </w:rPr>
              <w:t>由于本项目并未加入乙二醇进行解聚，不会因脱水产生乙醛；</w:t>
            </w:r>
          </w:p>
          <w:p>
            <w:pPr>
              <w:pStyle w:val="21"/>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lang w:val="en-US" w:eastAsia="zh-CN"/>
              </w:rPr>
              <w:t>石油类排放标准参照“重新环评”文件要求执行10 mg/L的排放限值。</w:t>
            </w:r>
          </w:p>
        </w:tc>
      </w:tr>
      <w:bookmarkEnd w:id="99"/>
    </w:tbl>
    <w:p>
      <w:pPr>
        <w:pStyle w:val="24"/>
        <w:bidi w:val="0"/>
        <w:ind w:left="420" w:leftChars="0" w:hanging="420" w:firstLineChars="0"/>
        <w:rPr>
          <w:rFonts w:hint="default" w:ascii="Times New Roman" w:hAnsi="Times New Roman" w:cs="Times New Roman"/>
          <w:color w:val="auto"/>
          <w:highlight w:val="none"/>
          <w:lang w:val="en-US" w:eastAsia="zh-CN"/>
        </w:rPr>
      </w:pPr>
      <w:bookmarkStart w:id="101" w:name="_Ref14779"/>
      <w:r>
        <w:rPr>
          <w:rFonts w:hint="default" w:ascii="Times New Roman" w:hAnsi="Times New Roman" w:cs="Times New Roman"/>
          <w:color w:val="auto"/>
          <w:highlight w:val="none"/>
          <w:lang w:val="en-US" w:eastAsia="zh-CN"/>
        </w:rPr>
        <w:t>生活污水排放标准</w:t>
      </w:r>
      <w:bookmarkEnd w:id="101"/>
    </w:p>
    <w:tbl>
      <w:tblPr>
        <w:tblStyle w:val="17"/>
        <w:tblW w:w="928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2146"/>
        <w:gridCol w:w="1094"/>
        <w:gridCol w:w="1936"/>
        <w:gridCol w:w="1711"/>
        <w:gridCol w:w="1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214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污染物</w:t>
            </w:r>
          </w:p>
        </w:tc>
        <w:tc>
          <w:tcPr>
            <w:tcW w:w="1094"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w:t>
            </w:r>
          </w:p>
        </w:tc>
        <w:tc>
          <w:tcPr>
            <w:tcW w:w="19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GB8978-1996表4三级标准限值</w:t>
            </w:r>
          </w:p>
        </w:tc>
        <w:tc>
          <w:tcPr>
            <w:tcW w:w="1711"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牙城镇污水处理厂设计进水水质</w:t>
            </w:r>
          </w:p>
        </w:tc>
        <w:tc>
          <w:tcPr>
            <w:tcW w:w="175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本项目执行的标准限值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14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pH</w:t>
            </w:r>
          </w:p>
        </w:tc>
        <w:tc>
          <w:tcPr>
            <w:tcW w:w="1094"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无量纲</w:t>
            </w:r>
          </w:p>
        </w:tc>
        <w:tc>
          <w:tcPr>
            <w:tcW w:w="19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1711"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6~9</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214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COD</w:t>
            </w:r>
            <w:r>
              <w:rPr>
                <w:rFonts w:hint="default" w:ascii="Times New Roman" w:hAnsi="Times New Roman" w:cs="Times New Roman"/>
                <w:color w:val="auto"/>
                <w:highlight w:val="none"/>
                <w:vertAlign w:val="subscript"/>
                <w:lang w:val="en-US" w:eastAsia="zh-CN"/>
              </w:rPr>
              <w:t>Cr</w:t>
            </w:r>
          </w:p>
        </w:tc>
        <w:tc>
          <w:tcPr>
            <w:tcW w:w="1094" w:type="dxa"/>
            <w:vMerge w:val="restart"/>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93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500</w:t>
            </w:r>
          </w:p>
        </w:tc>
        <w:tc>
          <w:tcPr>
            <w:tcW w:w="171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400</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214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1094" w:type="dxa"/>
            <w:vMerge w:val="continue"/>
            <w:vAlign w:val="center"/>
          </w:tcPr>
          <w:p>
            <w:pPr>
              <w:pStyle w:val="21"/>
              <w:bidi w:val="0"/>
              <w:jc w:val="center"/>
              <w:rPr>
                <w:rFonts w:hint="default" w:ascii="Times New Roman" w:hAnsi="Times New Roman" w:cs="Times New Roman"/>
                <w:color w:val="auto"/>
                <w:highlight w:val="none"/>
              </w:rPr>
            </w:pPr>
          </w:p>
        </w:tc>
        <w:tc>
          <w:tcPr>
            <w:tcW w:w="19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1711"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214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SS</w:t>
            </w:r>
          </w:p>
        </w:tc>
        <w:tc>
          <w:tcPr>
            <w:tcW w:w="1094" w:type="dxa"/>
            <w:vMerge w:val="continue"/>
            <w:vAlign w:val="center"/>
          </w:tcPr>
          <w:p>
            <w:pPr>
              <w:pStyle w:val="21"/>
              <w:bidi w:val="0"/>
              <w:jc w:val="center"/>
              <w:rPr>
                <w:rFonts w:hint="default" w:ascii="Times New Roman" w:hAnsi="Times New Roman" w:cs="Times New Roman"/>
                <w:color w:val="auto"/>
                <w:highlight w:val="none"/>
              </w:rPr>
            </w:pPr>
          </w:p>
        </w:tc>
        <w:tc>
          <w:tcPr>
            <w:tcW w:w="19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400</w:t>
            </w:r>
          </w:p>
        </w:tc>
        <w:tc>
          <w:tcPr>
            <w:tcW w:w="1711"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214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氨氮</w:t>
            </w:r>
          </w:p>
        </w:tc>
        <w:tc>
          <w:tcPr>
            <w:tcW w:w="1094" w:type="dxa"/>
            <w:vMerge w:val="continue"/>
            <w:vAlign w:val="center"/>
          </w:tcPr>
          <w:p>
            <w:pPr>
              <w:pStyle w:val="21"/>
              <w:bidi w:val="0"/>
              <w:jc w:val="center"/>
              <w:rPr>
                <w:rFonts w:hint="default" w:ascii="Times New Roman" w:hAnsi="Times New Roman" w:cs="Times New Roman"/>
                <w:color w:val="auto"/>
                <w:highlight w:val="none"/>
              </w:rPr>
            </w:pPr>
          </w:p>
        </w:tc>
        <w:tc>
          <w:tcPr>
            <w:tcW w:w="1936" w:type="dxa"/>
            <w:vAlign w:val="center"/>
          </w:tcPr>
          <w:p>
            <w:pPr>
              <w:pStyle w:val="21"/>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w:t>
            </w:r>
          </w:p>
        </w:tc>
        <w:tc>
          <w:tcPr>
            <w:tcW w:w="1711"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35</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bookmarkStart w:id="102" w:name="_Ref3979"/>
            <w:r>
              <w:rPr>
                <w:rFonts w:hint="default" w:ascii="Times New Roman" w:hAnsi="Times New Roman" w:cs="Times New Roman"/>
                <w:color w:val="auto"/>
                <w:highlight w:val="none"/>
                <w:lang w:val="en-US" w:eastAsia="zh-CN"/>
              </w:rPr>
              <w:t>6</w:t>
            </w:r>
          </w:p>
        </w:tc>
        <w:tc>
          <w:tcPr>
            <w:tcW w:w="214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TN</w:t>
            </w:r>
          </w:p>
        </w:tc>
        <w:tc>
          <w:tcPr>
            <w:tcW w:w="1094" w:type="dxa"/>
            <w:vMerge w:val="continue"/>
            <w:vAlign w:val="center"/>
          </w:tcPr>
          <w:p>
            <w:pPr>
              <w:pStyle w:val="21"/>
              <w:bidi w:val="0"/>
              <w:jc w:val="center"/>
              <w:rPr>
                <w:rFonts w:hint="default" w:ascii="Times New Roman" w:hAnsi="Times New Roman" w:cs="Times New Roman"/>
                <w:color w:val="auto"/>
                <w:highlight w:val="none"/>
              </w:rPr>
            </w:pPr>
          </w:p>
        </w:tc>
        <w:tc>
          <w:tcPr>
            <w:tcW w:w="193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1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214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TP</w:t>
            </w:r>
          </w:p>
        </w:tc>
        <w:tc>
          <w:tcPr>
            <w:tcW w:w="1094" w:type="dxa"/>
            <w:vMerge w:val="continue"/>
            <w:vAlign w:val="center"/>
          </w:tcPr>
          <w:p>
            <w:pPr>
              <w:pStyle w:val="21"/>
              <w:bidi w:val="0"/>
              <w:jc w:val="center"/>
              <w:rPr>
                <w:rFonts w:hint="default" w:ascii="Times New Roman" w:hAnsi="Times New Roman" w:cs="Times New Roman"/>
                <w:color w:val="auto"/>
                <w:highlight w:val="none"/>
              </w:rPr>
            </w:pPr>
          </w:p>
        </w:tc>
        <w:tc>
          <w:tcPr>
            <w:tcW w:w="193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1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1756"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3.0</w:t>
            </w:r>
          </w:p>
        </w:tc>
      </w:tr>
    </w:tbl>
    <w:p>
      <w:pPr>
        <w:pStyle w:val="24"/>
        <w:bidi w:val="0"/>
        <w:ind w:left="420" w:leftChars="0" w:hanging="420" w:firstLineChars="0"/>
        <w:rPr>
          <w:rFonts w:hint="default" w:ascii="Times New Roman" w:hAnsi="Times New Roman" w:cs="Times New Roman"/>
          <w:color w:val="auto"/>
          <w:highlight w:val="none"/>
          <w:lang w:val="en-US" w:eastAsia="zh-CN"/>
        </w:rPr>
      </w:pPr>
      <w:bookmarkStart w:id="103" w:name="_Ref14838"/>
      <w:r>
        <w:rPr>
          <w:rFonts w:hint="default" w:ascii="Times New Roman" w:hAnsi="Times New Roman" w:cs="Times New Roman"/>
          <w:color w:val="auto"/>
          <w:highlight w:val="none"/>
          <w:lang w:val="en-US" w:eastAsia="zh-CN"/>
        </w:rPr>
        <w:t>《城镇污水处理厂污染物排放标准》（GB18918-2012）（摘录）</w:t>
      </w:r>
      <w:bookmarkEnd w:id="100"/>
      <w:bookmarkEnd w:id="102"/>
      <w:bookmarkEnd w:id="103"/>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1591"/>
        <w:gridCol w:w="1018"/>
        <w:gridCol w:w="1851"/>
        <w:gridCol w:w="1742"/>
        <w:gridCol w:w="22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857" w:type="pct"/>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污染物名称</w:t>
            </w:r>
          </w:p>
        </w:tc>
        <w:tc>
          <w:tcPr>
            <w:tcW w:w="548" w:type="pct"/>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w:t>
            </w:r>
          </w:p>
        </w:tc>
        <w:tc>
          <w:tcPr>
            <w:tcW w:w="1935" w:type="pct"/>
            <w:gridSpan w:val="2"/>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排放标准值</w:t>
            </w:r>
          </w:p>
        </w:tc>
        <w:tc>
          <w:tcPr>
            <w:tcW w:w="1204" w:type="pct"/>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vMerge w:val="continue"/>
            <w:vAlign w:val="center"/>
          </w:tcPr>
          <w:p>
            <w:pPr>
              <w:pStyle w:val="21"/>
              <w:bidi w:val="0"/>
              <w:rPr>
                <w:rFonts w:hint="default" w:ascii="Times New Roman" w:hAnsi="Times New Roman" w:cs="Times New Roman"/>
                <w:color w:val="auto"/>
                <w:highlight w:val="none"/>
                <w:lang w:val="en-US" w:eastAsia="zh-CN"/>
              </w:rPr>
            </w:pPr>
          </w:p>
        </w:tc>
        <w:tc>
          <w:tcPr>
            <w:tcW w:w="857" w:type="pct"/>
            <w:vMerge w:val="continue"/>
            <w:vAlign w:val="center"/>
          </w:tcPr>
          <w:p>
            <w:pPr>
              <w:pStyle w:val="21"/>
              <w:bidi w:val="0"/>
              <w:rPr>
                <w:rFonts w:hint="default" w:ascii="Times New Roman" w:hAnsi="Times New Roman" w:cs="Times New Roman"/>
                <w:color w:val="auto"/>
                <w:highlight w:val="none"/>
                <w:lang w:val="en-US" w:eastAsia="zh-CN"/>
              </w:rPr>
            </w:pP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近期一级B</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远期一级A</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548"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1935" w:type="pct"/>
            <w:gridSpan w:val="2"/>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w:t>
            </w:r>
          </w:p>
        </w:tc>
        <w:tc>
          <w:tcPr>
            <w:tcW w:w="1204" w:type="pct"/>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《城镇污水处理厂污染物排放标准》（GB18918-2002)</w:t>
            </w:r>
            <w:r>
              <w:rPr>
                <w:rFonts w:hint="eastAsia" w:cs="Times New Roman"/>
                <w:color w:val="auto"/>
                <w:highlight w:val="none"/>
                <w:lang w:val="en-US" w:eastAsia="zh-CN"/>
              </w:rPr>
              <w:t>表1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548" w:type="pct"/>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SS</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-N</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总氮（以N计）</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15</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总磷（以P计）</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0.5</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8</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石油类</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9</w:t>
            </w:r>
          </w:p>
        </w:tc>
        <w:tc>
          <w:tcPr>
            <w:tcW w:w="857"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动植物油</w:t>
            </w:r>
          </w:p>
        </w:tc>
        <w:tc>
          <w:tcPr>
            <w:tcW w:w="548" w:type="pct"/>
            <w:vMerge w:val="continue"/>
            <w:vAlign w:val="center"/>
          </w:tcPr>
          <w:p>
            <w:pPr>
              <w:pStyle w:val="21"/>
              <w:bidi w:val="0"/>
              <w:rPr>
                <w:rFonts w:hint="default" w:ascii="Times New Roman" w:hAnsi="Times New Roman" w:cs="Times New Roman"/>
                <w:color w:val="auto"/>
                <w:highlight w:val="none"/>
                <w:lang w:val="en-US" w:eastAsia="zh-CN"/>
              </w:rPr>
            </w:pP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cs="Times New Roman"/>
                <w:color w:val="auto"/>
                <w:highlight w:val="none"/>
                <w:lang w:val="en-US" w:eastAsia="zh-CN"/>
              </w:rPr>
            </w:pPr>
            <w:r>
              <w:rPr>
                <w:rFonts w:hint="eastAsia" w:cs="Times New Roman"/>
                <w:color w:val="auto"/>
                <w:highlight w:val="none"/>
                <w:lang w:val="en-US" w:eastAsia="zh-CN"/>
              </w:rPr>
              <w:t>10</w:t>
            </w:r>
          </w:p>
        </w:tc>
        <w:tc>
          <w:tcPr>
            <w:tcW w:w="857" w:type="pct"/>
            <w:vAlign w:val="center"/>
          </w:tcPr>
          <w:p>
            <w:pPr>
              <w:pStyle w:val="21"/>
              <w:bidi w:val="0"/>
              <w:rPr>
                <w:rFonts w:hint="eastAsia" w:cs="Times New Roman"/>
                <w:color w:val="auto"/>
                <w:highlight w:val="none"/>
                <w:lang w:val="en-US" w:eastAsia="zh-CN"/>
              </w:rPr>
            </w:pPr>
            <w:r>
              <w:rPr>
                <w:rFonts w:hint="eastAsia" w:cs="Times New Roman"/>
                <w:color w:val="auto"/>
                <w:highlight w:val="none"/>
                <w:lang w:val="en-US" w:eastAsia="zh-CN"/>
              </w:rPr>
              <w:t>粪大菌群数</w:t>
            </w:r>
          </w:p>
        </w:tc>
        <w:tc>
          <w:tcPr>
            <w:tcW w:w="54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个/L</w:t>
            </w:r>
          </w:p>
        </w:tc>
        <w:tc>
          <w:tcPr>
            <w:tcW w:w="997"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10000</w:t>
            </w:r>
          </w:p>
        </w:tc>
        <w:tc>
          <w:tcPr>
            <w:tcW w:w="938" w:type="pct"/>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1000</w:t>
            </w:r>
          </w:p>
        </w:tc>
        <w:tc>
          <w:tcPr>
            <w:tcW w:w="1204" w:type="pct"/>
            <w:vMerge w:val="continue"/>
            <w:vAlign w:val="center"/>
          </w:tcPr>
          <w:p>
            <w:pPr>
              <w:pStyle w:val="21"/>
              <w:bidi w:val="0"/>
              <w:rPr>
                <w:rFonts w:hint="default" w:ascii="Times New Roman" w:hAnsi="Times New Roman" w:cs="Times New Roman"/>
                <w:color w:val="auto"/>
                <w:highlight w:val="none"/>
                <w:lang w:val="en-US" w:eastAsia="zh-CN"/>
              </w:rPr>
            </w:pPr>
          </w:p>
        </w:tc>
      </w:tr>
    </w:tbl>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（1）施工期</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项目施工期大气</w:t>
      </w:r>
      <w:r>
        <w:rPr>
          <w:rFonts w:hint="default" w:ascii="Times New Roman" w:hAnsi="Times New Roman" w:cs="Times New Roman"/>
          <w:color w:val="auto"/>
          <w:highlight w:val="none"/>
          <w:lang w:val="en-US" w:eastAsia="zh-CN"/>
        </w:rPr>
        <w:t>污染物排放</w:t>
      </w:r>
      <w:r>
        <w:rPr>
          <w:rFonts w:hint="default" w:ascii="Times New Roman" w:hAnsi="Times New Roman" w:cs="Times New Roman"/>
          <w:color w:val="auto"/>
          <w:highlight w:val="none"/>
        </w:rPr>
        <w:t>执行《大气污染物综合排放标准》（GB16297-1996）表2“无组织排放监控浓度限值”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具体详见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_Ref21120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表1.4-12</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bidi w:val="0"/>
        <w:ind w:left="420" w:leftChars="0" w:hanging="420" w:firstLineChars="0"/>
        <w:rPr>
          <w:rFonts w:hint="default" w:ascii="Times New Roman" w:hAnsi="Times New Roman" w:cs="Times New Roman"/>
          <w:color w:val="auto"/>
          <w:highlight w:val="none"/>
        </w:rPr>
      </w:pPr>
      <w:bookmarkStart w:id="104" w:name="_Ref21120"/>
      <w:r>
        <w:rPr>
          <w:rFonts w:hint="default" w:ascii="Times New Roman" w:hAnsi="Times New Roman" w:cs="Times New Roman"/>
          <w:color w:val="auto"/>
          <w:highlight w:val="none"/>
        </w:rPr>
        <w:t>《大气污染物综合排放标准》（GB16297-1996）（摘录）</w:t>
      </w:r>
      <w:bookmarkEnd w:id="104"/>
    </w:p>
    <w:tbl>
      <w:tblPr>
        <w:tblStyle w:val="17"/>
        <w:tblW w:w="9286" w:type="dxa"/>
        <w:tblInd w:w="0" w:type="dxa"/>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2245"/>
        <w:gridCol w:w="2245"/>
        <w:gridCol w:w="3485"/>
      </w:tblGrid>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1" w:type="dxa"/>
            <w:tcBorders>
              <w:top w:val="single" w:color="auto" w:sz="12" w:space="0"/>
              <w:bottom w:val="single" w:color="auto" w:sz="4"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污染物</w:t>
            </w:r>
          </w:p>
        </w:tc>
        <w:tc>
          <w:tcPr>
            <w:tcW w:w="2245" w:type="dxa"/>
            <w:tcBorders>
              <w:top w:val="single" w:color="auto" w:sz="12" w:space="0"/>
              <w:bottom w:val="single" w:color="auto" w:sz="4" w:space="0"/>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单位</w:t>
            </w:r>
          </w:p>
        </w:tc>
        <w:tc>
          <w:tcPr>
            <w:tcW w:w="2245" w:type="dxa"/>
            <w:tcBorders>
              <w:top w:val="single" w:color="auto" w:sz="12" w:space="0"/>
              <w:bottom w:val="single" w:color="auto" w:sz="4"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无组织排放监控浓度限值标准</w:t>
            </w:r>
          </w:p>
        </w:tc>
        <w:tc>
          <w:tcPr>
            <w:tcW w:w="3485" w:type="dxa"/>
            <w:tcBorders>
              <w:top w:val="single" w:color="auto" w:sz="12" w:space="0"/>
              <w:bottom w:val="single" w:color="auto" w:sz="4"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备注</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1" w:type="dxa"/>
            <w:tcBorders>
              <w:top w:val="single" w:color="auto" w:sz="4" w:space="0"/>
              <w:bottom w:val="single" w:color="auto" w:sz="12"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颗粒物</w:t>
            </w:r>
          </w:p>
        </w:tc>
        <w:tc>
          <w:tcPr>
            <w:tcW w:w="2245" w:type="dxa"/>
            <w:tcBorders>
              <w:top w:val="single" w:color="auto" w:sz="4" w:space="0"/>
              <w:bottom w:val="single" w:color="auto" w:sz="12"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p>
        </w:tc>
        <w:tc>
          <w:tcPr>
            <w:tcW w:w="2245" w:type="dxa"/>
            <w:tcBorders>
              <w:top w:val="single" w:color="auto" w:sz="4" w:space="0"/>
              <w:bottom w:val="single" w:color="auto" w:sz="12"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1.0</w:t>
            </w:r>
          </w:p>
        </w:tc>
        <w:tc>
          <w:tcPr>
            <w:tcW w:w="3485" w:type="dxa"/>
            <w:tcBorders>
              <w:top w:val="single" w:color="auto" w:sz="4" w:space="0"/>
              <w:bottom w:val="single" w:color="auto" w:sz="12" w:space="0"/>
            </w:tcBorders>
            <w:vAlign w:val="center"/>
          </w:tcPr>
          <w:p>
            <w:pPr>
              <w:pStyle w:val="21"/>
              <w:bidi w:val="0"/>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监控点为周界外浓度最高点</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（2）运营期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运营期</w:t>
      </w:r>
      <w:r>
        <w:rPr>
          <w:rFonts w:hint="default" w:ascii="Times New Roman" w:hAnsi="Times New Roman" w:cs="Times New Roman"/>
          <w:color w:val="auto"/>
          <w:highlight w:val="none"/>
        </w:rPr>
        <w:t>排放</w:t>
      </w:r>
      <w:r>
        <w:rPr>
          <w:rFonts w:hint="default" w:ascii="Times New Roman" w:hAnsi="Times New Roman" w:cs="Times New Roman"/>
          <w:color w:val="auto"/>
          <w:highlight w:val="none"/>
          <w:lang w:val="en-US" w:eastAsia="zh-CN"/>
        </w:rPr>
        <w:t>的</w:t>
      </w:r>
      <w:r>
        <w:rPr>
          <w:rFonts w:hint="default" w:ascii="Times New Roman" w:hAnsi="Times New Roman" w:cs="Times New Roman"/>
          <w:color w:val="auto"/>
          <w:highlight w:val="none"/>
        </w:rPr>
        <w:t>废气</w:t>
      </w:r>
      <w:r>
        <w:rPr>
          <w:rFonts w:hint="default" w:ascii="Times New Roman" w:hAnsi="Times New Roman" w:cs="Times New Roman"/>
          <w:color w:val="auto"/>
          <w:highlight w:val="none"/>
          <w:lang w:val="en-US" w:eastAsia="zh-CN"/>
        </w:rPr>
        <w:t>主要包括破碎产生的颗粒物，造粒过程产生的颗粒物、非甲烷总烃，熔融、牵伸、松弛热定型产生的非甲烷总烃</w:t>
      </w:r>
      <w:r>
        <w:rPr>
          <w:rFonts w:hint="eastAsia" w:cs="Times New Roman"/>
          <w:color w:val="auto"/>
          <w:highlight w:val="none"/>
          <w:lang w:val="en-US" w:eastAsia="zh-CN"/>
        </w:rPr>
        <w:t>等</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生产车间</w:t>
      </w:r>
      <w:r>
        <w:rPr>
          <w:rFonts w:hint="default" w:ascii="Times New Roman" w:hAnsi="Times New Roman" w:cs="Times New Roman"/>
          <w:color w:val="auto"/>
          <w:highlight w:val="none"/>
          <w:lang w:val="en-US" w:eastAsia="zh-CN"/>
        </w:rPr>
        <w:t>颗粒物、非甲烷总烃排放标准执行《合成树脂工业污染物排放标准》（GB</w:t>
      </w:r>
      <w:r>
        <w:rPr>
          <w:rFonts w:hint="eastAsia" w:cs="Times New Roman"/>
          <w:color w:val="auto"/>
          <w:highlight w:val="none"/>
          <w:lang w:val="en-US" w:eastAsia="zh-CN"/>
        </w:rPr>
        <w:t>31572</w:t>
      </w:r>
      <w:r>
        <w:rPr>
          <w:rFonts w:hint="default" w:ascii="Times New Roman" w:hAnsi="Times New Roman" w:cs="Times New Roman"/>
          <w:color w:val="auto"/>
          <w:highlight w:val="none"/>
          <w:lang w:val="en-US" w:eastAsia="zh-CN"/>
        </w:rPr>
        <w:t>-2015）中表4、表9大气污染物排放限值</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危废间尾气（非甲烷总烃）有组织排放执行</w:t>
      </w:r>
      <w:r>
        <w:rPr>
          <w:rFonts w:hint="default" w:ascii="Times New Roman" w:hAnsi="Times New Roman" w:cs="Times New Roman"/>
          <w:color w:val="auto"/>
          <w:highlight w:val="none"/>
          <w:lang w:val="en-US" w:eastAsia="zh-CN"/>
        </w:rPr>
        <w:t>《工业企业挥发性有机物排放标准》（DB35/1782-2018）</w:t>
      </w:r>
      <w:r>
        <w:rPr>
          <w:rFonts w:hint="eastAsia" w:ascii="Times New Roman" w:hAnsi="Times New Roman" w:cs="Times New Roman"/>
          <w:color w:val="auto"/>
          <w:highlight w:val="none"/>
          <w:lang w:val="en-US" w:eastAsia="zh-CN"/>
        </w:rPr>
        <w:t>表1排放限值</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w:t>
      </w:r>
      <w:r>
        <w:rPr>
          <w:rFonts w:hint="eastAsia" w:cs="Times New Roman"/>
          <w:color w:val="auto"/>
          <w:highlight w:val="none"/>
          <w:lang w:val="en-US" w:eastAsia="zh-CN"/>
        </w:rPr>
        <w:t>厂界、</w:t>
      </w:r>
      <w:r>
        <w:rPr>
          <w:rFonts w:hint="default" w:ascii="Times New Roman" w:hAnsi="Times New Roman" w:cs="Times New Roman"/>
          <w:color w:val="auto"/>
          <w:highlight w:val="none"/>
          <w:lang w:val="en-US" w:eastAsia="zh-CN"/>
        </w:rPr>
        <w:t>厂内无组织排放参照执行《工业企业挥发性有机物排放标准》（DB35/1782-2018）表2</w:t>
      </w:r>
      <w:r>
        <w:rPr>
          <w:rFonts w:hint="eastAsia" w:cs="Times New Roman"/>
          <w:color w:val="auto"/>
          <w:highlight w:val="none"/>
          <w:lang w:val="en-US" w:eastAsia="zh-CN"/>
        </w:rPr>
        <w:t>、表3</w:t>
      </w:r>
      <w:r>
        <w:rPr>
          <w:rFonts w:hint="default" w:ascii="Times New Roman" w:hAnsi="Times New Roman" w:cs="Times New Roman"/>
          <w:color w:val="auto"/>
          <w:highlight w:val="none"/>
          <w:lang w:val="en-US" w:eastAsia="zh-CN"/>
        </w:rPr>
        <w:t>中</w:t>
      </w:r>
      <w:r>
        <w:rPr>
          <w:rFonts w:hint="eastAsia" w:cs="Times New Roman"/>
          <w:color w:val="auto"/>
          <w:highlight w:val="none"/>
          <w:lang w:val="en-US" w:eastAsia="zh-CN"/>
        </w:rPr>
        <w:t>排放</w:t>
      </w:r>
      <w:r>
        <w:rPr>
          <w:rFonts w:hint="default" w:ascii="Times New Roman" w:hAnsi="Times New Roman" w:cs="Times New Roman"/>
          <w:color w:val="auto"/>
          <w:highlight w:val="none"/>
          <w:lang w:val="en-US" w:eastAsia="zh-CN"/>
        </w:rPr>
        <w:t>浓度限值</w:t>
      </w:r>
      <w:r>
        <w:rPr>
          <w:rFonts w:hint="eastAsia" w:cs="Times New Roman"/>
          <w:color w:val="auto"/>
          <w:highlight w:val="none"/>
          <w:lang w:val="en-US" w:eastAsia="zh-CN"/>
        </w:rPr>
        <w:t>（因GB31572非甲烷总烃没有厂内无组织排放标准，DB35/1782非甲烷总烃厂界无组织排放标准严于GB31572）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_Ref12482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；同时，厂区内非甲烷总烃在无组织排放控制上，增加“厂区内监控点处任意一次NMHC浓度值”的控制要求，排放标准执行</w:t>
      </w:r>
      <w:r>
        <w:rPr>
          <w:rFonts w:hint="default" w:ascii="Times New Roman" w:hAnsi="Times New Roman" w:cs="Times New Roman"/>
          <w:color w:val="auto"/>
          <w:highlight w:val="none"/>
        </w:rPr>
        <w:t>《挥发性有机物无组织排放控制标准》（GB37822-2019）</w:t>
      </w:r>
      <w:r>
        <w:rPr>
          <w:rFonts w:hint="default" w:ascii="Times New Roman" w:hAnsi="Times New Roman" w:cs="Times New Roman"/>
          <w:color w:val="auto"/>
          <w:highlight w:val="none"/>
          <w:lang w:val="en-US" w:eastAsia="zh-CN"/>
        </w:rPr>
        <w:t>附录A的表A.1的相应规定，具体详见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_Ref24848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；污水处理站产生的恶臭，主要污染物为</w:t>
      </w:r>
      <w:r>
        <w:rPr>
          <w:rFonts w:hint="default" w:ascii="Times New Roman" w:hAnsi="Times New Roman" w:cs="Times New Roman"/>
          <w:color w:val="auto"/>
          <w:kern w:val="2"/>
          <w:sz w:val="24"/>
          <w:szCs w:val="24"/>
          <w:highlight w:val="none"/>
          <w:lang w:val="en-US" w:eastAsia="zh-CN" w:bidi="ar-SA"/>
        </w:rPr>
        <w:t>氨</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kern w:val="2"/>
          <w:sz w:val="24"/>
          <w:szCs w:val="24"/>
          <w:highlight w:val="none"/>
          <w:lang w:val="en-US" w:eastAsia="zh-CN" w:bidi="ar-SA"/>
        </w:rPr>
        <w:t>硫化氢</w:t>
      </w:r>
      <w:r>
        <w:rPr>
          <w:rFonts w:hint="default" w:ascii="Times New Roman" w:hAnsi="Times New Roman" w:cs="Times New Roman"/>
          <w:color w:val="auto"/>
          <w:sz w:val="24"/>
          <w:szCs w:val="24"/>
          <w:highlight w:val="none"/>
          <w:lang w:val="en-US" w:eastAsia="zh-CN"/>
        </w:rPr>
        <w:t>、臭气浓度</w:t>
      </w:r>
      <w:r>
        <w:rPr>
          <w:rFonts w:hint="default" w:ascii="Times New Roman" w:hAnsi="Times New Roman" w:cs="Times New Roman"/>
          <w:color w:val="auto"/>
          <w:highlight w:val="none"/>
          <w:lang w:val="en-US" w:eastAsia="zh-CN"/>
        </w:rPr>
        <w:t>，排放标准执行</w:t>
      </w:r>
      <w:r>
        <w:rPr>
          <w:rFonts w:hint="default" w:ascii="Times New Roman" w:hAnsi="Times New Roman" w:cs="Times New Roman"/>
          <w:color w:val="auto"/>
          <w:highlight w:val="none"/>
        </w:rPr>
        <w:t>《恶臭污染物排放标准》（GB14554-93）</w:t>
      </w:r>
      <w:r>
        <w:rPr>
          <w:rFonts w:hint="default" w:ascii="Times New Roman" w:hAnsi="Times New Roman" w:cs="Times New Roman"/>
          <w:color w:val="auto"/>
          <w:highlight w:val="none"/>
          <w:lang w:val="en-US" w:eastAsia="zh-CN"/>
        </w:rPr>
        <w:t>表1的二级新扩改建标准，详见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_Ref18679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；天燃气锅炉产生的颗粒物、SO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lang w:val="en-US" w:eastAsia="zh-CN"/>
        </w:rPr>
        <w:t>x</w:t>
      </w:r>
      <w:r>
        <w:rPr>
          <w:rFonts w:hint="default" w:ascii="Times New Roman" w:hAnsi="Times New Roman" w:cs="Times New Roman"/>
          <w:color w:val="auto"/>
          <w:highlight w:val="none"/>
          <w:lang w:val="en-US" w:eastAsia="zh-CN"/>
        </w:rPr>
        <w:t>，排放标准执行《锅炉大气污染物排放标准》（GB13271-2014）表2排放标准限值，详见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_Ref12881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表1.4-16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05" w:name="_Ref12482"/>
      <w:r>
        <w:rPr>
          <w:rFonts w:hint="default" w:ascii="Times New Roman" w:hAnsi="Times New Roman" w:cs="Times New Roman"/>
          <w:color w:val="auto"/>
          <w:highlight w:val="none"/>
          <w:lang w:val="en-US" w:eastAsia="zh-CN"/>
        </w:rPr>
        <w:t>《合成树脂工业污染物排放标准》（GB</w:t>
      </w:r>
      <w:r>
        <w:rPr>
          <w:rFonts w:hint="eastAsia" w:cs="Times New Roman"/>
          <w:color w:val="auto"/>
          <w:highlight w:val="none"/>
          <w:lang w:val="en-US" w:eastAsia="zh-CN"/>
        </w:rPr>
        <w:t>31572</w:t>
      </w:r>
      <w:r>
        <w:rPr>
          <w:rFonts w:hint="default" w:ascii="Times New Roman" w:hAnsi="Times New Roman" w:cs="Times New Roman"/>
          <w:color w:val="auto"/>
          <w:highlight w:val="none"/>
          <w:lang w:val="en-US" w:eastAsia="zh-CN"/>
        </w:rPr>
        <w:t>-2015）（摘录）</w:t>
      </w:r>
      <w:bookmarkEnd w:id="105"/>
    </w:p>
    <w:tbl>
      <w:tblPr>
        <w:tblStyle w:val="17"/>
        <w:tblW w:w="92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537"/>
        <w:gridCol w:w="1230"/>
        <w:gridCol w:w="765"/>
        <w:gridCol w:w="1815"/>
        <w:gridCol w:w="990"/>
        <w:gridCol w:w="1185"/>
        <w:gridCol w:w="11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4" w:type="dxa"/>
            <w:vMerge w:val="restart"/>
            <w:vAlign w:val="center"/>
          </w:tcPr>
          <w:p>
            <w:pPr>
              <w:pStyle w:val="21"/>
              <w:bidi w:val="0"/>
              <w:rPr>
                <w:rFonts w:hint="default" w:ascii="Times New Roman" w:hAnsi="Times New Roman" w:cs="Times New Roman"/>
                <w:color w:val="auto"/>
                <w:sz w:val="21"/>
                <w:szCs w:val="21"/>
                <w:highlight w:val="none"/>
                <w:lang w:val="en-US" w:eastAsia="zh-CN"/>
              </w:rPr>
            </w:pPr>
            <w:bookmarkStart w:id="106" w:name="_Ref12606"/>
            <w:r>
              <w:rPr>
                <w:rFonts w:hint="default" w:ascii="Times New Roman" w:hAnsi="Times New Roman" w:cs="Times New Roman"/>
                <w:color w:val="auto"/>
                <w:sz w:val="21"/>
                <w:szCs w:val="21"/>
                <w:highlight w:val="none"/>
                <w:lang w:val="en-US" w:eastAsia="zh-CN"/>
              </w:rPr>
              <w:t>序号</w:t>
            </w:r>
          </w:p>
        </w:tc>
        <w:tc>
          <w:tcPr>
            <w:tcW w:w="1537"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污染因子</w:t>
            </w:r>
          </w:p>
        </w:tc>
        <w:tc>
          <w:tcPr>
            <w:tcW w:w="1995"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有组织排放</w:t>
            </w:r>
          </w:p>
        </w:tc>
        <w:tc>
          <w:tcPr>
            <w:tcW w:w="1815"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适用的合成树脂类型</w:t>
            </w:r>
          </w:p>
        </w:tc>
        <w:tc>
          <w:tcPr>
            <w:tcW w:w="990"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污染物排放监控位置</w:t>
            </w:r>
          </w:p>
        </w:tc>
        <w:tc>
          <w:tcPr>
            <w:tcW w:w="2289"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无组织排放</w:t>
            </w:r>
            <w:r>
              <w:rPr>
                <w:rFonts w:hint="default" w:ascii="Times New Roman" w:hAnsi="Times New Roman"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vertAlign w:val="superscript"/>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4"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537"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230"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排放限值</w:t>
            </w:r>
          </w:p>
        </w:tc>
        <w:tc>
          <w:tcPr>
            <w:tcW w:w="765"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排放高度</w:t>
            </w:r>
          </w:p>
        </w:tc>
        <w:tc>
          <w:tcPr>
            <w:tcW w:w="1815"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990"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185"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厂内</w:t>
            </w:r>
          </w:p>
        </w:tc>
        <w:tc>
          <w:tcPr>
            <w:tcW w:w="1104"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537"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r>
              <w:rPr>
                <w:rFonts w:hint="eastAsia" w:cs="Times New Roman"/>
                <w:color w:val="auto"/>
                <w:sz w:val="21"/>
                <w:szCs w:val="21"/>
                <w:highlight w:val="none"/>
                <w:vertAlign w:val="superscript"/>
                <w:lang w:val="en-US" w:eastAsia="zh-CN"/>
              </w:rPr>
              <w:t>[1]</w:t>
            </w:r>
          </w:p>
        </w:tc>
        <w:tc>
          <w:tcPr>
            <w:tcW w:w="1230"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 mg/m</w:t>
            </w:r>
            <w:r>
              <w:rPr>
                <w:rFonts w:hint="default" w:ascii="Times New Roman" w:hAnsi="Times New Roman" w:cs="Times New Roman"/>
                <w:color w:val="auto"/>
                <w:sz w:val="21"/>
                <w:szCs w:val="21"/>
                <w:highlight w:val="none"/>
                <w:vertAlign w:val="superscript"/>
                <w:lang w:val="en-US" w:eastAsia="zh-CN"/>
              </w:rPr>
              <w:t>3</w:t>
            </w:r>
          </w:p>
        </w:tc>
        <w:tc>
          <w:tcPr>
            <w:tcW w:w="765"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 m</w:t>
            </w:r>
          </w:p>
        </w:tc>
        <w:tc>
          <w:tcPr>
            <w:tcW w:w="1815"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所有合成树脂</w:t>
            </w:r>
          </w:p>
        </w:tc>
        <w:tc>
          <w:tcPr>
            <w:tcW w:w="990"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车间或生产设施排气筒</w:t>
            </w:r>
          </w:p>
        </w:tc>
        <w:tc>
          <w:tcPr>
            <w:tcW w:w="1185"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 mg/m</w:t>
            </w:r>
            <w:r>
              <w:rPr>
                <w:rFonts w:hint="default" w:ascii="Times New Roman" w:hAnsi="Times New Roman" w:cs="Times New Roman"/>
                <w:color w:val="auto"/>
                <w:sz w:val="21"/>
                <w:szCs w:val="21"/>
                <w:highlight w:val="none"/>
                <w:vertAlign w:val="superscript"/>
                <w:lang w:val="en-US" w:eastAsia="zh-CN"/>
              </w:rPr>
              <w:t>3</w:t>
            </w:r>
          </w:p>
        </w:tc>
        <w:tc>
          <w:tcPr>
            <w:tcW w:w="1104" w:type="dxa"/>
            <w:vAlign w:val="center"/>
          </w:tcPr>
          <w:p>
            <w:pPr>
              <w:pStyle w:val="2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 mg/m</w:t>
            </w:r>
            <w:r>
              <w:rPr>
                <w:rFonts w:hint="default" w:ascii="Times New Roman" w:hAnsi="Times New Roman" w:cs="Times New Roman"/>
                <w:color w:val="auto"/>
                <w:sz w:val="21"/>
                <w:szCs w:val="21"/>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537"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1230"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 mg/m</w:t>
            </w:r>
            <w:r>
              <w:rPr>
                <w:rFonts w:hint="default" w:ascii="Times New Roman" w:hAnsi="Times New Roman" w:cs="Times New Roman"/>
                <w:color w:val="auto"/>
                <w:sz w:val="21"/>
                <w:szCs w:val="21"/>
                <w:highlight w:val="none"/>
                <w:vertAlign w:val="superscript"/>
                <w:lang w:val="en-US" w:eastAsia="zh-CN"/>
              </w:rPr>
              <w:t>3</w:t>
            </w:r>
          </w:p>
        </w:tc>
        <w:tc>
          <w:tcPr>
            <w:tcW w:w="765"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815"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990"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185"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04" w:type="dxa"/>
            <w:vAlign w:val="center"/>
          </w:tcPr>
          <w:p>
            <w:pPr>
              <w:pStyle w:val="2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 mg/m</w:t>
            </w:r>
            <w:r>
              <w:rPr>
                <w:rFonts w:hint="default" w:ascii="Times New Roman" w:hAnsi="Times New Roman" w:cs="Times New Roman"/>
                <w:color w:val="auto"/>
                <w:sz w:val="21"/>
                <w:szCs w:val="21"/>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1537"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乙醛</w:t>
            </w:r>
            <w:r>
              <w:rPr>
                <w:rFonts w:hint="default" w:ascii="Times New Roman" w:hAnsi="Times New Roman"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230"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 mg/m</w:t>
            </w:r>
            <w:r>
              <w:rPr>
                <w:rFonts w:hint="default" w:ascii="Times New Roman" w:hAnsi="Times New Roman" w:cs="Times New Roman"/>
                <w:color w:val="auto"/>
                <w:sz w:val="21"/>
                <w:szCs w:val="21"/>
                <w:highlight w:val="none"/>
                <w:vertAlign w:val="superscript"/>
                <w:lang w:val="en-US" w:eastAsia="zh-CN"/>
              </w:rPr>
              <w:t>3</w:t>
            </w:r>
          </w:p>
        </w:tc>
        <w:tc>
          <w:tcPr>
            <w:tcW w:w="765"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815"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热塑性聚酯树脂</w:t>
            </w:r>
          </w:p>
        </w:tc>
        <w:tc>
          <w:tcPr>
            <w:tcW w:w="990"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2289"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1"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单位产品非甲烷总烃排放量</w:t>
            </w:r>
          </w:p>
        </w:tc>
        <w:tc>
          <w:tcPr>
            <w:tcW w:w="1995"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 kg/t产品</w:t>
            </w:r>
          </w:p>
        </w:tc>
        <w:tc>
          <w:tcPr>
            <w:tcW w:w="1815"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所有合成树脂（有机硅树脂除外）</w:t>
            </w:r>
          </w:p>
        </w:tc>
        <w:tc>
          <w:tcPr>
            <w:tcW w:w="990"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2289"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0" w:type="dxa"/>
            <w:gridSpan w:val="8"/>
            <w:vAlign w:val="center"/>
          </w:tcPr>
          <w:p>
            <w:pPr>
              <w:pStyle w:val="21"/>
              <w:bidi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w:t>
            </w:r>
            <w:r>
              <w:rPr>
                <w:rFonts w:hint="default" w:ascii="Times New Roman" w:hAnsi="Times New Roman" w:cs="Times New Roman"/>
                <w:color w:val="auto"/>
                <w:sz w:val="21"/>
                <w:szCs w:val="21"/>
                <w:highlight w:val="none"/>
                <w:lang w:val="en-US" w:eastAsia="zh-CN"/>
              </w:rPr>
              <w:t xml:space="preserve">：[1] </w:t>
            </w:r>
            <w:r>
              <w:rPr>
                <w:rFonts w:hint="eastAsia" w:cs="Times New Roman"/>
                <w:color w:val="auto"/>
                <w:sz w:val="21"/>
                <w:szCs w:val="21"/>
                <w:highlight w:val="none"/>
                <w:lang w:val="en-US" w:eastAsia="zh-CN"/>
              </w:rPr>
              <w:t>危废间尾气（非甲烷总烃）有组织排放执行</w:t>
            </w:r>
            <w:r>
              <w:rPr>
                <w:rFonts w:hint="default" w:ascii="Times New Roman" w:hAnsi="Times New Roman" w:eastAsia="宋体" w:cs="Times New Roman"/>
                <w:color w:val="auto"/>
                <w:kern w:val="2"/>
                <w:sz w:val="21"/>
                <w:szCs w:val="21"/>
                <w:highlight w:val="none"/>
                <w:lang w:val="en-US" w:eastAsia="zh-CN" w:bidi="ar-SA"/>
              </w:rPr>
              <w:t>《工业企业挥发性有机物排放标准》（DB35/1782-2018）</w:t>
            </w:r>
            <w:r>
              <w:rPr>
                <w:rFonts w:hint="eastAsia" w:cs="Times New Roman"/>
                <w:color w:val="auto"/>
                <w:kern w:val="2"/>
                <w:sz w:val="21"/>
                <w:szCs w:val="21"/>
                <w:highlight w:val="none"/>
                <w:lang w:val="en-US" w:eastAsia="zh-CN" w:bidi="ar-SA"/>
              </w:rPr>
              <w:t>表1排放限值（即：排放浓度100 mg/m</w:t>
            </w:r>
            <w:r>
              <w:rPr>
                <w:rFonts w:hint="eastAsia"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lang w:val="en-US" w:eastAsia="zh-CN" w:bidi="ar-SA"/>
              </w:rPr>
              <w:t>，排放速率1.8 kg/h）；</w:t>
            </w:r>
          </w:p>
          <w:p>
            <w:pPr>
              <w:pStyle w:val="21"/>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 xml:space="preserve">[2] </w:t>
            </w:r>
            <w:r>
              <w:rPr>
                <w:rFonts w:hint="default" w:ascii="Times New Roman" w:hAnsi="Times New Roman" w:eastAsia="宋体" w:cs="Times New Roman"/>
                <w:color w:val="auto"/>
                <w:kern w:val="2"/>
                <w:sz w:val="21"/>
                <w:szCs w:val="21"/>
                <w:highlight w:val="none"/>
                <w:lang w:val="en-US" w:eastAsia="zh-CN" w:bidi="ar-SA"/>
              </w:rPr>
              <w:t>非甲烷总烃</w:t>
            </w:r>
            <w:r>
              <w:rPr>
                <w:rFonts w:hint="eastAsia" w:ascii="Times New Roman" w:hAnsi="Times New Roman" w:eastAsia="宋体" w:cs="Times New Roman"/>
                <w:color w:val="auto"/>
                <w:kern w:val="2"/>
                <w:sz w:val="21"/>
                <w:szCs w:val="21"/>
                <w:highlight w:val="none"/>
                <w:lang w:val="en-US" w:eastAsia="zh-CN" w:bidi="ar-SA"/>
              </w:rPr>
              <w:t>厂界、</w:t>
            </w:r>
            <w:r>
              <w:rPr>
                <w:rFonts w:hint="default" w:ascii="Times New Roman" w:hAnsi="Times New Roman" w:eastAsia="宋体" w:cs="Times New Roman"/>
                <w:color w:val="auto"/>
                <w:kern w:val="2"/>
                <w:sz w:val="21"/>
                <w:szCs w:val="21"/>
                <w:highlight w:val="none"/>
                <w:lang w:val="en-US" w:eastAsia="zh-CN" w:bidi="ar-SA"/>
              </w:rPr>
              <w:t>厂内无组织排放参照执行《工业企业挥发性有机物排放标准》（DB35/1782-2018）表2</w:t>
            </w:r>
            <w:r>
              <w:rPr>
                <w:rFonts w:hint="eastAsia" w:ascii="Times New Roman" w:hAnsi="Times New Roman" w:eastAsia="宋体" w:cs="Times New Roman"/>
                <w:color w:val="auto"/>
                <w:kern w:val="2"/>
                <w:sz w:val="21"/>
                <w:szCs w:val="21"/>
                <w:highlight w:val="none"/>
                <w:lang w:val="en-US" w:eastAsia="zh-CN" w:bidi="ar-SA"/>
              </w:rPr>
              <w:t>、表3</w:t>
            </w:r>
            <w:r>
              <w:rPr>
                <w:rFonts w:hint="default" w:ascii="Times New Roman" w:hAnsi="Times New Roman" w:eastAsia="宋体" w:cs="Times New Roman"/>
                <w:color w:val="auto"/>
                <w:kern w:val="2"/>
                <w:sz w:val="21"/>
                <w:szCs w:val="21"/>
                <w:highlight w:val="none"/>
                <w:lang w:val="en-US" w:eastAsia="zh-CN" w:bidi="ar-SA"/>
              </w:rPr>
              <w:t>中</w:t>
            </w:r>
            <w:r>
              <w:rPr>
                <w:rFonts w:hint="eastAsia" w:ascii="Times New Roman" w:hAnsi="Times New Roman" w:eastAsia="宋体" w:cs="Times New Roman"/>
                <w:color w:val="auto"/>
                <w:kern w:val="2"/>
                <w:sz w:val="21"/>
                <w:szCs w:val="21"/>
                <w:highlight w:val="none"/>
                <w:lang w:val="en-US" w:eastAsia="zh-CN" w:bidi="ar-SA"/>
              </w:rPr>
              <w:t>排放</w:t>
            </w:r>
            <w:r>
              <w:rPr>
                <w:rFonts w:hint="default" w:ascii="Times New Roman" w:hAnsi="Times New Roman" w:eastAsia="宋体" w:cs="Times New Roman"/>
                <w:color w:val="auto"/>
                <w:kern w:val="2"/>
                <w:sz w:val="21"/>
                <w:szCs w:val="21"/>
                <w:highlight w:val="none"/>
                <w:lang w:val="en-US" w:eastAsia="zh-CN" w:bidi="ar-SA"/>
              </w:rPr>
              <w:t>浓度限值</w:t>
            </w:r>
            <w:r>
              <w:rPr>
                <w:rFonts w:hint="eastAsia" w:ascii="Times New Roman" w:hAnsi="Times New Roman" w:eastAsia="宋体" w:cs="Times New Roman"/>
                <w:color w:val="auto"/>
                <w:kern w:val="2"/>
                <w:sz w:val="21"/>
                <w:szCs w:val="21"/>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 由于本项目并未加入乙二醇进行解聚，不会因脱水产生乙醛。</w:t>
            </w:r>
            <w:r>
              <w:rPr>
                <w:rFonts w:hint="default" w:ascii="Times New Roman" w:hAnsi="Times New Roman" w:cs="Times New Roman"/>
                <w:color w:val="auto"/>
                <w:sz w:val="21"/>
                <w:szCs w:val="21"/>
                <w:highlight w:val="none"/>
                <w:vertAlign w:val="baseline"/>
                <w:lang w:val="en-US" w:eastAsia="zh-CN"/>
              </w:rPr>
              <w:t>但</w:t>
            </w:r>
            <w:r>
              <w:rPr>
                <w:rFonts w:hint="eastAsia" w:cs="Times New Roman"/>
                <w:color w:val="auto"/>
                <w:sz w:val="21"/>
                <w:szCs w:val="21"/>
                <w:highlight w:val="none"/>
                <w:vertAlign w:val="baseline"/>
                <w:lang w:val="en-US" w:eastAsia="zh-CN"/>
              </w:rPr>
              <w:t>考虑到本项目原料成分复杂，</w:t>
            </w:r>
            <w:r>
              <w:rPr>
                <w:rFonts w:hint="default" w:ascii="Times New Roman" w:hAnsi="Times New Roman" w:cs="Times New Roman"/>
                <w:color w:val="auto"/>
                <w:sz w:val="21"/>
                <w:szCs w:val="21"/>
                <w:highlight w:val="none"/>
                <w:vertAlign w:val="baseline"/>
                <w:lang w:val="en-US" w:eastAsia="zh-CN"/>
              </w:rPr>
              <w:t>PET表面油脂杂质等在挤压熔融、真空增粘高温加热条件下产生成分较复杂的有机废气</w:t>
            </w:r>
            <w:r>
              <w:rPr>
                <w:rFonts w:hint="eastAsia" w:cs="Times New Roman"/>
                <w:color w:val="auto"/>
                <w:sz w:val="21"/>
                <w:szCs w:val="21"/>
                <w:highlight w:val="none"/>
                <w:vertAlign w:val="baseline"/>
                <w:lang w:val="en-US" w:eastAsia="zh-CN"/>
              </w:rPr>
              <w:t>，因此，建议建设单位将乙醛纳入环境管理与监测计划。</w:t>
            </w:r>
          </w:p>
        </w:tc>
      </w:tr>
    </w:tbl>
    <w:p>
      <w:pPr>
        <w:pStyle w:val="24"/>
        <w:bidi w:val="0"/>
        <w:ind w:left="420" w:leftChars="0" w:hanging="420" w:firstLineChars="0"/>
        <w:rPr>
          <w:rFonts w:hint="default" w:ascii="Times New Roman" w:hAnsi="Times New Roman" w:cs="Times New Roman"/>
          <w:color w:val="auto"/>
          <w:highlight w:val="none"/>
          <w:lang w:val="en-US" w:eastAsia="zh-CN"/>
        </w:rPr>
      </w:pPr>
      <w:bookmarkStart w:id="107" w:name="_Ref23287"/>
      <w:bookmarkEnd w:id="107"/>
      <w:bookmarkStart w:id="108" w:name="_Ref24848"/>
      <w:bookmarkStart w:id="109" w:name="_Ref22428"/>
      <w:r>
        <w:rPr>
          <w:rFonts w:hint="default" w:ascii="Times New Roman" w:hAnsi="Times New Roman" w:cs="Times New Roman"/>
          <w:color w:val="auto"/>
          <w:highlight w:val="none"/>
        </w:rPr>
        <w:t>《挥发性有机物无组织排放控制标准》（GB37822-2019）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摘录</w:t>
      </w:r>
      <w:r>
        <w:rPr>
          <w:rFonts w:hint="default" w:ascii="Times New Roman" w:hAnsi="Times New Roman" w:cs="Times New Roman"/>
          <w:color w:val="auto"/>
          <w:highlight w:val="none"/>
          <w:lang w:eastAsia="zh-CN"/>
        </w:rPr>
        <w:t>）</w:t>
      </w:r>
      <w:bookmarkEnd w:id="106"/>
      <w:bookmarkEnd w:id="108"/>
      <w:bookmarkEnd w:id="109"/>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140"/>
        <w:gridCol w:w="1545"/>
        <w:gridCol w:w="778"/>
        <w:gridCol w:w="2528"/>
        <w:gridCol w:w="2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污染因子</w:t>
            </w:r>
          </w:p>
        </w:tc>
        <w:tc>
          <w:tcPr>
            <w:tcW w:w="114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排放限值</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特别排放限值</w:t>
            </w:r>
          </w:p>
        </w:tc>
        <w:tc>
          <w:tcPr>
            <w:tcW w:w="77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单位</w:t>
            </w:r>
          </w:p>
        </w:tc>
        <w:tc>
          <w:tcPr>
            <w:tcW w:w="252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限值含义</w:t>
            </w:r>
          </w:p>
        </w:tc>
        <w:tc>
          <w:tcPr>
            <w:tcW w:w="21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NMHC</w:t>
            </w:r>
          </w:p>
        </w:tc>
        <w:tc>
          <w:tcPr>
            <w:tcW w:w="114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77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mg/m</w:t>
            </w:r>
            <w:r>
              <w:rPr>
                <w:rFonts w:hint="default" w:ascii="Times New Roman" w:hAnsi="Times New Roman" w:cs="Times New Roman"/>
                <w:color w:val="auto"/>
                <w:szCs w:val="20"/>
                <w:highlight w:val="none"/>
                <w:vertAlign w:val="superscript"/>
                <w:lang w:val="en-US" w:eastAsia="zh-CN"/>
              </w:rPr>
              <w:t>3</w:t>
            </w:r>
          </w:p>
        </w:tc>
        <w:tc>
          <w:tcPr>
            <w:tcW w:w="252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监控点处1 h平均浓度值</w:t>
            </w:r>
          </w:p>
        </w:tc>
        <w:tc>
          <w:tcPr>
            <w:tcW w:w="215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在厂房外设置监控点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140"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77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52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监控点处任意一次浓度值</w:t>
            </w:r>
          </w:p>
        </w:tc>
        <w:tc>
          <w:tcPr>
            <w:tcW w:w="21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r>
    </w:tbl>
    <w:p>
      <w:pPr>
        <w:pStyle w:val="24"/>
        <w:bidi w:val="0"/>
        <w:ind w:left="420" w:leftChars="0" w:hanging="420" w:firstLineChars="0"/>
        <w:rPr>
          <w:rFonts w:hint="default" w:ascii="Times New Roman" w:hAnsi="Times New Roman" w:cs="Times New Roman"/>
          <w:color w:val="auto"/>
          <w:highlight w:val="none"/>
          <w:lang w:val="en-US" w:eastAsia="zh-CN"/>
        </w:rPr>
      </w:pPr>
      <w:bookmarkStart w:id="110" w:name="_Ref16863"/>
      <w:bookmarkStart w:id="111" w:name="_Ref18679"/>
      <w:bookmarkStart w:id="112" w:name="_Ref12766"/>
      <w:r>
        <w:rPr>
          <w:rFonts w:hint="default" w:ascii="Times New Roman" w:hAnsi="Times New Roman" w:cs="Times New Roman"/>
          <w:color w:val="auto"/>
          <w:highlight w:val="none"/>
          <w:lang w:val="en-US" w:eastAsia="zh-CN"/>
        </w:rPr>
        <w:t>《恶臭污染物排放标准》（GB14554-93）（摘录）</w:t>
      </w:r>
      <w:bookmarkEnd w:id="110"/>
      <w:bookmarkEnd w:id="111"/>
      <w:bookmarkEnd w:id="112"/>
    </w:p>
    <w:tbl>
      <w:tblPr>
        <w:tblStyle w:val="18"/>
        <w:tblW w:w="926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1968"/>
        <w:gridCol w:w="1934"/>
        <w:gridCol w:w="3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196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污染因子</w:t>
            </w:r>
          </w:p>
        </w:tc>
        <w:tc>
          <w:tcPr>
            <w:tcW w:w="193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单位</w:t>
            </w:r>
          </w:p>
        </w:tc>
        <w:tc>
          <w:tcPr>
            <w:tcW w:w="3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无组织排放厂界监控浓度限值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96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氨</w:t>
            </w:r>
          </w:p>
        </w:tc>
        <w:tc>
          <w:tcPr>
            <w:tcW w:w="193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mg/m</w:t>
            </w:r>
            <w:r>
              <w:rPr>
                <w:rFonts w:hint="default" w:ascii="Times New Roman" w:hAnsi="Times New Roman" w:cs="Times New Roman"/>
                <w:color w:val="auto"/>
                <w:szCs w:val="20"/>
                <w:highlight w:val="none"/>
                <w:vertAlign w:val="superscript"/>
                <w:lang w:val="en-US" w:eastAsia="zh-CN"/>
              </w:rPr>
              <w:t>3</w:t>
            </w:r>
          </w:p>
        </w:tc>
        <w:tc>
          <w:tcPr>
            <w:tcW w:w="3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96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硫化氢</w:t>
            </w:r>
          </w:p>
        </w:tc>
        <w:tc>
          <w:tcPr>
            <w:tcW w:w="193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3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96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臭气浓度</w:t>
            </w:r>
          </w:p>
        </w:tc>
        <w:tc>
          <w:tcPr>
            <w:tcW w:w="193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无量纲</w:t>
            </w:r>
          </w:p>
        </w:tc>
        <w:tc>
          <w:tcPr>
            <w:tcW w:w="3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r>
    </w:tbl>
    <w:p>
      <w:pPr>
        <w:pStyle w:val="24"/>
        <w:bidi w:val="0"/>
        <w:ind w:left="420" w:leftChars="0" w:hanging="420" w:firstLineChars="0"/>
        <w:rPr>
          <w:rFonts w:hint="default" w:ascii="Times New Roman" w:hAnsi="Times New Roman" w:cs="Times New Roman"/>
          <w:color w:val="auto"/>
          <w:highlight w:val="none"/>
          <w:lang w:val="en-US" w:eastAsia="zh-CN"/>
        </w:rPr>
      </w:pPr>
      <w:bookmarkStart w:id="113" w:name="_Ref12881"/>
      <w:r>
        <w:rPr>
          <w:rFonts w:hint="default" w:ascii="Times New Roman" w:hAnsi="Times New Roman" w:cs="Times New Roman"/>
          <w:color w:val="auto"/>
          <w:highlight w:val="none"/>
          <w:lang w:val="en-US" w:eastAsia="zh-CN"/>
        </w:rPr>
        <w:t>《锅炉大气污染物排放标准》（GB13271-2014）（摘录）</w:t>
      </w:r>
      <w:bookmarkEnd w:id="113"/>
    </w:p>
    <w:tbl>
      <w:tblPr>
        <w:tblStyle w:val="18"/>
        <w:tblW w:w="927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4"/>
        <w:gridCol w:w="3135"/>
        <w:gridCol w:w="1695"/>
        <w:gridCol w:w="21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污染物项目</w:t>
            </w:r>
          </w:p>
        </w:tc>
        <w:tc>
          <w:tcPr>
            <w:tcW w:w="31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限值（mg/m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w:t>
            </w:r>
          </w:p>
        </w:tc>
        <w:tc>
          <w:tcPr>
            <w:tcW w:w="169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燃气锅炉排气筒高度</w:t>
            </w:r>
          </w:p>
        </w:tc>
        <w:tc>
          <w:tcPr>
            <w:tcW w:w="215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line="240" w:lineRule="auto"/>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31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燃气锅炉</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15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颗粒物</w:t>
            </w:r>
          </w:p>
        </w:tc>
        <w:tc>
          <w:tcPr>
            <w:tcW w:w="31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169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 m</w:t>
            </w:r>
          </w:p>
        </w:tc>
        <w:tc>
          <w:tcPr>
            <w:tcW w:w="215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烟囱或烟道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二氧化硫</w:t>
            </w:r>
          </w:p>
        </w:tc>
        <w:tc>
          <w:tcPr>
            <w:tcW w:w="31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15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氮氧化物</w:t>
            </w:r>
          </w:p>
        </w:tc>
        <w:tc>
          <w:tcPr>
            <w:tcW w:w="31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200</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15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烟气黑度（林格曼黑度，级）</w:t>
            </w:r>
          </w:p>
        </w:tc>
        <w:tc>
          <w:tcPr>
            <w:tcW w:w="313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1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烟囱排放口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78"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注：新建锅炉房的烟囱周围半径200 m距离内有建筑物时，其烟囱应高出最高建筑物3 m以上。</w:t>
            </w:r>
            <w:r>
              <w:rPr>
                <w:rFonts w:hint="eastAsia" w:cs="Times New Roman"/>
                <w:color w:val="auto"/>
                <w:szCs w:val="20"/>
                <w:highlight w:val="none"/>
                <w:lang w:val="en-US" w:eastAsia="zh-CN"/>
              </w:rPr>
              <w:t>本项目锅炉房高度为14.75 m，锅炉烟气引至屋顶排放，因此后面章节排气筒高度按15 m计。</w:t>
            </w:r>
          </w:p>
        </w:tc>
      </w:tr>
    </w:tbl>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（1）施工期</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本项目施工期噪声执行《建筑施工场界环境噪声排放标准》（GB12523-2011）</w:t>
      </w:r>
      <w:r>
        <w:rPr>
          <w:rFonts w:hint="default" w:ascii="Times New Roman" w:hAnsi="Times New Roman" w:cs="Times New Roman"/>
          <w:color w:val="auto"/>
          <w:highlight w:val="none"/>
          <w:lang w:val="en-US" w:eastAsia="zh-CN"/>
        </w:rPr>
        <w:t>中</w:t>
      </w:r>
      <w:r>
        <w:rPr>
          <w:rFonts w:hint="default" w:ascii="Times New Roman" w:hAnsi="Times New Roman" w:cs="Times New Roman"/>
          <w:b w:val="0"/>
          <w:color w:val="auto"/>
          <w:sz w:val="24"/>
          <w:szCs w:val="24"/>
          <w:highlight w:val="none"/>
          <w:lang w:val="en-US" w:eastAsia="zh-CN"/>
        </w:rPr>
        <w:t>表1规定的排放限值</w:t>
      </w:r>
      <w:r>
        <w:rPr>
          <w:rFonts w:hint="default" w:ascii="Times New Roman" w:hAnsi="Times New Roman" w:cs="Times New Roman"/>
          <w:color w:val="auto"/>
          <w:highlight w:val="none"/>
        </w:rPr>
        <w:t>。具体标准详见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_Ref20274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表1.4-17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eastAsia="zh-CN"/>
        </w:rPr>
        <w:t>。</w:t>
      </w:r>
    </w:p>
    <w:p>
      <w:pPr>
        <w:pStyle w:val="24"/>
        <w:bidi w:val="0"/>
        <w:ind w:left="420" w:leftChars="0" w:hanging="420" w:firstLineChars="0"/>
        <w:rPr>
          <w:rFonts w:hint="default" w:ascii="Times New Roman" w:hAnsi="Times New Roman" w:cs="Times New Roman"/>
          <w:color w:val="auto"/>
          <w:highlight w:val="none"/>
        </w:rPr>
      </w:pPr>
      <w:bookmarkStart w:id="114" w:name="_Ref20274"/>
      <w:r>
        <w:rPr>
          <w:rFonts w:hint="default" w:ascii="Times New Roman" w:hAnsi="Times New Roman" w:cs="Times New Roman"/>
          <w:color w:val="auto"/>
          <w:highlight w:val="none"/>
        </w:rPr>
        <w:t>《建筑施工场界环境噪声排放标准》</w:t>
      </w:r>
      <w:bookmarkEnd w:id="114"/>
      <w:r>
        <w:rPr>
          <w:rFonts w:hint="default" w:ascii="Times New Roman" w:hAnsi="Times New Roman" w:cs="Times New Roman"/>
          <w:color w:val="auto"/>
          <w:highlight w:val="none"/>
        </w:rPr>
        <w:t>（GB12523-2011）</w:t>
      </w:r>
      <w:r>
        <w:rPr>
          <w:rFonts w:hint="eastAsia" w:cs="Times New Roman"/>
          <w:color w:val="auto"/>
          <w:highlight w:val="none"/>
          <w:lang w:eastAsia="zh-CN"/>
        </w:rPr>
        <w:t>（</w:t>
      </w:r>
      <w:r>
        <w:rPr>
          <w:rFonts w:hint="eastAsia" w:cs="Times New Roman"/>
          <w:color w:val="auto"/>
          <w:highlight w:val="none"/>
          <w:lang w:val="en-US" w:eastAsia="zh-CN"/>
        </w:rPr>
        <w:t>摘录</w:t>
      </w:r>
      <w:r>
        <w:rPr>
          <w:rFonts w:hint="eastAsia" w:cs="Times New Roman"/>
          <w:color w:val="auto"/>
          <w:highlight w:val="none"/>
          <w:lang w:eastAsia="zh-CN"/>
        </w:rPr>
        <w:t>）</w:t>
      </w:r>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5"/>
        <w:gridCol w:w="3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9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单位</w:t>
            </w:r>
          </w:p>
        </w:tc>
        <w:tc>
          <w:tcPr>
            <w:tcW w:w="309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昼间</w:t>
            </w:r>
          </w:p>
        </w:tc>
        <w:tc>
          <w:tcPr>
            <w:tcW w:w="3098"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dB（A）</w:t>
            </w:r>
          </w:p>
        </w:tc>
        <w:tc>
          <w:tcPr>
            <w:tcW w:w="309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3098"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gridSpan w:val="3"/>
            <w:tcBorders>
              <w:tl2br w:val="nil"/>
              <w:tr2bl w:val="nil"/>
            </w:tcBorders>
            <w:vAlign w:val="top"/>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注：[1] 夜间噪声最大声级超过限值的幅度不得高于15 dB；</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420" w:firstLineChars="200"/>
              <w:jc w:val="left"/>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 当场界距离噪声敏感建筑物较近，其室外不满足测量条件时，可在噪声敏感建筑物室内测量，并将表中相应的限值减10 dB作为评价依据。</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（2）运营期</w:t>
      </w:r>
    </w:p>
    <w:p>
      <w:pPr>
        <w:bidi w:val="0"/>
        <w:rPr>
          <w:rFonts w:hint="default" w:ascii="Times New Roman" w:hAnsi="Times New Roman" w:cs="Times New Roman"/>
          <w:color w:val="auto"/>
          <w:highlight w:val="none"/>
        </w:rPr>
      </w:pPr>
      <w:r>
        <w:rPr>
          <w:rFonts w:hint="default" w:ascii="Times New Roman" w:hAnsi="Times New Roman" w:cs="Times New Roman"/>
          <w:b w:val="0"/>
          <w:color w:val="auto"/>
          <w:sz w:val="24"/>
          <w:szCs w:val="24"/>
          <w:highlight w:val="none"/>
          <w:lang w:val="en-US" w:eastAsia="zh-CN"/>
        </w:rPr>
        <w:t>运营期</w:t>
      </w:r>
      <w:r>
        <w:rPr>
          <w:rFonts w:hint="default" w:ascii="Times New Roman" w:hAnsi="Times New Roman" w:cs="Times New Roman"/>
          <w:color w:val="auto"/>
          <w:highlight w:val="none"/>
        </w:rPr>
        <w:t>厂界噪声排放执行《工业企业厂界环境噪声排放标准》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类标准，详见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_Ref21485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表1.4-18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15" w:name="_Ref21485"/>
      <w:r>
        <w:rPr>
          <w:rFonts w:hint="default" w:ascii="Times New Roman" w:hAnsi="Times New Roman" w:cs="Times New Roman"/>
          <w:color w:val="auto"/>
          <w:highlight w:val="none"/>
        </w:rPr>
        <w:t>《工业企业厂界环境噪声排放标准》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摘录</w:t>
      </w:r>
      <w:r>
        <w:rPr>
          <w:rFonts w:hint="default" w:ascii="Times New Roman" w:hAnsi="Times New Roman" w:cs="Times New Roman"/>
          <w:color w:val="auto"/>
          <w:highlight w:val="none"/>
          <w:lang w:eastAsia="zh-CN"/>
        </w:rPr>
        <w:t>）</w:t>
      </w:r>
      <w:bookmarkEnd w:id="115"/>
    </w:p>
    <w:tbl>
      <w:tblPr>
        <w:tblStyle w:val="17"/>
        <w:tblW w:w="9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08"/>
        <w:gridCol w:w="2285"/>
        <w:gridCol w:w="2142"/>
        <w:gridCol w:w="21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70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类  别</w:t>
            </w:r>
          </w:p>
        </w:tc>
        <w:tc>
          <w:tcPr>
            <w:tcW w:w="228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单位</w:t>
            </w:r>
          </w:p>
        </w:tc>
        <w:tc>
          <w:tcPr>
            <w:tcW w:w="214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昼  间</w:t>
            </w:r>
          </w:p>
        </w:tc>
        <w:tc>
          <w:tcPr>
            <w:tcW w:w="214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8"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3类</w:t>
            </w:r>
          </w:p>
        </w:tc>
        <w:tc>
          <w:tcPr>
            <w:tcW w:w="228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dB（A）</w:t>
            </w:r>
          </w:p>
        </w:tc>
        <w:tc>
          <w:tcPr>
            <w:tcW w:w="214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65</w:t>
            </w:r>
          </w:p>
        </w:tc>
        <w:tc>
          <w:tcPr>
            <w:tcW w:w="214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55</w:t>
            </w:r>
          </w:p>
        </w:tc>
      </w:tr>
    </w:tbl>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固体废物</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项目生产过程中产生的一般工业固体废物临时暂存执行《一般工业固体废物贮存</w:t>
      </w:r>
      <w:r>
        <w:rPr>
          <w:rFonts w:hint="default" w:ascii="Times New Roman" w:hAnsi="Times New Roman" w:cs="Times New Roman"/>
          <w:color w:val="auto"/>
          <w:highlight w:val="none"/>
          <w:lang w:val="en-US" w:eastAsia="zh-CN"/>
        </w:rPr>
        <w:t>和填埋</w:t>
      </w:r>
      <w:r>
        <w:rPr>
          <w:rFonts w:hint="default" w:ascii="Times New Roman" w:hAnsi="Times New Roman" w:cs="Times New Roman"/>
          <w:color w:val="auto"/>
          <w:highlight w:val="none"/>
        </w:rPr>
        <w:t>污染控制标准》(GB18599-20</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中的相关要求</w:t>
      </w:r>
      <w:r>
        <w:rPr>
          <w:rFonts w:hint="default" w:ascii="Times New Roman" w:hAnsi="Times New Roman" w:cs="Times New Roman"/>
          <w:color w:val="auto"/>
          <w:highlight w:val="none"/>
        </w:rPr>
        <w:t>；危险废物临时暂存点按《危险废物贮存污染控制标准》(GB18597-2001)及</w:t>
      </w:r>
      <w:r>
        <w:rPr>
          <w:rFonts w:hint="eastAsia" w:cs="Times New Roman"/>
          <w:color w:val="auto"/>
          <w:highlight w:val="none"/>
          <w:lang w:val="en-US" w:eastAsia="zh-CN"/>
        </w:rPr>
        <w:t>其</w:t>
      </w:r>
      <w:r>
        <w:rPr>
          <w:rFonts w:hint="default" w:ascii="Times New Roman" w:hAnsi="Times New Roman" w:cs="Times New Roman"/>
          <w:color w:val="auto"/>
          <w:highlight w:val="none"/>
        </w:rPr>
        <w:t>修改单要求进行设置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生活垃圾贮存处理按照《城市环境卫生设施规划标准》（GB/T50337-2018）中的要求进行综合利用和处置</w:t>
      </w:r>
      <w:r>
        <w:rPr>
          <w:rFonts w:hint="default" w:ascii="Times New Roman" w:hAnsi="Times New Roman" w:cs="Times New Roman"/>
          <w:color w:val="auto"/>
          <w:highlight w:val="none"/>
        </w:rPr>
        <w:t>。</w:t>
      </w:r>
    </w:p>
    <w:p>
      <w:pPr>
        <w:pStyle w:val="3"/>
        <w:tabs>
          <w:tab w:val="clear" w:pos="420"/>
        </w:tabs>
        <w:bidi w:val="0"/>
        <w:rPr>
          <w:rFonts w:hint="default" w:ascii="Times New Roman" w:hAnsi="Times New Roman" w:cs="Times New Roman"/>
          <w:color w:val="auto"/>
          <w:highlight w:val="none"/>
          <w:lang w:val="en-US" w:eastAsia="zh-CN"/>
        </w:rPr>
      </w:pPr>
      <w:bookmarkStart w:id="116" w:name="_Toc23034"/>
      <w:bookmarkStart w:id="117" w:name="_Toc18557"/>
      <w:bookmarkStart w:id="118" w:name="_Toc28681"/>
      <w:bookmarkStart w:id="119" w:name="_Toc29114"/>
      <w:bookmarkStart w:id="120" w:name="_Toc10493"/>
      <w:bookmarkStart w:id="121" w:name="_Toc83"/>
      <w:bookmarkStart w:id="122" w:name="_Toc6612"/>
      <w:r>
        <w:rPr>
          <w:rFonts w:hint="default" w:ascii="Times New Roman" w:hAnsi="Times New Roman" w:cs="Times New Roman"/>
          <w:color w:val="auto"/>
          <w:highlight w:val="none"/>
          <w:lang w:val="en-US" w:eastAsia="zh-CN"/>
        </w:rPr>
        <w:t>评价工作等级及评价范围</w:t>
      </w:r>
      <w:bookmarkEnd w:id="116"/>
      <w:bookmarkEnd w:id="117"/>
      <w:bookmarkEnd w:id="118"/>
      <w:bookmarkEnd w:id="119"/>
      <w:bookmarkEnd w:id="120"/>
      <w:bookmarkEnd w:id="121"/>
      <w:bookmarkEnd w:id="122"/>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地表水环境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（1）地表水环境影响评价工作等级</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本项目属于水污染影响型建设项目，根据《环境影响评价技术导则 地表水环境》(HJ2.3-2018)表1（详见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_Ref22377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表1.5-1</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）关于水环境影响评价工作等级判据，本项目外排废水主要为生活污水</w:t>
      </w:r>
      <w:r>
        <w:rPr>
          <w:rFonts w:hint="default" w:ascii="Times New Roman" w:hAnsi="Times New Roman" w:cs="Times New Roman"/>
          <w:color w:val="auto"/>
          <w:highlight w:val="none"/>
          <w:lang w:val="en-US" w:eastAsia="zh-CN"/>
        </w:rPr>
        <w:t>和生产废水</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生产废水经厂内自建的污水处理站处理后</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排入园区污水管网，最终</w:t>
      </w:r>
      <w:r>
        <w:rPr>
          <w:rFonts w:hint="default" w:ascii="Times New Roman" w:hAnsi="Times New Roman" w:cs="Times New Roman"/>
          <w:color w:val="auto"/>
          <w:highlight w:val="none"/>
        </w:rPr>
        <w:t>纳入</w:t>
      </w:r>
      <w:r>
        <w:rPr>
          <w:rFonts w:hint="default" w:ascii="Times New Roman" w:hAnsi="Times New Roman" w:cs="Times New Roman"/>
          <w:color w:val="auto"/>
          <w:highlight w:val="none"/>
          <w:lang w:val="en-US" w:eastAsia="zh-CN"/>
        </w:rPr>
        <w:t>牙城镇污水处理厂处理；生活污水经化粪池处理后排入园区污水管网，进入牙城镇污水处理厂处理。因此，本项目废水排放属于间接排放，</w:t>
      </w:r>
      <w:r>
        <w:rPr>
          <w:rFonts w:hint="default" w:ascii="Times New Roman" w:hAnsi="Times New Roman" w:eastAsia="宋体" w:cs="Times New Roman"/>
          <w:color w:val="auto"/>
          <w:highlight w:val="none"/>
          <w:lang w:val="en-US" w:eastAsia="zh-CN"/>
        </w:rPr>
        <w:t>评价工作等级为三级B。</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23" w:name="_Ref22377"/>
      <w:r>
        <w:rPr>
          <w:rFonts w:hint="default" w:ascii="Times New Roman" w:hAnsi="Times New Roman" w:cs="Times New Roman"/>
          <w:color w:val="auto"/>
          <w:highlight w:val="none"/>
          <w:lang w:val="en-US" w:eastAsia="zh-CN"/>
        </w:rPr>
        <w:t>水污染影响型项目评价等级判定</w:t>
      </w:r>
      <w:bookmarkEnd w:id="123"/>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4"/>
        <w:gridCol w:w="1901"/>
        <w:gridCol w:w="56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评价等级</w:t>
            </w:r>
          </w:p>
        </w:tc>
        <w:tc>
          <w:tcPr>
            <w:tcW w:w="7564"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9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排放方式</w:t>
            </w:r>
          </w:p>
        </w:tc>
        <w:tc>
          <w:tcPr>
            <w:tcW w:w="566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废水排放量Q/（m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/d）；水污染物当量数W/（无量纲）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19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直接排放</w:t>
            </w:r>
          </w:p>
        </w:tc>
        <w:tc>
          <w:tcPr>
            <w:tcW w:w="566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19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直接排放</w:t>
            </w:r>
          </w:p>
        </w:tc>
        <w:tc>
          <w:tcPr>
            <w:tcW w:w="566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三级A</w:t>
            </w:r>
          </w:p>
        </w:tc>
        <w:tc>
          <w:tcPr>
            <w:tcW w:w="19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直接排放</w:t>
            </w:r>
          </w:p>
        </w:tc>
        <w:tc>
          <w:tcPr>
            <w:tcW w:w="566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三级B</w:t>
            </w:r>
          </w:p>
        </w:tc>
        <w:tc>
          <w:tcPr>
            <w:tcW w:w="19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间接排放</w:t>
            </w:r>
          </w:p>
        </w:tc>
        <w:tc>
          <w:tcPr>
            <w:tcW w:w="566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评价范围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主要分析纳入牙城镇污水处理厂的合法性和环境可行性。</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地下水环境</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地下水</w:t>
      </w:r>
      <w:r>
        <w:rPr>
          <w:rFonts w:hint="default" w:ascii="Times New Roman" w:hAnsi="Times New Roman" w:eastAsia="宋体" w:cs="Times New Roman"/>
          <w:color w:val="auto"/>
          <w:highlight w:val="none"/>
          <w:lang w:val="en-US" w:eastAsia="zh-CN"/>
        </w:rPr>
        <w:t>环境影响</w:t>
      </w:r>
      <w:r>
        <w:rPr>
          <w:rFonts w:hint="default" w:ascii="Times New Roman" w:hAnsi="Times New Roman" w:eastAsia="宋体" w:cs="Times New Roman"/>
          <w:color w:val="auto"/>
          <w:highlight w:val="none"/>
        </w:rPr>
        <w:t>评价</w:t>
      </w:r>
      <w:r>
        <w:rPr>
          <w:rFonts w:hint="default" w:ascii="Times New Roman" w:hAnsi="Times New Roman" w:cs="Times New Roman"/>
          <w:color w:val="auto"/>
          <w:highlight w:val="none"/>
          <w:lang w:val="en-US" w:eastAsia="zh-CN"/>
        </w:rPr>
        <w:t>工作</w:t>
      </w:r>
      <w:r>
        <w:rPr>
          <w:rFonts w:hint="default" w:ascii="Times New Roman" w:hAnsi="Times New Roman" w:eastAsia="宋体" w:cs="Times New Roman"/>
          <w:color w:val="auto"/>
          <w:highlight w:val="none"/>
          <w:lang w:val="en-US" w:eastAsia="zh-CN"/>
        </w:rPr>
        <w:t>等级</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①项目类别</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地下水环境》</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HJ610-2016</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附录A</w:t>
      </w:r>
      <w:r>
        <w:rPr>
          <w:rFonts w:hint="default" w:ascii="Times New Roman" w:hAnsi="Times New Roman" w:eastAsia="宋体" w:cs="Times New Roman"/>
          <w:color w:val="auto"/>
          <w:highlight w:val="none"/>
          <w:lang w:val="en-US" w:eastAsia="zh-CN"/>
        </w:rPr>
        <w:t>地下水环境影响评价行业分类表，本项目</w:t>
      </w:r>
      <w:r>
        <w:rPr>
          <w:rFonts w:hint="default" w:ascii="Times New Roman" w:hAnsi="Times New Roman" w:cs="Times New Roman"/>
          <w:color w:val="auto"/>
          <w:highlight w:val="none"/>
          <w:lang w:val="en-US" w:eastAsia="zh-CN"/>
        </w:rPr>
        <w:t>涉及“O 纺织化纤，119、化学纤维制造-除单纯纺丝外的”</w:t>
      </w:r>
      <w:r>
        <w:rPr>
          <w:rFonts w:hint="default" w:ascii="Times New Roman" w:hAnsi="Times New Roman" w:eastAsia="宋体" w:cs="Times New Roman"/>
          <w:color w:val="auto"/>
          <w:highlight w:val="none"/>
          <w:lang w:val="en-US" w:eastAsia="zh-CN"/>
        </w:rPr>
        <w:t>地下水环境影响评价项目类别为</w:t>
      </w:r>
      <w:r>
        <w:rPr>
          <w:rFonts w:hint="default" w:ascii="Times New Roman" w:hAnsi="Times New Roman" w:eastAsia="宋体" w:cs="Times New Roman"/>
          <w:color w:val="auto"/>
          <w:highlight w:val="none"/>
        </w:rPr>
        <w:t>Ⅱ类</w:t>
      </w:r>
      <w:r>
        <w:rPr>
          <w:rFonts w:hint="default" w:ascii="Times New Roman" w:hAnsi="Times New Roman" w:eastAsia="宋体" w:cs="Times New Roman"/>
          <w:color w:val="auto"/>
          <w:highlight w:val="none"/>
          <w:lang w:val="en-US" w:eastAsia="zh-CN"/>
        </w:rPr>
        <w:t>和“</w:t>
      </w:r>
      <w:r>
        <w:rPr>
          <w:rFonts w:hint="default" w:ascii="Times New Roman" w:hAnsi="Times New Roman" w:cs="Times New Roman"/>
          <w:color w:val="auto"/>
          <w:highlight w:val="none"/>
          <w:lang w:val="en-US" w:eastAsia="zh-CN"/>
        </w:rPr>
        <w:t>U</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cs="Times New Roman"/>
          <w:color w:val="auto"/>
          <w:highlight w:val="none"/>
          <w:lang w:val="en-US" w:eastAsia="zh-CN"/>
        </w:rPr>
        <w:t>城镇基础设施及房地产，</w:t>
      </w:r>
      <w:r>
        <w:rPr>
          <w:rFonts w:hint="default" w:ascii="Times New Roman" w:hAnsi="Times New Roman" w:eastAsia="宋体" w:cs="Times New Roman"/>
          <w:color w:val="auto"/>
          <w:highlight w:val="none"/>
          <w:lang w:val="en-US" w:eastAsia="zh-CN"/>
        </w:rPr>
        <w:t>1</w:t>
      </w:r>
      <w:r>
        <w:rPr>
          <w:rFonts w:hint="default" w:ascii="Times New Roman" w:hAnsi="Times New Roman" w:cs="Times New Roman"/>
          <w:color w:val="auto"/>
          <w:highlight w:val="none"/>
          <w:lang w:val="en-US" w:eastAsia="zh-CN"/>
        </w:rPr>
        <w:t>55</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废旧资源（含生物质）加工、再生利用-废电子电器产品、废电池、废汽车、废电机、废五金、废塑料、废油、废船、废轮胎等加工、再生利用（非危险废物）</w:t>
      </w:r>
      <w:r>
        <w:rPr>
          <w:rFonts w:hint="default" w:ascii="Times New Roman" w:hAnsi="Times New Roman" w:eastAsia="宋体" w:cs="Times New Roman"/>
          <w:color w:val="auto"/>
          <w:highlight w:val="none"/>
          <w:lang w:val="en-US" w:eastAsia="zh-CN"/>
        </w:rPr>
        <w:t>”，地下水环境影响评价项目类别为</w:t>
      </w:r>
      <w:r>
        <w:rPr>
          <w:rFonts w:hint="default" w:ascii="Times New Roman" w:hAnsi="Times New Roman" w:eastAsia="宋体" w:cs="Times New Roman"/>
          <w:color w:val="auto"/>
          <w:highlight w:val="none"/>
        </w:rPr>
        <w:t>Ⅲ类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因此，确定地下水环境影响评价项目类别为</w:t>
      </w:r>
      <w:r>
        <w:rPr>
          <w:rFonts w:hint="default" w:ascii="Times New Roman" w:hAnsi="Times New Roman" w:eastAsia="宋体" w:cs="Times New Roman"/>
          <w:color w:val="auto"/>
          <w:highlight w:val="none"/>
        </w:rPr>
        <w:t>Ⅱ类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具体详见</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_Ref25727 \n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表1.5-2</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24" w:name="_Ref25727"/>
      <w:r>
        <w:rPr>
          <w:rFonts w:hint="default" w:ascii="Times New Roman" w:hAnsi="Times New Roman" w:cs="Times New Roman"/>
          <w:color w:val="auto"/>
          <w:highlight w:val="none"/>
          <w:lang w:val="en-US" w:eastAsia="zh-CN"/>
        </w:rPr>
        <w:t>地下水环境影响评价行业分类表（摘录）</w:t>
      </w:r>
      <w:bookmarkEnd w:id="124"/>
    </w:p>
    <w:tbl>
      <w:tblPr>
        <w:tblStyle w:val="17"/>
        <w:tblW w:w="928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73"/>
        <w:gridCol w:w="2564"/>
        <w:gridCol w:w="1560"/>
        <w:gridCol w:w="1409"/>
        <w:gridCol w:w="7"/>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3" w:type="dxa"/>
            <w:vMerge w:val="restart"/>
            <w:tcBorders>
              <w:tl2br w:val="single" w:color="auto" w:sz="4" w:space="0"/>
            </w:tcBorders>
            <w:vAlign w:val="center"/>
          </w:tcPr>
          <w:p>
            <w:pPr>
              <w:pStyle w:val="21"/>
              <w:bidi w:val="0"/>
              <w:jc w:val="righ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项目类别</w:t>
            </w:r>
          </w:p>
          <w:p>
            <w:pPr>
              <w:pStyle w:val="21"/>
              <w:bidi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环境敏感程度</w:t>
            </w:r>
          </w:p>
        </w:tc>
        <w:tc>
          <w:tcPr>
            <w:tcW w:w="2564"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报告书</w:t>
            </w:r>
          </w:p>
        </w:tc>
        <w:tc>
          <w:tcPr>
            <w:tcW w:w="1560" w:type="dxa"/>
            <w:vMerge w:val="restart"/>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报告表</w:t>
            </w:r>
          </w:p>
        </w:tc>
        <w:tc>
          <w:tcPr>
            <w:tcW w:w="2787" w:type="dxa"/>
            <w:gridSpan w:val="3"/>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地下水环境影响评价类别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3"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2564"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560" w:type="dxa"/>
            <w:vMerge w:val="continue"/>
            <w:vAlign w:val="center"/>
          </w:tcPr>
          <w:p>
            <w:pPr>
              <w:pStyle w:val="21"/>
              <w:bidi w:val="0"/>
              <w:rPr>
                <w:rFonts w:hint="default" w:ascii="Times New Roman" w:hAnsi="Times New Roman" w:cs="Times New Roman"/>
                <w:color w:val="auto"/>
                <w:sz w:val="21"/>
                <w:szCs w:val="21"/>
                <w:highlight w:val="none"/>
                <w:lang w:val="en-US" w:eastAsia="zh-CN"/>
              </w:rPr>
            </w:pPr>
          </w:p>
        </w:tc>
        <w:tc>
          <w:tcPr>
            <w:tcW w:w="1409"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报告书</w:t>
            </w:r>
          </w:p>
        </w:tc>
        <w:tc>
          <w:tcPr>
            <w:tcW w:w="1378" w:type="dxa"/>
            <w:gridSpan w:val="2"/>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报告表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4" w:type="dxa"/>
            <w:gridSpan w:val="6"/>
            <w:vAlign w:val="center"/>
          </w:tcPr>
          <w:p>
            <w:pPr>
              <w:pStyle w:val="21"/>
              <w:bidi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O 纺织化纤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3"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119、化学纤维制造</w:t>
            </w:r>
          </w:p>
        </w:tc>
        <w:tc>
          <w:tcPr>
            <w:tcW w:w="2564"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除单纯纺丝外的</w:t>
            </w:r>
          </w:p>
        </w:tc>
        <w:tc>
          <w:tcPr>
            <w:tcW w:w="1560"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单纯纺丝</w:t>
            </w:r>
          </w:p>
        </w:tc>
        <w:tc>
          <w:tcPr>
            <w:tcW w:w="1416" w:type="dxa"/>
            <w:gridSpan w:val="2"/>
            <w:shd w:val="clear" w:color="auto" w:fill="auto"/>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highlight w:val="none"/>
              </w:rPr>
              <w:t>Ⅱ类</w:t>
            </w:r>
          </w:p>
        </w:tc>
        <w:tc>
          <w:tcPr>
            <w:tcW w:w="1371"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4" w:type="dxa"/>
            <w:gridSpan w:val="6"/>
            <w:shd w:val="clear" w:color="auto" w:fill="auto"/>
            <w:vAlign w:val="center"/>
          </w:tcPr>
          <w:p>
            <w:pPr>
              <w:pStyle w:val="21"/>
              <w:bidi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U 城镇基础设施及房地产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3" w:type="dxa"/>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155、废旧资源（含生物质）加工、再生利用</w:t>
            </w:r>
          </w:p>
        </w:tc>
        <w:tc>
          <w:tcPr>
            <w:tcW w:w="2564" w:type="dxa"/>
            <w:vAlign w:val="center"/>
          </w:tcPr>
          <w:p>
            <w:pPr>
              <w:pStyle w:val="2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废电子电器产品、废电池、废汽车、废电机、废五金、废塑料、废油、废船、废轮胎等加工、再生利用</w:t>
            </w:r>
          </w:p>
        </w:tc>
        <w:tc>
          <w:tcPr>
            <w:tcW w:w="1560" w:type="dxa"/>
            <w:vAlign w:val="center"/>
          </w:tcPr>
          <w:p>
            <w:pPr>
              <w:pStyle w:val="2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其他</w:t>
            </w:r>
          </w:p>
        </w:tc>
        <w:tc>
          <w:tcPr>
            <w:tcW w:w="1416" w:type="dxa"/>
            <w:gridSpan w:val="2"/>
            <w:shd w:val="clear" w:color="auto" w:fill="auto"/>
            <w:vAlign w:val="center"/>
          </w:tcPr>
          <w:p>
            <w:pPr>
              <w:pStyle w:val="2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危废Ⅰ类，其余Ⅲ类</w:t>
            </w:r>
          </w:p>
        </w:tc>
        <w:tc>
          <w:tcPr>
            <w:tcW w:w="1371" w:type="dxa"/>
            <w:vAlign w:val="center"/>
          </w:tcPr>
          <w:p>
            <w:pPr>
              <w:pStyle w:val="21"/>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Ⅳ类</w:t>
            </w:r>
          </w:p>
        </w:tc>
      </w:tr>
    </w:tbl>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②建设项目的地下水环境敏感程度</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经现场勘查，项目厂址所在地下水</w:t>
      </w:r>
      <w:r>
        <w:rPr>
          <w:rFonts w:hint="default" w:ascii="Times New Roman" w:hAnsi="Times New Roman" w:cs="Times New Roman"/>
          <w:color w:val="auto"/>
          <w:highlight w:val="none"/>
          <w:lang w:val="en-US" w:eastAsia="zh-CN"/>
        </w:rPr>
        <w:t>无集中式</w:t>
      </w:r>
      <w:r>
        <w:rPr>
          <w:rFonts w:hint="default" w:ascii="Times New Roman" w:hAnsi="Times New Roman" w:eastAsia="宋体" w:cs="Times New Roman"/>
          <w:color w:val="auto"/>
          <w:highlight w:val="none"/>
          <w:lang w:val="en-US" w:eastAsia="zh-CN"/>
        </w:rPr>
        <w:t>饮用水源，无特殊地下水资源保护区，因此，项目区域内地下水环境敏感程度属于不敏感，详见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_Ref26534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表1.5-3</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25" w:name="_Ref26534"/>
      <w:r>
        <w:rPr>
          <w:rFonts w:hint="default" w:ascii="Times New Roman" w:hAnsi="Times New Roman" w:cs="Times New Roman"/>
          <w:color w:val="auto"/>
          <w:highlight w:val="none"/>
          <w:lang w:val="en-US" w:eastAsia="zh-CN"/>
        </w:rPr>
        <w:t>地下水环境敏感程度分级</w:t>
      </w:r>
      <w:bookmarkEnd w:id="125"/>
    </w:p>
    <w:tbl>
      <w:tblPr>
        <w:tblStyle w:val="18"/>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76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6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分级</w:t>
            </w:r>
          </w:p>
        </w:tc>
        <w:tc>
          <w:tcPr>
            <w:tcW w:w="76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敏感</w:t>
            </w:r>
          </w:p>
        </w:tc>
        <w:tc>
          <w:tcPr>
            <w:tcW w:w="76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集中式饮用水水源（包括己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较敏感</w:t>
            </w:r>
          </w:p>
        </w:tc>
        <w:tc>
          <w:tcPr>
            <w:tcW w:w="76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集中式饮用水水源（包括已建成的在用、备用、应急水源，在建和规划的饮用水水源）准保护区以外的补给径流区；未划定特殊保护区的集中水式饮用饮用水水源，其他保护区以外的补给径流区；分散式饮用水水源地；特殊地下水资源（如矿泉水、温泉等）保护区以外的分布区等其它未列入上述敏感分级的环境敏感区</w:t>
            </w:r>
            <w:r>
              <w:rPr>
                <w:rFonts w:hint="default" w:ascii="Times New Roman" w:hAnsi="Times New Roman" w:cs="Times New Roman"/>
                <w:color w:val="auto"/>
                <w:szCs w:val="20"/>
                <w:highlight w:val="none"/>
                <w:vertAlign w:val="superscript"/>
                <w:lang w:val="en-US" w:eastAsia="zh-CN"/>
              </w:rPr>
              <w:t>a</w:t>
            </w: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4"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不敏感</w:t>
            </w:r>
          </w:p>
        </w:tc>
        <w:tc>
          <w:tcPr>
            <w:tcW w:w="7672" w:type="dxa"/>
            <w:tcBorders>
              <w:tl2br w:val="nil"/>
              <w:tr2bl w:val="nil"/>
            </w:tcBorders>
            <w:shd w:val="clear" w:color="auto" w:fill="D7D7D7" w:themeFill="background1" w:themeFillShade="D8"/>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上述地区之外的其它地区。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6"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注：</w:t>
            </w:r>
            <w:r>
              <w:rPr>
                <w:rFonts w:hint="default" w:ascii="Times New Roman" w:hAnsi="Times New Roman" w:cs="Times New Roman"/>
                <w:color w:val="auto"/>
                <w:szCs w:val="20"/>
                <w:highlight w:val="none"/>
                <w:vertAlign w:val="superscript"/>
                <w:lang w:val="en-US" w:eastAsia="zh-CN"/>
              </w:rPr>
              <w:t>a</w:t>
            </w:r>
            <w:r>
              <w:rPr>
                <w:rFonts w:hint="default" w:ascii="Times New Roman" w:hAnsi="Times New Roman" w:cs="Times New Roman"/>
                <w:color w:val="auto"/>
                <w:szCs w:val="20"/>
                <w:highlight w:val="none"/>
                <w:lang w:val="en-US" w:eastAsia="zh-CN"/>
              </w:rPr>
              <w:t>“环境敏感区”是指《建设项目环境影响评价分类管理名录》中所界定的涉及地下水的环境敏感区。</w:t>
            </w:r>
          </w:p>
        </w:tc>
      </w:tr>
    </w:tbl>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③评价等级</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依据《环境影响评价技术导则 地下水环境》</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HJ610-2016</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中表2建设项目评价工作等级分级表，</w:t>
      </w:r>
      <w:r>
        <w:rPr>
          <w:rFonts w:hint="default" w:ascii="Times New Roman" w:hAnsi="Times New Roman" w:eastAsia="宋体" w:cs="Times New Roman"/>
          <w:color w:val="auto"/>
          <w:highlight w:val="none"/>
          <w:lang w:val="en-US" w:eastAsia="zh-CN"/>
        </w:rPr>
        <w:t>本项目地下水环境影响评价项目类别为</w:t>
      </w:r>
      <w:r>
        <w:rPr>
          <w:rFonts w:hint="default" w:ascii="Times New Roman" w:hAnsi="Times New Roman" w:eastAsia="宋体" w:cs="Times New Roman"/>
          <w:color w:val="auto"/>
          <w:highlight w:val="none"/>
        </w:rPr>
        <w:t>Ⅱ类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地下水敏感程度属于不敏感，则</w:t>
      </w:r>
      <w:r>
        <w:rPr>
          <w:rFonts w:hint="default" w:ascii="Times New Roman" w:hAnsi="Times New Roman" w:eastAsia="宋体" w:cs="Times New Roman"/>
          <w:color w:val="auto"/>
          <w:highlight w:val="none"/>
        </w:rPr>
        <w:t>项目地下水环境影响评价工作等级确定为</w:t>
      </w:r>
      <w:r>
        <w:rPr>
          <w:rFonts w:hint="default" w:ascii="Times New Roman" w:hAnsi="Times New Roman" w:cs="Times New Roman"/>
          <w:color w:val="auto"/>
          <w:highlight w:val="none"/>
          <w:lang w:val="en-US" w:eastAsia="zh-CN"/>
        </w:rPr>
        <w:t>三</w:t>
      </w:r>
      <w:r>
        <w:rPr>
          <w:rFonts w:hint="default" w:ascii="Times New Roman" w:hAnsi="Times New Roman" w:eastAsia="宋体" w:cs="Times New Roman"/>
          <w:color w:val="auto"/>
          <w:highlight w:val="none"/>
        </w:rPr>
        <w:t>级评价，详见</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_Ref26923 \n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表1.5-4</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26" w:name="_Ref26923"/>
      <w:r>
        <w:rPr>
          <w:rFonts w:hint="default" w:ascii="Times New Roman" w:hAnsi="Times New Roman" w:cs="Times New Roman"/>
          <w:color w:val="auto"/>
          <w:highlight w:val="none"/>
          <w:lang w:val="en-US" w:eastAsia="zh-CN"/>
        </w:rPr>
        <w:t>地下水评价等级判断依据</w:t>
      </w:r>
      <w:bookmarkEnd w:id="126"/>
    </w:p>
    <w:tbl>
      <w:tblPr>
        <w:tblStyle w:val="17"/>
        <w:tblW w:w="92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6"/>
        <w:gridCol w:w="2036"/>
        <w:gridCol w:w="2244"/>
        <w:gridCol w:w="2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6" w:type="dxa"/>
            <w:tcBorders>
              <w:top w:val="single" w:color="auto" w:sz="12" w:space="0"/>
              <w:left w:val="nil"/>
              <w:tl2br w:val="single" w:color="auto" w:sz="4" w:space="0"/>
            </w:tcBorders>
            <w:vAlign w:val="center"/>
          </w:tcPr>
          <w:p>
            <w:pPr>
              <w:pStyle w:val="21"/>
              <w:bidi w:val="0"/>
              <w:jc w:val="righ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项目类别</w:t>
            </w:r>
          </w:p>
          <w:p>
            <w:pPr>
              <w:pStyle w:val="21"/>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环境敏感程度</w:t>
            </w:r>
          </w:p>
        </w:tc>
        <w:tc>
          <w:tcPr>
            <w:tcW w:w="2036" w:type="dxa"/>
            <w:tcBorders>
              <w:top w:val="single" w:color="auto" w:sz="12" w:space="0"/>
              <w:right w:val="single" w:color="auto" w:sz="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Ⅰ类项目</w:t>
            </w:r>
          </w:p>
        </w:tc>
        <w:tc>
          <w:tcPr>
            <w:tcW w:w="2244" w:type="dxa"/>
            <w:tcBorders>
              <w:top w:val="single" w:color="auto" w:sz="12" w:space="0"/>
              <w:left w:val="single" w:color="auto" w:sz="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Ⅱ类项目</w:t>
            </w:r>
          </w:p>
        </w:tc>
        <w:tc>
          <w:tcPr>
            <w:tcW w:w="2088" w:type="dxa"/>
            <w:tcBorders>
              <w:top w:val="single" w:color="auto" w:sz="12"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Ⅲ类项目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6" w:type="dxa"/>
            <w:tcBorders>
              <w:lef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敏感</w:t>
            </w:r>
          </w:p>
        </w:tc>
        <w:tc>
          <w:tcPr>
            <w:tcW w:w="2036" w:type="dxa"/>
            <w:tcBorders>
              <w:right w:val="single" w:color="auto" w:sz="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w:t>
            </w:r>
          </w:p>
        </w:tc>
        <w:tc>
          <w:tcPr>
            <w:tcW w:w="2244" w:type="dxa"/>
            <w:tcBorders>
              <w:left w:val="single" w:color="auto" w:sz="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w:t>
            </w:r>
          </w:p>
        </w:tc>
        <w:tc>
          <w:tcPr>
            <w:tcW w:w="2088" w:type="dxa"/>
            <w:tcBorders>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6" w:type="dxa"/>
            <w:tcBorders>
              <w:lef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较敏感</w:t>
            </w:r>
          </w:p>
        </w:tc>
        <w:tc>
          <w:tcPr>
            <w:tcW w:w="2036" w:type="dxa"/>
            <w:tcBorders>
              <w:right w:val="single" w:color="auto" w:sz="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w:t>
            </w:r>
          </w:p>
        </w:tc>
        <w:tc>
          <w:tcPr>
            <w:tcW w:w="2244" w:type="dxa"/>
            <w:tcBorders>
              <w:left w:val="single" w:color="auto" w:sz="2" w:space="0"/>
            </w:tcBorders>
            <w:shd w:val="clear" w:color="auto" w:fill="auto"/>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w:t>
            </w:r>
          </w:p>
        </w:tc>
        <w:tc>
          <w:tcPr>
            <w:tcW w:w="2088" w:type="dxa"/>
            <w:tcBorders>
              <w:right w:val="nil"/>
            </w:tcBorders>
            <w:shd w:val="clear" w:color="auto" w:fill="auto"/>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6" w:type="dxa"/>
            <w:tcBorders>
              <w:left w:val="nil"/>
              <w:bottom w:val="single" w:color="auto" w:sz="1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不敏感</w:t>
            </w:r>
          </w:p>
        </w:tc>
        <w:tc>
          <w:tcPr>
            <w:tcW w:w="2036" w:type="dxa"/>
            <w:tcBorders>
              <w:bottom w:val="single" w:color="auto" w:sz="12" w:space="0"/>
              <w:right w:val="single" w:color="auto" w:sz="2"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w:t>
            </w:r>
          </w:p>
        </w:tc>
        <w:tc>
          <w:tcPr>
            <w:tcW w:w="2244" w:type="dxa"/>
            <w:tcBorders>
              <w:left w:val="single" w:color="auto" w:sz="2" w:space="0"/>
              <w:bottom w:val="single" w:color="auto" w:sz="12" w:space="0"/>
            </w:tcBorders>
            <w:shd w:val="clear" w:color="auto" w:fill="D7D7D7" w:themeFill="background1" w:themeFillShade="D8"/>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w:t>
            </w:r>
          </w:p>
        </w:tc>
        <w:tc>
          <w:tcPr>
            <w:tcW w:w="2088" w:type="dxa"/>
            <w:tcBorders>
              <w:bottom w:val="single" w:color="auto" w:sz="12" w:space="0"/>
              <w:right w:val="nil"/>
            </w:tcBorders>
            <w:shd w:val="clear" w:color="auto" w:fill="auto"/>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（2）评价范围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bCs/>
          <w:snapToGrid w:val="0"/>
          <w:color w:val="auto"/>
          <w:sz w:val="24"/>
          <w:szCs w:val="24"/>
          <w:highlight w:val="none"/>
        </w:rPr>
        <w:t>本项目周边无重要的地下水环境保护目标，地下水环境评价范围为项目所在</w:t>
      </w:r>
      <w:r>
        <w:rPr>
          <w:rFonts w:hint="default" w:ascii="Times New Roman" w:hAnsi="Times New Roman" w:cs="Times New Roman"/>
          <w:bCs/>
          <w:snapToGrid w:val="0"/>
          <w:color w:val="auto"/>
          <w:sz w:val="24"/>
          <w:szCs w:val="24"/>
          <w:highlight w:val="none"/>
          <w:lang w:val="en-US" w:eastAsia="zh-CN"/>
        </w:rPr>
        <w:t>完整</w:t>
      </w:r>
      <w:r>
        <w:rPr>
          <w:rFonts w:hint="default" w:ascii="Times New Roman" w:hAnsi="Times New Roman" w:cs="Times New Roman"/>
          <w:bCs/>
          <w:snapToGrid w:val="0"/>
          <w:color w:val="auto"/>
          <w:sz w:val="24"/>
          <w:szCs w:val="24"/>
          <w:highlight w:val="none"/>
        </w:rPr>
        <w:t>水文地质单元；</w:t>
      </w:r>
      <w:r>
        <w:rPr>
          <w:rFonts w:hint="default" w:ascii="Times New Roman" w:hAnsi="Times New Roman" w:cs="Times New Roman"/>
          <w:color w:val="auto"/>
          <w:sz w:val="24"/>
          <w:szCs w:val="24"/>
          <w:highlight w:val="none"/>
        </w:rPr>
        <w:t>本评价重点对项目的地下水污染防治措施提出要求并进行必要分析</w:t>
      </w:r>
      <w:r>
        <w:rPr>
          <w:rFonts w:hint="default" w:ascii="Times New Roman" w:hAnsi="Times New Roman" w:cs="Times New Roman"/>
          <w:color w:val="auto"/>
          <w:highlight w:val="none"/>
          <w:lang w:val="en-US" w:eastAsia="zh-CN"/>
        </w:rPr>
        <w:t>。</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（1）大气环境影响评价工作等级</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根据《环境影响评价技术导则-大气环境》(HJ</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2.2-2018)</w:t>
      </w:r>
      <w:r>
        <w:rPr>
          <w:rFonts w:hint="default" w:ascii="Times New Roman" w:hAnsi="Times New Roman" w:cs="Times New Roman"/>
          <w:color w:val="auto"/>
          <w:sz w:val="24"/>
          <w:highlight w:val="none"/>
          <w:u w:val="none"/>
        </w:rPr>
        <w:t>分别计算每一种污染物的最大地面浓度占标率P</w:t>
      </w:r>
      <w:r>
        <w:rPr>
          <w:rFonts w:hint="default" w:ascii="Times New Roman" w:hAnsi="Times New Roman" w:cs="Times New Roman"/>
          <w:color w:val="auto"/>
          <w:sz w:val="24"/>
          <w:highlight w:val="none"/>
          <w:u w:val="none"/>
          <w:vertAlign w:val="subscript"/>
        </w:rPr>
        <w:t>i</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第i个污染物</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及第i个污染物的地面浓度达标准限值10%时所对应的最远距离D</w:t>
      </w:r>
      <w:r>
        <w:rPr>
          <w:rFonts w:hint="default" w:ascii="Times New Roman" w:hAnsi="Times New Roman" w:cs="Times New Roman"/>
          <w:color w:val="auto"/>
          <w:sz w:val="24"/>
          <w:highlight w:val="none"/>
          <w:u w:val="none"/>
          <w:vertAlign w:val="subscript"/>
        </w:rPr>
        <w:t>10%</w:t>
      </w:r>
      <w:r>
        <w:rPr>
          <w:rFonts w:hint="default" w:ascii="Times New Roman" w:hAnsi="Times New Roman" w:cs="Times New Roman"/>
          <w:color w:val="auto"/>
          <w:sz w:val="24"/>
          <w:highlight w:val="none"/>
          <w:u w:val="none"/>
        </w:rPr>
        <w:t>，其中P</w:t>
      </w:r>
      <w:r>
        <w:rPr>
          <w:rFonts w:hint="default" w:ascii="Times New Roman" w:hAnsi="Times New Roman" w:cs="Times New Roman"/>
          <w:color w:val="auto"/>
          <w:sz w:val="24"/>
          <w:highlight w:val="none"/>
          <w:u w:val="none"/>
          <w:vertAlign w:val="subscript"/>
        </w:rPr>
        <w:t>i</w:t>
      </w:r>
      <w:r>
        <w:rPr>
          <w:rFonts w:hint="default" w:ascii="Times New Roman" w:hAnsi="Times New Roman" w:cs="Times New Roman"/>
          <w:color w:val="auto"/>
          <w:sz w:val="24"/>
          <w:highlight w:val="none"/>
          <w:u w:val="none"/>
        </w:rPr>
        <w:t>定义为：</w:t>
      </w:r>
    </w:p>
    <w:p>
      <w:pPr>
        <w:bidi w:val="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position w:val="-30"/>
          <w:highlight w:val="none"/>
        </w:rPr>
        <w:object>
          <v:shape id="_x0000_i1026" o:spt="75" type="#_x0000_t75" style="height:33.75pt;width:80.95pt;" o:ole="t" filled="f" o:preferrelative="t" stroked="f" coordsize="21600,21600">
            <v:path/>
            <v:fill on="f" focussize="0,0"/>
            <v:stroke on="f"/>
            <v:imagedata r:id="rId13" o:title=""/>
            <o:lock v:ext="edit" aspectratio="t"/>
            <w10:wrap type="none"/>
            <w10:anchorlock/>
          </v:shape>
          <o:OLEObject Type="Embed" ProgID="Equation.3" ShapeID="_x0000_i1026" DrawAspect="Content" ObjectID="_1468075726" r:id="rId12">
            <o:LockedField>false</o:LockedField>
          </o:OLEObject>
        </w:objec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式中：P</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—第i个污染物的最大地面浓度占标率，%；</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—采用估算模式计算出的第i个污染物的最大地面浓度，mg/m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oi</w:t>
      </w:r>
      <w:r>
        <w:rPr>
          <w:rFonts w:hint="default" w:ascii="Times New Roman" w:hAnsi="Times New Roman" w:cs="Times New Roman"/>
          <w:color w:val="auto"/>
          <w:highlight w:val="none"/>
        </w:rPr>
        <w:t>—第i个污染物的环境空气质量标准，mg/m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bidi w:val="0"/>
        <w:rPr>
          <w:rFonts w:hint="default" w:ascii="Times New Roman" w:hAnsi="Times New Roman" w:eastAsia="宋体" w:cs="Times New Roman"/>
          <w:b/>
          <w:bCs/>
          <w:color w:val="auto"/>
          <w:highlight w:val="none"/>
        </w:rPr>
      </w:pPr>
      <w:r>
        <w:rPr>
          <w:rFonts w:hint="default" w:ascii="Times New Roman" w:hAnsi="Times New Roman" w:cs="Times New Roman"/>
          <w:color w:val="auto"/>
          <w:highlight w:val="none"/>
        </w:rPr>
        <w:t>评价等级分级判定依据见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_Ref27334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表1.5-5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27" w:name="_Ref27334"/>
      <w:r>
        <w:rPr>
          <w:rFonts w:hint="default" w:ascii="Times New Roman" w:hAnsi="Times New Roman" w:cs="Times New Roman"/>
          <w:color w:val="auto"/>
          <w:highlight w:val="none"/>
          <w:lang w:val="en-US" w:eastAsia="zh-CN"/>
        </w:rPr>
        <w:t>评价等级分级判定依据一览表</w:t>
      </w:r>
      <w:bookmarkEnd w:id="127"/>
    </w:p>
    <w:tbl>
      <w:tblPr>
        <w:tblStyle w:val="17"/>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4"/>
        <w:gridCol w:w="50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42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评价工作等级</w:t>
            </w:r>
          </w:p>
        </w:tc>
        <w:tc>
          <w:tcPr>
            <w:tcW w:w="504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一级</w:t>
            </w:r>
          </w:p>
        </w:tc>
        <w:tc>
          <w:tcPr>
            <w:tcW w:w="504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w:t>
            </w:r>
            <w:r>
              <w:rPr>
                <w:rFonts w:hint="default" w:ascii="Times New Roman" w:hAnsi="Times New Roman" w:cs="Times New Roman"/>
                <w:color w:val="auto"/>
                <w:highlight w:val="none"/>
                <w:vertAlign w:val="subscript"/>
                <w:lang w:val="en-US" w:eastAsia="zh-CN"/>
              </w:rPr>
              <w:t>max</w:t>
            </w:r>
            <w:r>
              <w:rPr>
                <w:rFonts w:hint="default" w:ascii="Times New Roman" w:hAnsi="Times New Roman" w:cs="Times New Roman"/>
                <w:color w:val="auto"/>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二级</w:t>
            </w:r>
          </w:p>
        </w:tc>
        <w:tc>
          <w:tcPr>
            <w:tcW w:w="504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1%≤P</w:t>
            </w:r>
            <w:r>
              <w:rPr>
                <w:rFonts w:hint="default" w:ascii="Times New Roman" w:hAnsi="Times New Roman" w:cs="Times New Roman"/>
                <w:color w:val="auto"/>
                <w:highlight w:val="none"/>
                <w:vertAlign w:val="subscript"/>
                <w:lang w:val="en-US" w:eastAsia="zh-CN"/>
              </w:rPr>
              <w:t>max</w:t>
            </w:r>
            <w:r>
              <w:rPr>
                <w:rFonts w:hint="default" w:ascii="Times New Roman" w:hAnsi="Times New Roman" w:cs="Times New Roman"/>
                <w:color w:val="auto"/>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三级</w:t>
            </w:r>
          </w:p>
        </w:tc>
        <w:tc>
          <w:tcPr>
            <w:tcW w:w="504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w:t>
            </w:r>
            <w:r>
              <w:rPr>
                <w:rFonts w:hint="default" w:ascii="Times New Roman" w:hAnsi="Times New Roman" w:cs="Times New Roman"/>
                <w:color w:val="auto"/>
                <w:highlight w:val="none"/>
                <w:vertAlign w:val="subscript"/>
                <w:lang w:val="en-US" w:eastAsia="zh-CN"/>
              </w:rPr>
              <w:t>max</w:t>
            </w:r>
            <w:r>
              <w:rPr>
                <w:rFonts w:hint="default" w:ascii="Times New Roman" w:hAnsi="Times New Roman" w:cs="Times New Roman"/>
                <w:color w:val="auto"/>
                <w:highlight w:val="none"/>
                <w:lang w:val="en-US" w:eastAsia="zh-CN"/>
              </w:rPr>
              <w:t>＜1%</w:t>
            </w:r>
          </w:p>
        </w:tc>
      </w:tr>
    </w:tbl>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项目环境评价等级计算结果详见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_Ref27563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表1.5-6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p>
    <w:p>
      <w:pPr>
        <w:bidi w:val="0"/>
        <w:rPr>
          <w:rFonts w:hint="default" w:ascii="Times New Roman" w:hAnsi="Times New Roman" w:cs="Times New Roman"/>
          <w:color w:val="auto"/>
          <w:highlight w:val="none"/>
        </w:rPr>
      </w:pPr>
    </w:p>
    <w:p>
      <w:pPr>
        <w:pStyle w:val="24"/>
        <w:bidi w:val="0"/>
        <w:ind w:left="420" w:leftChars="0" w:hanging="420" w:firstLineChars="0"/>
        <w:rPr>
          <w:rFonts w:hint="default" w:ascii="Times New Roman" w:hAnsi="Times New Roman" w:cs="Times New Roman"/>
          <w:color w:val="auto"/>
          <w:highlight w:val="none"/>
          <w:lang w:val="en-US" w:eastAsia="zh-CN"/>
        </w:rPr>
      </w:pPr>
      <w:bookmarkStart w:id="128" w:name="_Ref27563"/>
      <w:r>
        <w:rPr>
          <w:rFonts w:hint="default" w:ascii="Times New Roman" w:hAnsi="Times New Roman" w:cs="Times New Roman"/>
          <w:color w:val="auto"/>
          <w:highlight w:val="none"/>
          <w:lang w:val="en-US" w:eastAsia="zh-CN"/>
        </w:rPr>
        <w:t>主要污染源估算模型计算结果表</w:t>
      </w:r>
      <w:bookmarkEnd w:id="128"/>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_Ref27563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表1.5-6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可知，</w:t>
      </w:r>
      <w:r>
        <w:rPr>
          <w:rFonts w:hint="default" w:ascii="Times New Roman" w:hAnsi="Times New Roman" w:cs="Times New Roman"/>
          <w:color w:val="auto"/>
          <w:highlight w:val="none"/>
          <w:lang w:val="en-US" w:eastAsia="zh-CN"/>
        </w:rPr>
        <w:t>由本项目各污染物最大占标率</w:t>
      </w:r>
      <w:r>
        <w:rPr>
          <w:rFonts w:hint="eastAsia" w:cs="Times New Roman"/>
          <w:color w:val="auto"/>
          <w:highlight w:val="none"/>
          <w:lang w:val="en-US" w:eastAsia="zh-CN"/>
        </w:rPr>
        <w:t>为前纺楼M1无组织排放的PM</w:t>
      </w:r>
      <w:r>
        <w:rPr>
          <w:rFonts w:hint="eastAsia" w:cs="Times New Roman"/>
          <w:color w:val="auto"/>
          <w:highlight w:val="none"/>
          <w:vertAlign w:val="subscript"/>
          <w:lang w:val="en-US" w:eastAsia="zh-CN"/>
        </w:rPr>
        <w:t>10</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P</w:t>
      </w:r>
      <w:r>
        <w:rPr>
          <w:rFonts w:hint="eastAsia" w:ascii="Times New Roman" w:hAnsi="Times New Roman" w:cs="Times New Roman"/>
          <w:color w:val="auto"/>
          <w:highlight w:val="none"/>
          <w:vertAlign w:val="subscript"/>
          <w:lang w:val="en-US" w:eastAsia="zh-CN"/>
        </w:rPr>
        <w:t>max</w:t>
      </w:r>
      <w:r>
        <w:rPr>
          <w:rFonts w:hint="eastAsia" w:ascii="Times New Roman" w:hAnsi="Times New Roman" w:cs="Times New Roman"/>
          <w:color w:val="auto"/>
          <w:highlight w:val="none"/>
          <w:lang w:val="en-US" w:eastAsia="zh-CN"/>
        </w:rPr>
        <w:t>（PM</w:t>
      </w:r>
      <w:r>
        <w:rPr>
          <w:rFonts w:hint="eastAsia" w:ascii="Times New Roman" w:hAnsi="Times New Roman" w:cs="Times New Roman"/>
          <w:color w:val="auto"/>
          <w:highlight w:val="none"/>
          <w:vertAlign w:val="subscript"/>
          <w:lang w:val="en-US" w:eastAsia="zh-CN"/>
        </w:rPr>
        <w:t>10</w:t>
      </w:r>
      <w:r>
        <w:rPr>
          <w:rFonts w:hint="eastAsia" w:ascii="Times New Roman" w:hAnsi="Times New Roman" w:cs="Times New Roman"/>
          <w:color w:val="auto"/>
          <w:highlight w:val="none"/>
          <w:lang w:val="en-US" w:eastAsia="zh-CN"/>
        </w:rPr>
        <w:t>）=</w:t>
      </w:r>
      <w:r>
        <w:rPr>
          <w:rFonts w:hint="eastAsia" w:cs="Times New Roman"/>
          <w:color w:val="auto"/>
          <w:highlight w:val="none"/>
          <w:lang w:val="en-US" w:eastAsia="zh-CN"/>
        </w:rPr>
        <w:t>30.87%</w:t>
      </w: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_Ref27334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表1.5-5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评价等级划分依</w:t>
      </w:r>
      <w:r>
        <w:rPr>
          <w:rFonts w:hint="default" w:ascii="Times New Roman" w:hAnsi="Times New Roman" w:cs="Times New Roman"/>
          <w:color w:val="auto"/>
          <w:highlight w:val="none"/>
        </w:rPr>
        <w:t>据，确定本项目</w:t>
      </w:r>
      <w:r>
        <w:rPr>
          <w:rFonts w:hint="default" w:ascii="Times New Roman" w:hAnsi="Times New Roman" w:cs="Times New Roman"/>
          <w:color w:val="auto"/>
          <w:highlight w:val="none"/>
          <w:lang w:val="en-US" w:eastAsia="zh-CN"/>
        </w:rPr>
        <w:t>大气</w:t>
      </w:r>
      <w:r>
        <w:rPr>
          <w:rFonts w:hint="default" w:ascii="Times New Roman" w:hAnsi="Times New Roman" w:cs="Times New Roman"/>
          <w:color w:val="auto"/>
          <w:highlight w:val="none"/>
        </w:rPr>
        <w:t>环境</w:t>
      </w:r>
      <w:r>
        <w:rPr>
          <w:rFonts w:hint="default" w:ascii="Times New Roman" w:hAnsi="Times New Roman" w:cs="Times New Roman"/>
          <w:color w:val="auto"/>
          <w:highlight w:val="none"/>
          <w:lang w:val="en-US" w:eastAsia="zh-CN"/>
        </w:rPr>
        <w:t>影响</w:t>
      </w:r>
      <w:r>
        <w:rPr>
          <w:rFonts w:hint="default" w:ascii="Times New Roman" w:hAnsi="Times New Roman" w:cs="Times New Roman"/>
          <w:color w:val="auto"/>
          <w:highlight w:val="none"/>
        </w:rPr>
        <w:t>评价等级为</w:t>
      </w:r>
      <w:r>
        <w:rPr>
          <w:rFonts w:hint="eastAsia" w:cs="Times New Roman"/>
          <w:color w:val="auto"/>
          <w:highlight w:val="none"/>
          <w:lang w:val="en-US" w:eastAsia="zh-CN"/>
        </w:rPr>
        <w:t>一</w:t>
      </w:r>
      <w:r>
        <w:rPr>
          <w:rFonts w:hint="default" w:ascii="Times New Roman" w:hAnsi="Times New Roman" w:cs="Times New Roman"/>
          <w:color w:val="auto"/>
          <w:highlight w:val="none"/>
        </w:rPr>
        <w:t>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评价范围</w:t>
      </w:r>
    </w:p>
    <w:p>
      <w:pPr>
        <w:spacing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大气环境》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2.2-2018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的要求</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“一</w:t>
      </w:r>
      <w:r>
        <w:rPr>
          <w:rFonts w:hint="default" w:ascii="Times New Roman" w:hAnsi="Times New Roman" w:cs="Times New Roman"/>
          <w:color w:val="auto"/>
          <w:highlight w:val="none"/>
          <w:lang w:val="en-US" w:eastAsia="zh-CN"/>
        </w:rPr>
        <w:t>级评价项目</w:t>
      </w:r>
      <w:r>
        <w:rPr>
          <w:rFonts w:hint="eastAsia" w:cs="Times New Roman"/>
          <w:color w:val="auto"/>
          <w:highlight w:val="none"/>
          <w:lang w:val="en-US" w:eastAsia="zh-CN"/>
        </w:rPr>
        <w:t>根据建设项目排放污染物的最远影响距离（D</w:t>
      </w:r>
      <w:r>
        <w:rPr>
          <w:rFonts w:hint="eastAsia" w:cs="Times New Roman"/>
          <w:color w:val="auto"/>
          <w:highlight w:val="none"/>
          <w:vertAlign w:val="subscript"/>
          <w:lang w:val="en-US" w:eastAsia="zh-CN"/>
        </w:rPr>
        <w:t>10%</w:t>
      </w:r>
      <w:r>
        <w:rPr>
          <w:rFonts w:hint="eastAsia" w:cs="Times New Roman"/>
          <w:color w:val="auto"/>
          <w:highlight w:val="none"/>
          <w:lang w:val="en-US" w:eastAsia="zh-CN"/>
        </w:rPr>
        <w:t>）确定大气环境影响评价范围。当D</w:t>
      </w:r>
      <w:r>
        <w:rPr>
          <w:rFonts w:hint="eastAsia" w:cs="Times New Roman"/>
          <w:color w:val="auto"/>
          <w:highlight w:val="none"/>
          <w:vertAlign w:val="subscript"/>
          <w:lang w:val="en-US" w:eastAsia="zh-CN"/>
        </w:rPr>
        <w:t>10%</w:t>
      </w:r>
      <w:r>
        <w:rPr>
          <w:rFonts w:hint="eastAsia" w:cs="Times New Roman"/>
          <w:color w:val="auto"/>
          <w:highlight w:val="none"/>
          <w:lang w:val="en-US" w:eastAsia="zh-CN"/>
        </w:rPr>
        <w:t>超过25 km时，确定评价范围为边长50 km的矩形区域；当D</w:t>
      </w:r>
      <w:r>
        <w:rPr>
          <w:rFonts w:hint="eastAsia" w:cs="Times New Roman"/>
          <w:color w:val="auto"/>
          <w:highlight w:val="none"/>
          <w:vertAlign w:val="subscript"/>
          <w:lang w:val="en-US" w:eastAsia="zh-CN"/>
        </w:rPr>
        <w:t>10%</w:t>
      </w:r>
      <w:r>
        <w:rPr>
          <w:rFonts w:hint="eastAsia" w:cs="Times New Roman"/>
          <w:color w:val="auto"/>
          <w:highlight w:val="none"/>
          <w:lang w:val="en-US" w:eastAsia="zh-CN"/>
        </w:rPr>
        <w:t>小于2.5 km时，评价范围边长取5 km”，本项目排放污染物的最远影响距离（D</w:t>
      </w:r>
      <w:r>
        <w:rPr>
          <w:rFonts w:hint="eastAsia" w:cs="Times New Roman"/>
          <w:color w:val="auto"/>
          <w:highlight w:val="none"/>
          <w:vertAlign w:val="subscript"/>
          <w:lang w:val="en-US" w:eastAsia="zh-CN"/>
        </w:rPr>
        <w:t>10%</w:t>
      </w:r>
      <w:r>
        <w:rPr>
          <w:rFonts w:hint="eastAsia" w:cs="Times New Roman"/>
          <w:color w:val="auto"/>
          <w:highlight w:val="none"/>
          <w:lang w:val="en-US" w:eastAsia="zh-CN"/>
        </w:rPr>
        <w:t>）为1600 m（NO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），故</w:t>
      </w:r>
      <w:r>
        <w:rPr>
          <w:rFonts w:hint="default" w:ascii="Times New Roman" w:hAnsi="Times New Roman" w:cs="Times New Roman"/>
          <w:color w:val="auto"/>
          <w:kern w:val="0"/>
          <w:sz w:val="24"/>
          <w:szCs w:val="20"/>
          <w:highlight w:val="none"/>
        </w:rPr>
        <w:t>大气环境</w:t>
      </w:r>
      <w:r>
        <w:rPr>
          <w:rFonts w:hint="default" w:ascii="Times New Roman" w:hAnsi="Times New Roman" w:cs="Times New Roman"/>
          <w:color w:val="auto"/>
          <w:kern w:val="0"/>
          <w:sz w:val="24"/>
          <w:szCs w:val="20"/>
          <w:highlight w:val="none"/>
          <w:lang w:val="en-US" w:eastAsia="zh-CN"/>
        </w:rPr>
        <w:t>影响</w:t>
      </w:r>
      <w:r>
        <w:rPr>
          <w:rFonts w:hint="default" w:ascii="Times New Roman" w:hAnsi="Times New Roman" w:cs="Times New Roman"/>
          <w:color w:val="auto"/>
          <w:kern w:val="0"/>
          <w:sz w:val="24"/>
          <w:szCs w:val="20"/>
          <w:highlight w:val="none"/>
        </w:rPr>
        <w:t>评价范</w:t>
      </w:r>
      <w:r>
        <w:rPr>
          <w:rFonts w:hint="default" w:ascii="Times New Roman" w:hAnsi="Times New Roman" w:cs="Times New Roman"/>
          <w:color w:val="auto"/>
          <w:highlight w:val="none"/>
        </w:rPr>
        <w:t>围</w:t>
      </w:r>
      <w:r>
        <w:rPr>
          <w:rFonts w:hint="eastAsia" w:cs="Times New Roman"/>
          <w:color w:val="auto"/>
          <w:highlight w:val="none"/>
          <w:lang w:val="en-US" w:eastAsia="zh-CN"/>
        </w:rPr>
        <w:t>边长取5 km</w:t>
      </w:r>
      <w:r>
        <w:rPr>
          <w:rFonts w:hint="default" w:ascii="Times New Roman" w:hAnsi="Times New Roman" w:cs="Times New Roman"/>
          <w:color w:val="auto"/>
          <w:highlight w:val="none"/>
          <w:lang w:val="en-US" w:eastAsia="zh-CN"/>
        </w:rPr>
        <w:t>。</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（1）声环境影响评价工作等级</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声环境》（HJ</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2.4-2009）中有关规定：§5.2.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建设项目所处的声环境功能区为GB3096规定的3类、4类地区，或建设项目建设前后评价范围内敏感目标噪声级增高量在3 dB（A）以下（不含3 dB（A）），且受影响人口数量变化不大时，按三级评价</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本项目评价区域所处的声环境功能区划为GB3096-2008规定的3类，</w:t>
      </w:r>
      <w:r>
        <w:rPr>
          <w:rFonts w:hint="default" w:ascii="Times New Roman" w:hAnsi="Times New Roman" w:cs="Times New Roman"/>
          <w:color w:val="auto"/>
          <w:highlight w:val="none"/>
        </w:rPr>
        <w:t>因此，可确定本项目声环境评价等级为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评价范围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highlight w:val="none"/>
        </w:rPr>
        <w:t>评价范围为项目用地边界厂界外200</w:t>
      </w: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highlight w:val="none"/>
        </w:rPr>
        <w:t>m范围内。</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（1）土壤环境影响评价工作等级</w:t>
      </w:r>
    </w:p>
    <w:p>
      <w:pPr>
        <w:bidi w:val="0"/>
        <w:rPr>
          <w:rFonts w:hint="default" w:ascii="Times New Roman" w:hAnsi="Times New Roman" w:cs="Times New Roman"/>
          <w:b w:val="0"/>
          <w:bCs w:val="0"/>
          <w:color w:val="auto"/>
          <w:highlight w:val="none"/>
          <w:lang w:val="en-US" w:eastAsia="zh-CN"/>
        </w:rPr>
      </w:pPr>
      <w:r>
        <w:rPr>
          <w:rFonts w:hint="default" w:ascii="Times New Roman" w:hAnsi="Times New Roman" w:cs="Times New Roman"/>
          <w:color w:val="auto"/>
          <w:highlight w:val="none"/>
          <w:lang w:val="en-US" w:eastAsia="zh-CN"/>
        </w:rPr>
        <w:t>根据《环境影响评价技术导则 土壤环境（试行）》（HJ964-2018）附录A中表A.1土壤环境影响评价项目类型，本项目属于“制造业-纺织、化纤、皮革等及服装、鞋制造-</w:t>
      </w:r>
      <w:r>
        <w:rPr>
          <w:rFonts w:hint="default" w:ascii="Times New Roman" w:hAnsi="Times New Roman" w:cs="Times New Roman"/>
          <w:b/>
          <w:bCs/>
          <w:color w:val="auto"/>
          <w:highlight w:val="none"/>
          <w:lang w:val="en-US" w:eastAsia="zh-CN"/>
        </w:rPr>
        <w:t>化学纤维制造</w:t>
      </w:r>
      <w:r>
        <w:rPr>
          <w:rFonts w:hint="default" w:ascii="Times New Roman" w:hAnsi="Times New Roman" w:cs="Times New Roman"/>
          <w:color w:val="auto"/>
          <w:highlight w:val="none"/>
          <w:lang w:val="en-US" w:eastAsia="zh-CN"/>
        </w:rPr>
        <w:t>；有洗毛、染整、脱胶工段及产生缫丝废水、精炼废水的纺织品；有湿法印花、染色、水洗工艺的服装制造；使用有机溶剂的制鞋业”（项目类别为Ⅱ类）和“环境和公共设施管理业-一般工业固体废物处置及综合利用（除采取填埋和焚烧方式以外的）；</w:t>
      </w:r>
      <w:r>
        <w:rPr>
          <w:rFonts w:hint="default" w:ascii="Times New Roman" w:hAnsi="Times New Roman" w:cs="Times New Roman"/>
          <w:b/>
          <w:bCs/>
          <w:color w:val="auto"/>
          <w:highlight w:val="none"/>
          <w:lang w:val="en-US" w:eastAsia="zh-CN"/>
        </w:rPr>
        <w:t>废旧资源加工、再生利用</w:t>
      </w:r>
      <w:r>
        <w:rPr>
          <w:rFonts w:hint="default" w:ascii="Times New Roman" w:hAnsi="Times New Roman" w:cs="Times New Roman"/>
          <w:color w:val="auto"/>
          <w:highlight w:val="none"/>
          <w:lang w:val="en-US" w:eastAsia="zh-CN"/>
        </w:rPr>
        <w:t>”（项目类别为</w:t>
      </w:r>
      <w:r>
        <w:rPr>
          <w:rFonts w:hint="default" w:ascii="Times New Roman" w:hAnsi="Times New Roman" w:cs="Times New Roman"/>
          <w:b w:val="0"/>
          <w:bCs w:val="0"/>
          <w:color w:val="auto"/>
          <w:highlight w:val="none"/>
        </w:rPr>
        <w:t>Ⅲ</w:t>
      </w:r>
      <w:r>
        <w:rPr>
          <w:rFonts w:hint="default" w:ascii="Times New Roman" w:hAnsi="Times New Roman" w:cs="Times New Roman"/>
          <w:color w:val="auto"/>
          <w:highlight w:val="none"/>
          <w:lang w:val="en-US" w:eastAsia="zh-CN"/>
        </w:rPr>
        <w:t>类），因此确定土壤环境影响评价项目类别为Ⅱ类</w:t>
      </w:r>
      <w:r>
        <w:rPr>
          <w:rFonts w:hint="default" w:ascii="Times New Roman" w:hAnsi="Times New Roman" w:cs="Times New Roman"/>
          <w:b w:val="0"/>
          <w:bCs w:val="0"/>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highlight w:val="none"/>
          <w:lang w:val="en-US" w:eastAsia="zh-CN"/>
        </w:rPr>
        <w:t>项目占地面积为34.159亩（合约2.28 hm</w:t>
      </w:r>
      <w:r>
        <w:rPr>
          <w:rFonts w:hint="default" w:ascii="Times New Roman" w:hAnsi="Times New Roman" w:cs="Times New Roman"/>
          <w:b w:val="0"/>
          <w:bCs w:val="0"/>
          <w:color w:val="auto"/>
          <w:highlight w:val="none"/>
          <w:vertAlign w:val="superscript"/>
          <w:lang w:val="en-US" w:eastAsia="zh-CN"/>
        </w:rPr>
        <w:t>2</w:t>
      </w:r>
      <w:r>
        <w:rPr>
          <w:rFonts w:hint="default" w:ascii="Times New Roman" w:hAnsi="Times New Roman" w:cs="Times New Roman"/>
          <w:b w:val="0"/>
          <w:bCs w:val="0"/>
          <w:color w:val="auto"/>
          <w:highlight w:val="none"/>
          <w:lang w:val="en-US" w:eastAsia="zh-CN"/>
        </w:rPr>
        <w:t>）≤5 hm</w:t>
      </w:r>
      <w:r>
        <w:rPr>
          <w:rFonts w:hint="default" w:ascii="Times New Roman" w:hAnsi="Times New Roman" w:cs="Times New Roman"/>
          <w:b w:val="0"/>
          <w:bCs w:val="0"/>
          <w:color w:val="auto"/>
          <w:highlight w:val="none"/>
          <w:vertAlign w:val="superscript"/>
          <w:lang w:val="en-US" w:eastAsia="zh-CN"/>
        </w:rPr>
        <w:t>2</w:t>
      </w:r>
      <w:r>
        <w:rPr>
          <w:rFonts w:hint="default" w:ascii="Times New Roman" w:hAnsi="Times New Roman" w:cs="Times New Roman"/>
          <w:b w:val="0"/>
          <w:bCs w:val="0"/>
          <w:color w:val="auto"/>
          <w:highlight w:val="none"/>
          <w:vertAlign w:val="baseline"/>
          <w:lang w:val="en-US" w:eastAsia="zh-CN"/>
        </w:rPr>
        <w:t>，属于小型项目，项目位于</w:t>
      </w:r>
      <w:r>
        <w:rPr>
          <w:rFonts w:hint="default" w:ascii="Times New Roman" w:hAnsi="Times New Roman" w:cs="Times New Roman"/>
          <w:color w:val="auto"/>
          <w:sz w:val="24"/>
          <w:szCs w:val="24"/>
          <w:highlight w:val="none"/>
          <w:lang w:val="en-US" w:eastAsia="zh-CN"/>
        </w:rPr>
        <w:t>霞浦县牙城镇工业园</w:t>
      </w:r>
      <w:r>
        <w:rPr>
          <w:rFonts w:hint="default" w:ascii="Times New Roman" w:hAnsi="Times New Roman" w:cs="Times New Roman"/>
          <w:b w:val="0"/>
          <w:bCs w:val="0"/>
          <w:color w:val="auto"/>
          <w:highlight w:val="none"/>
          <w:vertAlign w:val="baseline"/>
          <w:lang w:val="en-US" w:eastAsia="zh-CN"/>
        </w:rPr>
        <w:t>用地范围内，土壤敏感程度属于不敏感。因此确定土壤环境影响评价工作等级为三级</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_Ref10884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表1.5-7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29" w:name="_Ref10884"/>
      <w:r>
        <w:rPr>
          <w:rFonts w:hint="default" w:ascii="Times New Roman" w:hAnsi="Times New Roman" w:cs="Times New Roman"/>
          <w:color w:val="auto"/>
          <w:highlight w:val="none"/>
          <w:lang w:val="en-US" w:eastAsia="zh-CN"/>
        </w:rPr>
        <w:t>土壤环境评价工作等级划分表</w:t>
      </w:r>
      <w:bookmarkEnd w:id="129"/>
    </w:p>
    <w:tbl>
      <w:tblPr>
        <w:tblStyle w:val="18"/>
        <w:tblW w:w="928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847"/>
        <w:gridCol w:w="847"/>
        <w:gridCol w:w="850"/>
        <w:gridCol w:w="847"/>
        <w:gridCol w:w="847"/>
        <w:gridCol w:w="850"/>
        <w:gridCol w:w="847"/>
        <w:gridCol w:w="847"/>
        <w:gridCol w:w="8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0" w:type="dxa"/>
            <w:vMerge w:val="restart"/>
            <w:tcBorders>
              <w:tl2br w:val="single" w:color="auto" w:sz="2" w:space="0"/>
            </w:tcBorders>
          </w:tcPr>
          <w:p>
            <w:pPr>
              <w:pStyle w:val="21"/>
              <w:keepNext w:val="0"/>
              <w:keepLines w:val="0"/>
              <w:widowControl w:val="0"/>
              <w:suppressLineNumbers w:val="0"/>
              <w:bidi w:val="0"/>
              <w:spacing w:before="0" w:beforeAutospacing="0" w:after="0" w:afterAutospacing="0"/>
              <w:ind w:left="0" w:right="0"/>
              <w:jc w:val="righ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占地规模</w:t>
            </w:r>
          </w:p>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敏感程度</w:t>
            </w:r>
          </w:p>
        </w:tc>
        <w:tc>
          <w:tcPr>
            <w:tcW w:w="2544" w:type="dxa"/>
            <w:gridSpan w:val="3"/>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Ⅰ类</w:t>
            </w:r>
          </w:p>
        </w:tc>
        <w:tc>
          <w:tcPr>
            <w:tcW w:w="2544" w:type="dxa"/>
            <w:gridSpan w:val="3"/>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Ⅱ类</w:t>
            </w:r>
          </w:p>
        </w:tc>
        <w:tc>
          <w:tcPr>
            <w:tcW w:w="2556" w:type="dxa"/>
            <w:gridSpan w:val="3"/>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0" w:type="dxa"/>
            <w:vMerge w:val="continue"/>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中</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小</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中</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小</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中</w:t>
            </w:r>
          </w:p>
        </w:tc>
        <w:tc>
          <w:tcPr>
            <w:tcW w:w="862"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敏感</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62"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较敏感</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62"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不敏感</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50"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50" w:type="dxa"/>
            <w:tcBorders>
              <w:tl2br w:val="nil"/>
              <w:tr2bl w:val="nil"/>
            </w:tcBorders>
            <w:shd w:val="clear" w:color="auto" w:fill="D7D7D7" w:themeFill="background1" w:themeFillShade="D8"/>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47" w:type="dxa"/>
            <w:tcBorders>
              <w:tl2br w:val="nil"/>
              <w:tr2bl w:val="nil"/>
            </w:tcBorders>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三级</w:t>
            </w:r>
          </w:p>
        </w:tc>
        <w:tc>
          <w:tcPr>
            <w:tcW w:w="847" w:type="dxa"/>
            <w:tcBorders>
              <w:tl2br w:val="nil"/>
              <w:tr2bl w:val="nil"/>
            </w:tcBorders>
            <w:shd w:val="clear" w:color="auto" w:fill="auto"/>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862" w:type="dxa"/>
            <w:tcBorders>
              <w:tl2br w:val="nil"/>
              <w:tr2bl w:val="nil"/>
            </w:tcBorders>
            <w:shd w:val="clear" w:color="auto" w:fill="auto"/>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4" w:type="dxa"/>
            <w:gridSpan w:val="10"/>
            <w:tcBorders>
              <w:tl2br w:val="nil"/>
              <w:tr2bl w:val="nil"/>
            </w:tcBorders>
          </w:tcPr>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注：“-”表示可不开展土壤环境影响评价工作</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（2）评价范围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土壤评价范围为项目地块及厂界红线外0.05 km范围内。</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环境风险评价工作等级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根据《建设项目环境风险评价技术导则》（HJ 169-2018）</w:t>
      </w:r>
      <w:r>
        <w:rPr>
          <w:rFonts w:hint="default" w:ascii="Times New Roman" w:hAnsi="Times New Roman" w:cs="Times New Roman"/>
          <w:color w:val="auto"/>
          <w:sz w:val="24"/>
          <w:highlight w:val="none"/>
        </w:rPr>
        <w:t>附录B重点关注的危险物质，本项目重点关注的的危险物料为</w:t>
      </w:r>
      <w:r>
        <w:rPr>
          <w:rFonts w:hint="default" w:ascii="Times New Roman" w:hAnsi="Times New Roman" w:cs="Times New Roman"/>
          <w:color w:val="auto"/>
          <w:sz w:val="24"/>
          <w:highlight w:val="none"/>
          <w:lang w:val="en-US" w:eastAsia="zh-CN"/>
        </w:rPr>
        <w:t>天然气和油类物质（主要为纺丝油剂、废油剂）</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sz w:val="24"/>
          <w:highlight w:val="none"/>
        </w:rPr>
        <w:t>Q</w:t>
      </w:r>
      <w:r>
        <w:rPr>
          <w:rFonts w:hint="default" w:ascii="Times New Roman" w:hAnsi="Times New Roman" w:cs="Times New Roman"/>
          <w:color w:val="auto"/>
          <w:highlight w:val="none"/>
          <w:lang w:val="en-US" w:eastAsia="zh-CN"/>
        </w:rPr>
        <w:t>（危险物质总量与其临界量的比值）</w:t>
      </w:r>
      <w:r>
        <w:rPr>
          <w:rFonts w:hint="default" w:ascii="Times New Roman" w:hAnsi="Times New Roman" w:cs="Times New Roman"/>
          <w:color w:val="auto"/>
          <w:sz w:val="24"/>
          <w:highlight w:val="none"/>
          <w:lang w:val="en-US" w:eastAsia="zh-CN"/>
        </w:rPr>
        <w:t>=0.0138＜</w:t>
      </w:r>
      <w:r>
        <w:rPr>
          <w:rFonts w:hint="default" w:ascii="Times New Roman" w:hAnsi="Times New Roman" w:cs="Times New Roman"/>
          <w:color w:val="auto"/>
          <w:sz w:val="24"/>
          <w:highlight w:val="none"/>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Q值计算详见“</w:t>
      </w:r>
      <w:r>
        <w:rPr>
          <w:rFonts w:hint="default" w:ascii="Times New Roman" w:hAnsi="Times New Roman" w:cs="Times New Roman"/>
          <w:color w:val="auto"/>
          <w:highlight w:val="none"/>
          <w:lang w:val="en-US" w:eastAsia="zh-CN"/>
        </w:rPr>
        <w:t>5.8 环境风险评价</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则本项目</w:t>
      </w:r>
      <w:r>
        <w:rPr>
          <w:rFonts w:hint="default" w:ascii="Times New Roman" w:hAnsi="Times New Roman" w:cs="Times New Roman"/>
          <w:color w:val="auto"/>
          <w:highlight w:val="none"/>
          <w:lang w:val="en-US" w:eastAsia="zh-CN"/>
        </w:rPr>
        <w:t>环境风险潜势为Ⅰ</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color w:val="auto"/>
          <w:highlight w:val="none"/>
          <w:lang w:val="en-US" w:eastAsia="zh-CN"/>
        </w:rPr>
        <w:t>《建设项目环境风险评价技术导则》（HJ 169-2018）中关于风险评价等级的划分方法（评价工作等级划分详见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_Ref11188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表1.5-8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），确定本项目环境风险评价等级为简单分析。</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30" w:name="_Ref11188"/>
      <w:r>
        <w:rPr>
          <w:rFonts w:hint="default" w:ascii="Times New Roman" w:hAnsi="Times New Roman" w:cs="Times New Roman"/>
          <w:color w:val="auto"/>
          <w:highlight w:val="none"/>
          <w:lang w:val="en-US" w:eastAsia="zh-CN"/>
        </w:rPr>
        <w:t>项目环境风险评价工作等级划分</w:t>
      </w:r>
      <w:bookmarkEnd w:id="130"/>
    </w:p>
    <w:tbl>
      <w:tblPr>
        <w:tblStyle w:val="18"/>
        <w:tblW w:w="928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1855"/>
        <w:gridCol w:w="1855"/>
        <w:gridCol w:w="1856"/>
        <w:gridCol w:w="18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4"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环境风险潜势</w:t>
            </w:r>
          </w:p>
        </w:tc>
        <w:tc>
          <w:tcPr>
            <w:tcW w:w="185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Ⅳ、Ⅳ+</w:t>
            </w:r>
          </w:p>
        </w:tc>
        <w:tc>
          <w:tcPr>
            <w:tcW w:w="185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w:t>
            </w:r>
          </w:p>
        </w:tc>
        <w:tc>
          <w:tcPr>
            <w:tcW w:w="1856"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Ⅱ</w:t>
            </w:r>
          </w:p>
        </w:tc>
        <w:tc>
          <w:tcPr>
            <w:tcW w:w="1862"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4"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评价工作等级</w:t>
            </w:r>
          </w:p>
        </w:tc>
        <w:tc>
          <w:tcPr>
            <w:tcW w:w="185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w:t>
            </w:r>
          </w:p>
        </w:tc>
        <w:tc>
          <w:tcPr>
            <w:tcW w:w="1855"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w:t>
            </w:r>
          </w:p>
        </w:tc>
        <w:tc>
          <w:tcPr>
            <w:tcW w:w="1856" w:type="dxa"/>
            <w:tcBorders>
              <w:tl2br w:val="nil"/>
              <w:tr2bl w:val="nil"/>
            </w:tcBorders>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三</w:t>
            </w:r>
          </w:p>
        </w:tc>
        <w:tc>
          <w:tcPr>
            <w:tcW w:w="1862" w:type="dxa"/>
            <w:tcBorders>
              <w:tl2br w:val="nil"/>
              <w:tr2bl w:val="nil"/>
            </w:tcBorders>
            <w:shd w:val="clear" w:color="auto" w:fill="D7D7D7" w:themeFill="background1" w:themeFillShade="D8"/>
            <w:vAlign w:val="top"/>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简单分析</w:t>
            </w:r>
            <w:r>
              <w:rPr>
                <w:rFonts w:hint="default" w:ascii="Times New Roman" w:hAnsi="Times New Roman" w:cs="Times New Roman"/>
                <w:color w:val="auto"/>
                <w:szCs w:val="20"/>
                <w:highlight w:val="none"/>
                <w:vertAlign w:val="superscript"/>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2" w:type="dxa"/>
            <w:gridSpan w:val="5"/>
            <w:tcBorders>
              <w:tl2br w:val="nil"/>
              <w:tr2bl w:val="nil"/>
            </w:tcBorders>
            <w:vAlign w:val="top"/>
          </w:tcPr>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 w:val="21"/>
                <w:szCs w:val="21"/>
                <w:highlight w:val="none"/>
                <w:vertAlign w:val="superscript"/>
                <w:lang w:val="en-US" w:eastAsia="zh-CN"/>
              </w:rPr>
              <w:t>a</w:t>
            </w:r>
            <w:r>
              <w:rPr>
                <w:rFonts w:hint="default" w:ascii="Times New Roman" w:hAnsi="Times New Roman" w:cs="Times New Roman"/>
                <w:color w:val="auto"/>
                <w:sz w:val="21"/>
                <w:szCs w:val="21"/>
                <w:highlight w:val="none"/>
                <w:lang w:val="en-US" w:eastAsia="zh-CN"/>
              </w:rPr>
              <w:t>是相对于详细评价工作内容而言，在描述危险物质、环境影响途径、环境危害后果、风险措施防范等方面给出定性的说明。</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评价范围</w:t>
      </w:r>
    </w:p>
    <w:p>
      <w:pPr>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highlight w:val="none"/>
        </w:rPr>
        <w:t>根据《建设项目环境风险评价技术导则》（HJ169-2018）</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简单分析的项目未规定大气环境风险评价范围，但</w:t>
      </w:r>
      <w:r>
        <w:rPr>
          <w:rFonts w:hint="default" w:ascii="Times New Roman" w:hAnsi="Times New Roman" w:cs="Times New Roman"/>
          <w:color w:val="auto"/>
          <w:kern w:val="2"/>
          <w:sz w:val="24"/>
          <w:szCs w:val="24"/>
          <w:highlight w:val="none"/>
          <w:lang w:val="en-US" w:eastAsia="zh-CN" w:bidi="ar-SA"/>
        </w:rPr>
        <w:t>根据本项目工艺特点，参照环境风险三级评价设置风险评价范围</w:t>
      </w:r>
      <w:r>
        <w:rPr>
          <w:rFonts w:hint="default" w:ascii="Times New Roman" w:hAnsi="Times New Roman" w:cs="Times New Roman"/>
          <w:color w:val="auto"/>
          <w:sz w:val="24"/>
          <w:highlight w:val="none"/>
          <w:lang w:val="en-US" w:eastAsia="zh-CN"/>
        </w:rPr>
        <w:t>，即</w:t>
      </w:r>
      <w:r>
        <w:rPr>
          <w:rFonts w:hint="eastAsia" w:ascii="Times New Roman" w:hAnsi="Times New Roman" w:cs="Times New Roman"/>
          <w:color w:val="auto"/>
          <w:sz w:val="24"/>
          <w:highlight w:val="none"/>
          <w:lang w:val="en-US" w:eastAsia="zh-CN"/>
        </w:rPr>
        <w:t>距建设项目边界</w:t>
      </w:r>
      <w:r>
        <w:rPr>
          <w:rFonts w:hint="default" w:ascii="Times New Roman" w:hAnsi="Times New Roman" w:cs="Times New Roman"/>
          <w:color w:val="auto"/>
          <w:sz w:val="24"/>
          <w:highlight w:val="none"/>
          <w:lang w:val="en-US" w:eastAsia="zh-CN"/>
        </w:rPr>
        <w:t>3 km区域。</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生态影响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（1）生态影响评价工作等级</w:t>
      </w:r>
    </w:p>
    <w:p>
      <w:pPr>
        <w:bidi w:val="0"/>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sz w:val="24"/>
          <w:highlight w:val="none"/>
          <w:u w:val="none"/>
        </w:rPr>
        <w:t>《环境影响评价技术导则</w:t>
      </w:r>
      <w:r>
        <w:rPr>
          <w:rFonts w:hint="default" w:ascii="Times New Roman" w:hAnsi="Times New Roman" w:cs="Times New Roman"/>
          <w:color w:val="auto"/>
          <w:sz w:val="24"/>
          <w:highlight w:val="none"/>
          <w:u w:val="none"/>
          <w:lang w:val="en-US" w:eastAsia="zh-CN"/>
        </w:rPr>
        <w:t xml:space="preserve"> </w:t>
      </w:r>
      <w:r>
        <w:rPr>
          <w:rFonts w:hint="default" w:ascii="Times New Roman" w:hAnsi="Times New Roman" w:cs="Times New Roman"/>
          <w:color w:val="auto"/>
          <w:sz w:val="24"/>
          <w:highlight w:val="none"/>
          <w:u w:val="none"/>
        </w:rPr>
        <w:t>生态</w:t>
      </w:r>
      <w:r>
        <w:rPr>
          <w:rFonts w:hint="default" w:ascii="Times New Roman" w:hAnsi="Times New Roman" w:cs="Times New Roman"/>
          <w:color w:val="auto"/>
          <w:sz w:val="24"/>
          <w:highlight w:val="none"/>
          <w:u w:val="none"/>
          <w:lang w:val="en-US" w:eastAsia="zh-CN"/>
        </w:rPr>
        <w:t>影响</w:t>
      </w:r>
      <w:r>
        <w:rPr>
          <w:rFonts w:hint="default" w:ascii="Times New Roman" w:hAnsi="Times New Roman" w:cs="Times New Roman"/>
          <w:color w:val="auto"/>
          <w:sz w:val="24"/>
          <w:highlight w:val="none"/>
          <w:u w:val="none"/>
        </w:rPr>
        <w:t>》（HJ19-2011），评价工作的分级判据见</w:t>
      </w:r>
      <w:r>
        <w:rPr>
          <w:rFonts w:hint="default" w:ascii="Times New Roman" w:hAnsi="Times New Roman" w:cs="Times New Roman"/>
          <w:color w:val="auto"/>
          <w:sz w:val="24"/>
          <w:highlight w:val="none"/>
          <w:u w:val="none"/>
        </w:rPr>
        <w:fldChar w:fldCharType="begin"/>
      </w:r>
      <w:r>
        <w:rPr>
          <w:rFonts w:hint="default" w:ascii="Times New Roman" w:hAnsi="Times New Roman" w:cs="Times New Roman"/>
          <w:color w:val="auto"/>
          <w:sz w:val="24"/>
          <w:highlight w:val="none"/>
          <w:u w:val="none"/>
        </w:rPr>
        <w:instrText xml:space="preserve"> REF _Ref12634 \n \h </w:instrText>
      </w:r>
      <w:r>
        <w:rPr>
          <w:rFonts w:hint="default" w:ascii="Times New Roman" w:hAnsi="Times New Roman" w:cs="Times New Roman"/>
          <w:color w:val="auto"/>
          <w:sz w:val="24"/>
          <w:highlight w:val="none"/>
          <w:u w:val="none"/>
        </w:rPr>
        <w:fldChar w:fldCharType="separate"/>
      </w:r>
      <w:r>
        <w:rPr>
          <w:rFonts w:hint="default" w:ascii="Times New Roman" w:hAnsi="Times New Roman" w:cs="Times New Roman"/>
          <w:color w:val="auto"/>
          <w:sz w:val="24"/>
          <w:highlight w:val="none"/>
          <w:u w:val="none"/>
        </w:rPr>
        <w:t>表1.5-9</w:t>
      </w:r>
      <w:r>
        <w:rPr>
          <w:rFonts w:hint="default" w:ascii="Times New Roman" w:hAnsi="Times New Roman" w:cs="Times New Roman"/>
          <w:color w:val="auto"/>
          <w:sz w:val="24"/>
          <w:highlight w:val="none"/>
          <w:u w:val="none"/>
        </w:rPr>
        <w:fldChar w:fldCharType="end"/>
      </w:r>
      <w:r>
        <w:rPr>
          <w:rFonts w:hint="default" w:ascii="Times New Roman" w:hAnsi="Times New Roman" w:cs="Times New Roman"/>
          <w:color w:val="auto"/>
          <w:sz w:val="24"/>
          <w:highlight w:val="none"/>
          <w:u w:val="none"/>
          <w:lang w:eastAsia="zh-CN"/>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31" w:name="_Ref12634"/>
      <w:r>
        <w:rPr>
          <w:rFonts w:hint="default" w:ascii="Times New Roman" w:hAnsi="Times New Roman" w:cs="Times New Roman"/>
          <w:color w:val="auto"/>
          <w:highlight w:val="none"/>
          <w:lang w:val="en-US" w:eastAsia="zh-CN"/>
        </w:rPr>
        <w:t>生态影响评价工作级别</w:t>
      </w:r>
      <w:bookmarkEnd w:id="131"/>
    </w:p>
    <w:tbl>
      <w:tblPr>
        <w:tblStyle w:val="17"/>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91"/>
        <w:gridCol w:w="2363"/>
        <w:gridCol w:w="2612"/>
        <w:gridCol w:w="21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1" w:type="dxa"/>
            <w:vMerge w:val="restart"/>
            <w:tcBorders>
              <w:top w:val="single" w:color="auto" w:sz="12" w:space="0"/>
              <w:left w:val="nil"/>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影响区域生态敏感性</w:t>
            </w:r>
          </w:p>
        </w:tc>
        <w:tc>
          <w:tcPr>
            <w:tcW w:w="7095" w:type="dxa"/>
            <w:gridSpan w:val="3"/>
            <w:tcBorders>
              <w:top w:val="single" w:color="auto" w:sz="12" w:space="0"/>
              <w:left w:val="single" w:color="auto" w:sz="4" w:space="0"/>
              <w:bottom w:val="single" w:color="auto" w:sz="4" w:space="0"/>
              <w:right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工程占地（水域）范围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191" w:type="dxa"/>
            <w:vMerge w:val="continue"/>
            <w:tcBorders>
              <w:top w:val="single" w:color="auto" w:sz="12" w:space="0"/>
              <w:left w:val="nil"/>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p>
        </w:tc>
        <w:tc>
          <w:tcPr>
            <w:tcW w:w="236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面积≥20 km</w:t>
            </w:r>
            <w:r>
              <w:rPr>
                <w:rFonts w:hint="default" w:ascii="Times New Roman" w:hAnsi="Times New Roman" w:eastAsia="宋体" w:cs="Times New Roman"/>
                <w:b w:val="0"/>
                <w:bCs w:val="0"/>
                <w:color w:val="auto"/>
                <w:kern w:val="2"/>
                <w:sz w:val="21"/>
                <w:szCs w:val="24"/>
                <w:highlight w:val="none"/>
                <w:vertAlign w:val="superscript"/>
                <w:lang w:val="en-US" w:eastAsia="zh-CN" w:bidi="ar-SA"/>
              </w:rPr>
              <w:t>2</w:t>
            </w:r>
            <w:r>
              <w:rPr>
                <w:rFonts w:hint="default" w:ascii="Times New Roman" w:hAnsi="Times New Roman" w:eastAsia="宋体" w:cs="Times New Roman"/>
                <w:b w:val="0"/>
                <w:bCs w:val="0"/>
                <w:color w:val="auto"/>
                <w:kern w:val="2"/>
                <w:sz w:val="21"/>
                <w:szCs w:val="24"/>
                <w:highlight w:val="none"/>
                <w:lang w:val="en-US" w:eastAsia="zh-CN" w:bidi="ar-SA"/>
              </w:rPr>
              <w:t>或长度≥100 km</w:t>
            </w:r>
          </w:p>
        </w:tc>
        <w:tc>
          <w:tcPr>
            <w:tcW w:w="26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面积2 km</w:t>
            </w:r>
            <w:r>
              <w:rPr>
                <w:rFonts w:hint="default" w:ascii="Times New Roman" w:hAnsi="Times New Roman" w:eastAsia="宋体" w:cs="Times New Roman"/>
                <w:b w:val="0"/>
                <w:bCs w:val="0"/>
                <w:color w:val="auto"/>
                <w:kern w:val="2"/>
                <w:sz w:val="21"/>
                <w:szCs w:val="24"/>
                <w:highlight w:val="none"/>
                <w:vertAlign w:val="superscript"/>
                <w:lang w:val="en-US" w:eastAsia="zh-CN" w:bidi="ar-SA"/>
              </w:rPr>
              <w:t>2</w:t>
            </w:r>
            <w:r>
              <w:rPr>
                <w:rFonts w:hint="default" w:ascii="Times New Roman" w:hAnsi="Times New Roman" w:eastAsia="宋体" w:cs="Times New Roman"/>
                <w:b w:val="0"/>
                <w:bCs w:val="0"/>
                <w:color w:val="auto"/>
                <w:kern w:val="2"/>
                <w:sz w:val="21"/>
                <w:szCs w:val="24"/>
                <w:highlight w:val="none"/>
                <w:lang w:val="en-US" w:eastAsia="zh-CN" w:bidi="ar-SA"/>
              </w:rPr>
              <w:t>~20 km</w:t>
            </w:r>
            <w:r>
              <w:rPr>
                <w:rFonts w:hint="default" w:ascii="Times New Roman" w:hAnsi="Times New Roman" w:eastAsia="宋体" w:cs="Times New Roman"/>
                <w:b w:val="0"/>
                <w:bCs w:val="0"/>
                <w:color w:val="auto"/>
                <w:kern w:val="2"/>
                <w:sz w:val="21"/>
                <w:szCs w:val="24"/>
                <w:highlight w:val="none"/>
                <w:vertAlign w:val="superscript"/>
                <w:lang w:val="en-US" w:eastAsia="zh-CN" w:bidi="ar-SA"/>
              </w:rPr>
              <w:t>2</w:t>
            </w:r>
            <w:r>
              <w:rPr>
                <w:rFonts w:hint="default" w:ascii="Times New Roman" w:hAnsi="Times New Roman" w:eastAsia="宋体" w:cs="Times New Roman"/>
                <w:b w:val="0"/>
                <w:bCs w:val="0"/>
                <w:color w:val="auto"/>
                <w:kern w:val="2"/>
                <w:sz w:val="21"/>
                <w:szCs w:val="24"/>
                <w:highlight w:val="none"/>
                <w:lang w:val="en-US" w:eastAsia="zh-CN" w:bidi="ar-SA"/>
              </w:rPr>
              <w:t>或长度50 km~100 km</w:t>
            </w:r>
          </w:p>
        </w:tc>
        <w:tc>
          <w:tcPr>
            <w:tcW w:w="2120" w:type="dxa"/>
            <w:tcBorders>
              <w:top w:val="single" w:color="auto" w:sz="4" w:space="0"/>
              <w:left w:val="single" w:color="auto" w:sz="4" w:space="0"/>
              <w:bottom w:val="single" w:color="auto" w:sz="4" w:space="0"/>
              <w:right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面积≤2 km</w:t>
            </w:r>
            <w:r>
              <w:rPr>
                <w:rFonts w:hint="default" w:ascii="Times New Roman" w:hAnsi="Times New Roman" w:eastAsia="宋体" w:cs="Times New Roman"/>
                <w:b w:val="0"/>
                <w:bCs w:val="0"/>
                <w:color w:val="auto"/>
                <w:kern w:val="2"/>
                <w:sz w:val="21"/>
                <w:szCs w:val="24"/>
                <w:highlight w:val="none"/>
                <w:vertAlign w:val="superscript"/>
                <w:lang w:val="en-US" w:eastAsia="zh-CN" w:bidi="ar-SA"/>
              </w:rPr>
              <w:t>2</w:t>
            </w:r>
            <w:r>
              <w:rPr>
                <w:rFonts w:hint="default" w:ascii="Times New Roman" w:hAnsi="Times New Roman" w:eastAsia="宋体" w:cs="Times New Roman"/>
                <w:b w:val="0"/>
                <w:bCs w:val="0"/>
                <w:color w:val="auto"/>
                <w:kern w:val="2"/>
                <w:sz w:val="21"/>
                <w:szCs w:val="24"/>
                <w:highlight w:val="none"/>
                <w:lang w:val="en-US" w:eastAsia="zh-CN" w:bidi="ar-SA"/>
              </w:rPr>
              <w:t>或长度≤50 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1" w:type="dxa"/>
            <w:tcBorders>
              <w:top w:val="single" w:color="auto" w:sz="4" w:space="0"/>
              <w:left w:val="nil"/>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特殊生态敏感区</w:t>
            </w:r>
          </w:p>
        </w:tc>
        <w:tc>
          <w:tcPr>
            <w:tcW w:w="236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一级</w:t>
            </w:r>
          </w:p>
        </w:tc>
        <w:tc>
          <w:tcPr>
            <w:tcW w:w="26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一级</w:t>
            </w:r>
          </w:p>
        </w:tc>
        <w:tc>
          <w:tcPr>
            <w:tcW w:w="2120" w:type="dxa"/>
            <w:tcBorders>
              <w:top w:val="single" w:color="auto" w:sz="4" w:space="0"/>
              <w:left w:val="single" w:color="auto" w:sz="4" w:space="0"/>
              <w:bottom w:val="single" w:color="auto" w:sz="4" w:space="0"/>
              <w:right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1" w:type="dxa"/>
            <w:tcBorders>
              <w:top w:val="single" w:color="auto" w:sz="4" w:space="0"/>
              <w:left w:val="nil"/>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重要生态敏感区</w:t>
            </w:r>
          </w:p>
        </w:tc>
        <w:tc>
          <w:tcPr>
            <w:tcW w:w="236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一级</w:t>
            </w:r>
          </w:p>
        </w:tc>
        <w:tc>
          <w:tcPr>
            <w:tcW w:w="26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二级</w:t>
            </w:r>
          </w:p>
        </w:tc>
        <w:tc>
          <w:tcPr>
            <w:tcW w:w="2120" w:type="dxa"/>
            <w:tcBorders>
              <w:top w:val="single" w:color="auto" w:sz="4" w:space="0"/>
              <w:left w:val="single" w:color="auto" w:sz="4" w:space="0"/>
              <w:bottom w:val="single" w:color="auto" w:sz="4" w:space="0"/>
              <w:right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1" w:type="dxa"/>
            <w:tcBorders>
              <w:top w:val="single" w:color="auto" w:sz="4" w:space="0"/>
              <w:left w:val="nil"/>
              <w:bottom w:val="single" w:color="auto" w:sz="12"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一般区域</w:t>
            </w:r>
          </w:p>
        </w:tc>
        <w:tc>
          <w:tcPr>
            <w:tcW w:w="2363"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三级</w:t>
            </w:r>
          </w:p>
        </w:tc>
        <w:tc>
          <w:tcPr>
            <w:tcW w:w="2612"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三级</w:t>
            </w:r>
          </w:p>
        </w:tc>
        <w:tc>
          <w:tcPr>
            <w:tcW w:w="2120" w:type="dxa"/>
            <w:tcBorders>
              <w:top w:val="single" w:color="auto" w:sz="4" w:space="0"/>
              <w:left w:val="single" w:color="auto" w:sz="4" w:space="0"/>
              <w:bottom w:val="single" w:color="auto" w:sz="12" w:space="0"/>
              <w:right w:val="nil"/>
            </w:tcBorders>
            <w:shd w:val="clear" w:color="auto" w:fill="D7D7D7" w:themeFill="background1" w:themeFillShade="D8"/>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三级</w:t>
            </w:r>
          </w:p>
        </w:tc>
      </w:tr>
    </w:tbl>
    <w:p>
      <w:pPr>
        <w:bidi w:val="0"/>
        <w:rPr>
          <w:rFonts w:hint="default" w:ascii="Times New Roman" w:hAnsi="Times New Roman" w:cs="Times New Roman"/>
          <w:color w:val="auto"/>
          <w:highlight w:val="none"/>
          <w:lang w:val="en-US" w:eastAsia="zh-CN"/>
        </w:rPr>
      </w:pPr>
      <w:bookmarkStart w:id="132" w:name="_Toc10642"/>
      <w:r>
        <w:rPr>
          <w:rFonts w:hint="default" w:ascii="Times New Roman" w:hAnsi="Times New Roman" w:cs="Times New Roman"/>
          <w:color w:val="auto"/>
          <w:highlight w:val="none"/>
        </w:rPr>
        <w:t>本工程占地属</w:t>
      </w:r>
      <w:r>
        <w:rPr>
          <w:rFonts w:hint="default" w:ascii="Times New Roman" w:hAnsi="Times New Roman" w:cs="Times New Roman"/>
          <w:color w:val="auto"/>
          <w:sz w:val="24"/>
          <w:szCs w:val="24"/>
          <w:highlight w:val="none"/>
          <w:lang w:val="en-US" w:eastAsia="zh-CN"/>
        </w:rPr>
        <w:t>霞浦县牙城镇工业园</w:t>
      </w:r>
      <w:r>
        <w:rPr>
          <w:rFonts w:hint="default" w:ascii="Times New Roman" w:hAnsi="Times New Roman" w:cs="Times New Roman"/>
          <w:color w:val="auto"/>
          <w:highlight w:val="none"/>
          <w:lang w:val="en-US" w:eastAsia="zh-CN"/>
        </w:rPr>
        <w:t>的</w:t>
      </w:r>
      <w:r>
        <w:rPr>
          <w:rFonts w:hint="default" w:ascii="Times New Roman" w:hAnsi="Times New Roman" w:cs="Times New Roman"/>
          <w:color w:val="auto"/>
          <w:highlight w:val="none"/>
        </w:rPr>
        <w:t>工业用地，占地面积</w:t>
      </w:r>
      <w:r>
        <w:rPr>
          <w:rFonts w:hint="default" w:ascii="Times New Roman" w:hAnsi="Times New Roman" w:cs="Times New Roman"/>
          <w:color w:val="auto"/>
          <w:highlight w:val="none"/>
          <w:lang w:val="en-US" w:eastAsia="zh-CN"/>
        </w:rPr>
        <w:t>34.159亩（合0.023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，生态影响区域内不涉及《环境影响评价技术导则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生态环境》（HJ</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19-2011）规定的特殊生态敏感区和重要生态敏感区，属一般区域</w:t>
      </w:r>
      <w:bookmarkEnd w:id="132"/>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因此，本项目生态影响评价等级为三级。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（2）评价范围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本次扩建工程用地范围内。</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评价工作等级和评价范围汇总</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根据《环境影响评价技术导则》的要求，本项目各环境要素的评价工作等级、评价范围汇总详见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_Ref12847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表1.5-10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ind w:left="420" w:leftChars="0" w:hanging="420" w:firstLineChars="0"/>
        <w:rPr>
          <w:rFonts w:hint="default" w:ascii="Times New Roman" w:hAnsi="Times New Roman" w:cs="Times New Roman"/>
          <w:color w:val="auto"/>
          <w:highlight w:val="none"/>
          <w:lang w:val="en-US" w:eastAsia="zh-CN"/>
        </w:rPr>
      </w:pPr>
      <w:bookmarkStart w:id="133" w:name="_Ref12847"/>
      <w:r>
        <w:rPr>
          <w:rFonts w:hint="default" w:ascii="Times New Roman" w:hAnsi="Times New Roman" w:cs="Times New Roman"/>
          <w:color w:val="auto"/>
          <w:highlight w:val="none"/>
          <w:lang w:val="en-US" w:eastAsia="zh-CN"/>
        </w:rPr>
        <w:t>项目环境影响评价范围</w:t>
      </w:r>
      <w:bookmarkEnd w:id="133"/>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7"/>
        <w:gridCol w:w="1487"/>
        <w:gridCol w:w="61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环境要素</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评价等级</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地表水</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三级B</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主要分析纳入牙城镇污水处理厂的合法性和环境可行性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地下水</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三级</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0"/>
                <w:highlight w:val="none"/>
              </w:rPr>
              <w:t>项目所在</w:t>
            </w:r>
            <w:r>
              <w:rPr>
                <w:rFonts w:hint="default" w:ascii="Times New Roman" w:hAnsi="Times New Roman" w:cs="Times New Roman"/>
                <w:color w:val="auto"/>
                <w:szCs w:val="20"/>
                <w:highlight w:val="none"/>
                <w:lang w:val="en-US" w:eastAsia="zh-CN"/>
              </w:rPr>
              <w:t>完整</w:t>
            </w:r>
            <w:r>
              <w:rPr>
                <w:rFonts w:hint="default" w:ascii="Times New Roman" w:hAnsi="Times New Roman" w:cs="Times New Roman"/>
                <w:color w:val="auto"/>
                <w:szCs w:val="20"/>
                <w:highlight w:val="none"/>
              </w:rPr>
              <w:t>水文地质单元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大气环境</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二级</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以厂址为中心</w:t>
            </w:r>
            <w:r>
              <w:rPr>
                <w:rFonts w:hint="eastAsia" w:cs="Times New Roman"/>
                <w:color w:val="auto"/>
                <w:sz w:val="21"/>
                <w:szCs w:val="21"/>
                <w:highlight w:val="none"/>
                <w:lang w:val="en-US" w:eastAsia="zh-CN"/>
              </w:rPr>
              <w:t>区域</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自厂界外延5 km</w:t>
            </w:r>
            <w:r>
              <w:rPr>
                <w:rFonts w:hint="default" w:ascii="Times New Roman" w:hAnsi="Times New Roman" w:cs="Times New Roman"/>
                <w:color w:val="auto"/>
                <w:sz w:val="21"/>
                <w:szCs w:val="21"/>
                <w:highlight w:val="none"/>
                <w:lang w:val="en-US" w:eastAsia="zh-CN"/>
              </w:rPr>
              <w:t>的矩形区域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声环境</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三级</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厂界外200 m范围内的区域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土壤环境</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三级</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0"/>
                <w:highlight w:val="none"/>
                <w:lang w:val="en-US" w:eastAsia="zh-CN"/>
              </w:rPr>
              <w:t>项目地块及厂界红线外0.05 km范围内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环境风险</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简单分析</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根据工艺特点，参照环境风险三级评价设置风险评价范围，即</w:t>
            </w:r>
            <w:r>
              <w:rPr>
                <w:rFonts w:hint="eastAsia" w:cs="Times New Roman"/>
                <w:color w:val="auto"/>
                <w:kern w:val="2"/>
                <w:sz w:val="21"/>
                <w:szCs w:val="21"/>
                <w:highlight w:val="none"/>
                <w:lang w:val="en-US" w:eastAsia="zh-CN" w:bidi="ar-SA"/>
              </w:rPr>
              <w:t>距建设项目边界</w:t>
            </w:r>
            <w:r>
              <w:rPr>
                <w:rFonts w:hint="default" w:ascii="Times New Roman" w:hAnsi="Times New Roman" w:eastAsia="宋体" w:cs="Times New Roman"/>
                <w:color w:val="auto"/>
                <w:kern w:val="2"/>
                <w:sz w:val="21"/>
                <w:szCs w:val="21"/>
                <w:highlight w:val="none"/>
                <w:lang w:val="en-US" w:eastAsia="zh-CN" w:bidi="ar-SA"/>
              </w:rPr>
              <w:t>3 km区域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生态环境</w:t>
            </w:r>
          </w:p>
        </w:tc>
        <w:tc>
          <w:tcPr>
            <w:tcW w:w="14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三级</w:t>
            </w:r>
          </w:p>
        </w:tc>
        <w:tc>
          <w:tcPr>
            <w:tcW w:w="61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项目用地范围内</w:t>
            </w:r>
          </w:p>
        </w:tc>
      </w:tr>
    </w:tbl>
    <w:p>
      <w:pPr>
        <w:pStyle w:val="3"/>
        <w:bidi w:val="0"/>
        <w:rPr>
          <w:rFonts w:hint="default" w:ascii="Times New Roman" w:hAnsi="Times New Roman" w:cs="Times New Roman"/>
          <w:color w:val="auto"/>
          <w:highlight w:val="none"/>
          <w:lang w:val="en-US" w:eastAsia="zh-CN"/>
        </w:rPr>
      </w:pPr>
      <w:bookmarkStart w:id="134" w:name="_Toc17172"/>
      <w:bookmarkStart w:id="135" w:name="_Toc11141"/>
      <w:bookmarkStart w:id="136" w:name="_Toc10057"/>
      <w:bookmarkStart w:id="137" w:name="_Toc532997602"/>
      <w:bookmarkStart w:id="138" w:name="_Toc27945"/>
      <w:bookmarkStart w:id="139" w:name="_Toc3192"/>
      <w:bookmarkStart w:id="140" w:name="_Toc28369"/>
      <w:r>
        <w:rPr>
          <w:rFonts w:hint="default" w:ascii="Times New Roman" w:hAnsi="Times New Roman" w:cs="Times New Roman"/>
          <w:color w:val="auto"/>
          <w:highlight w:val="none"/>
          <w:lang w:val="en-US" w:eastAsia="zh-CN"/>
        </w:rPr>
        <w:t>主要环境保护目标</w:t>
      </w:r>
      <w:bookmarkEnd w:id="134"/>
      <w:bookmarkEnd w:id="135"/>
      <w:bookmarkEnd w:id="136"/>
      <w:bookmarkEnd w:id="137"/>
      <w:bookmarkEnd w:id="138"/>
      <w:bookmarkEnd w:id="139"/>
      <w:bookmarkEnd w:id="140"/>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本项目位于宁德市霞浦县牙城镇工业园1号地块，根据工程性质、现场勘查及周围环境特征，项目周边环境保护目标详见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_Ref14241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表1.6-1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sz w:val="24"/>
          <w:highlight w:val="none"/>
        </w:rPr>
        <w:t>环境影响评价范围及保护目标分布见图1.</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1</w:t>
      </w:r>
      <w:r>
        <w:rPr>
          <w:rFonts w:hint="default" w:ascii="Times New Roman" w:hAnsi="Times New Roman" w:cs="Times New Roman"/>
          <w:color w:val="auto"/>
          <w:highlight w:val="none"/>
        </w:rPr>
        <w:t>。</w:t>
      </w:r>
    </w:p>
    <w:p>
      <w:pPr>
        <w:pStyle w:val="24"/>
        <w:bidi w:val="0"/>
        <w:rPr>
          <w:rFonts w:hint="default" w:ascii="Times New Roman" w:hAnsi="Times New Roman" w:cs="Times New Roman"/>
          <w:color w:val="auto"/>
          <w:highlight w:val="none"/>
          <w:lang w:val="en-US" w:eastAsia="zh-CN"/>
        </w:rPr>
      </w:pPr>
      <w:bookmarkStart w:id="141" w:name="_Ref14241"/>
      <w:r>
        <w:rPr>
          <w:rFonts w:hint="default" w:ascii="Times New Roman" w:hAnsi="Times New Roman" w:cs="Times New Roman"/>
          <w:color w:val="auto"/>
          <w:highlight w:val="none"/>
          <w:lang w:val="en-US" w:eastAsia="zh-CN"/>
        </w:rPr>
        <w:t>环境保护目标与建设项目距离和方位</w:t>
      </w:r>
      <w:bookmarkEnd w:id="141"/>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color w:val="auto"/>
          <w:sz w:val="21"/>
          <w:szCs w:val="21"/>
          <w:lang w:val="en-US" w:eastAsia="zh-CN"/>
        </w:rPr>
        <w:sectPr>
          <w:pgSz w:w="11906" w:h="16838"/>
          <w:pgMar w:top="1417" w:right="1417" w:bottom="1417" w:left="1417" w:header="1020" w:footer="1020" w:gutter="0"/>
          <w:pgBorders w:offsetFrom="page">
            <w:top w:val="none" w:sz="0" w:space="0"/>
            <w:left w:val="none" w:sz="0" w:space="0"/>
            <w:bottom w:val="none" w:sz="0" w:space="0"/>
            <w:right w:val="none" w:sz="0" w:space="0"/>
          </w:pgBorders>
          <w:pgNumType w:fmt="decimal"/>
          <w:cols w:space="425" w:num="1"/>
          <w:docGrid w:type="lines" w:linePitch="312" w:charSpace="0"/>
        </w:sectPr>
      </w:pPr>
      <w:r>
        <w:rPr>
          <w:rFonts w:hint="eastAsia"/>
          <w:b/>
          <w:bCs/>
          <w:color w:val="auto"/>
          <w:sz w:val="21"/>
          <w:szCs w:val="21"/>
          <w:lang w:val="en-US" w:eastAsia="zh-CN"/>
        </w:rPr>
        <w:t>备注：</w:t>
      </w:r>
      <w:r>
        <w:rPr>
          <w:rFonts w:hint="eastAsia"/>
          <w:b/>
          <w:bCs/>
          <w:color w:val="auto"/>
          <w:sz w:val="21"/>
          <w:szCs w:val="21"/>
          <w:lang w:val="en-US" w:eastAsia="zh-CN"/>
        </w:rPr>
        <w:t>以锅炉排气筒DA009（经纬度：26.983285 N，120.199310 E）为坐标原点，正东方向为X轴正方向，正北为Y轴正方向建立二维直角坐标系。</w:t>
      </w:r>
    </w:p>
    <w:p>
      <w:pPr>
        <w:ind w:left="0" w:leftChars="0" w:firstLine="0" w:firstLineChars="0"/>
        <w:jc w:val="center"/>
        <w:rPr>
          <w:rFonts w:hint="default" w:ascii="Times New Roman" w:hAnsi="Times New Roman" w:eastAsia="宋体" w:cs="Times New Roman"/>
          <w:color w:val="auto"/>
          <w:highlight w:val="none"/>
          <w:lang w:eastAsia="zh-CN"/>
        </w:rPr>
      </w:pPr>
    </w:p>
    <w:p>
      <w:pPr>
        <w:pStyle w:val="22"/>
        <w:bidi w:val="0"/>
        <w:ind w:left="0" w:leftChars="0" w:firstLine="0" w:firstLineChars="0"/>
        <w:rPr>
          <w:rFonts w:hint="default" w:ascii="Times New Roman" w:hAnsi="Times New Roman" w:cs="Times New Roman"/>
          <w:color w:val="auto"/>
          <w:highlight w:val="none"/>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highlight w:val="none"/>
        </w:rPr>
        <w:t>环境影响评价范围及保护目标分布</w:t>
      </w:r>
    </w:p>
    <w:p>
      <w:pPr>
        <w:pStyle w:val="2"/>
        <w:bidi w:val="0"/>
        <w:rPr>
          <w:rFonts w:hint="default" w:ascii="Times New Roman" w:hAnsi="Times New Roman" w:cs="Times New Roman"/>
          <w:color w:val="auto"/>
          <w:highlight w:val="none"/>
          <w:lang w:val="en-US" w:eastAsia="zh-CN"/>
        </w:rPr>
      </w:pPr>
      <w:bookmarkStart w:id="142" w:name="_Toc9789"/>
      <w:bookmarkStart w:id="143" w:name="_Toc108"/>
      <w:bookmarkStart w:id="144" w:name="_Toc19011"/>
      <w:bookmarkStart w:id="145" w:name="_Toc23636"/>
      <w:bookmarkStart w:id="146" w:name="_Toc14509"/>
      <w:bookmarkStart w:id="147" w:name="_Toc19928"/>
      <w:bookmarkStart w:id="148" w:name="_Toc30299"/>
      <w:bookmarkStart w:id="149" w:name="_Toc12021"/>
      <w:bookmarkStart w:id="150" w:name="_Toc19682"/>
      <w:r>
        <w:rPr>
          <w:rFonts w:hint="default" w:ascii="Times New Roman" w:hAnsi="Times New Roman" w:cs="Times New Roman"/>
          <w:color w:val="auto"/>
          <w:highlight w:val="none"/>
          <w:lang w:val="en-US" w:eastAsia="zh-CN"/>
        </w:rPr>
        <w:t>现有工程回顾性分析</w:t>
      </w:r>
      <w:bookmarkEnd w:id="142"/>
      <w:bookmarkEnd w:id="143"/>
      <w:bookmarkEnd w:id="144"/>
      <w:bookmarkEnd w:id="145"/>
      <w:bookmarkEnd w:id="146"/>
      <w:bookmarkEnd w:id="147"/>
      <w:bookmarkEnd w:id="148"/>
      <w:bookmarkEnd w:id="149"/>
      <w:bookmarkEnd w:id="150"/>
    </w:p>
    <w:p>
      <w:pPr>
        <w:pStyle w:val="3"/>
        <w:bidi w:val="0"/>
        <w:rPr>
          <w:rFonts w:hint="default" w:ascii="Times New Roman" w:hAnsi="Times New Roman" w:cs="Times New Roman"/>
          <w:color w:val="auto"/>
          <w:highlight w:val="none"/>
          <w:lang w:val="en-US" w:eastAsia="zh-CN"/>
        </w:rPr>
      </w:pPr>
      <w:bookmarkStart w:id="151" w:name="_Toc29597"/>
      <w:bookmarkStart w:id="152" w:name="_Toc12046"/>
      <w:bookmarkStart w:id="153" w:name="_Toc15982"/>
      <w:bookmarkStart w:id="154" w:name="_Toc21247"/>
      <w:r>
        <w:rPr>
          <w:rFonts w:hint="default" w:ascii="Times New Roman" w:hAnsi="Times New Roman" w:cs="Times New Roman"/>
          <w:color w:val="auto"/>
          <w:highlight w:val="none"/>
          <w:lang w:val="en-US" w:eastAsia="zh-CN"/>
        </w:rPr>
        <w:t>现有工程概况</w:t>
      </w:r>
      <w:bookmarkEnd w:id="151"/>
      <w:bookmarkEnd w:id="152"/>
      <w:bookmarkEnd w:id="153"/>
      <w:bookmarkEnd w:id="154"/>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现有工程基本情况</w:t>
      </w:r>
    </w:p>
    <w:p>
      <w:pPr>
        <w:rPr>
          <w:rFonts w:hint="default" w:ascii="Times New Roman" w:hAnsi="Times New Roman" w:cs="Times New Roman"/>
          <w:b w:val="0"/>
          <w:bCs w:val="0"/>
          <w:color w:val="auto"/>
          <w:highlight w:val="none"/>
          <w:lang w:val="en-US" w:eastAsia="zh-CN"/>
        </w:rPr>
      </w:pP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val="en-US" w:eastAsia="zh-CN"/>
        </w:rPr>
        <w:t>年产3万吨的PET再生纤维项目位于福建省宁德市霞浦县牙城镇工业园，主要利用PET瓶片或PET颗粒和涤纶织物下脚料生产高性能涤纶（PET）纤维。项目总用地面积28552.1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，总建筑面积为25141.85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，建设2条高性能涤纶（PET）再生纤维生产线。项目共分2个厂区建设，其中1号厂区</w:t>
      </w:r>
      <w:r>
        <w:rPr>
          <w:rFonts w:hint="eastAsia" w:cs="Times New Roman"/>
          <w:color w:val="auto"/>
          <w:highlight w:val="none"/>
          <w:lang w:val="en-US" w:eastAsia="zh-CN"/>
        </w:rPr>
        <w:t>位于牙城镇工业园39号，</w:t>
      </w:r>
      <w:r>
        <w:rPr>
          <w:rFonts w:hint="default" w:ascii="Times New Roman" w:hAnsi="Times New Roman" w:cs="Times New Roman"/>
          <w:color w:val="auto"/>
          <w:highlight w:val="none"/>
          <w:lang w:val="en-US" w:eastAsia="zh-CN"/>
        </w:rPr>
        <w:t>用地面积18559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（含租赁</w:t>
      </w:r>
      <w:r>
        <w:rPr>
          <w:rFonts w:hint="eastAsia" w:cs="Times New Roman"/>
          <w:color w:val="auto"/>
          <w:highlight w:val="none"/>
          <w:lang w:val="en-US" w:eastAsia="zh-CN"/>
        </w:rPr>
        <w:t>霞浦新奥燃气有限公司</w:t>
      </w:r>
      <w:r>
        <w:rPr>
          <w:rFonts w:hint="default" w:ascii="Times New Roman" w:hAnsi="Times New Roman" w:cs="Times New Roman"/>
          <w:color w:val="auto"/>
          <w:highlight w:val="none"/>
          <w:vertAlign w:val="baseline"/>
          <w:lang w:val="en-US" w:eastAsia="zh-CN"/>
        </w:rPr>
        <w:t>位于福建省霞浦县牙城镇工业园43号</w:t>
      </w:r>
      <w:r>
        <w:rPr>
          <w:rFonts w:hint="eastAsia" w:cs="Times New Roman"/>
          <w:color w:val="auto"/>
          <w:highlight w:val="none"/>
          <w:vertAlign w:val="baseline"/>
          <w:lang w:val="en-US" w:eastAsia="zh-CN"/>
        </w:rPr>
        <w:t>建设的锅炉房</w:t>
      </w:r>
      <w:r>
        <w:rPr>
          <w:rFonts w:hint="default" w:ascii="Times New Roman" w:hAnsi="Times New Roman" w:cs="Times New Roman"/>
          <w:color w:val="auto"/>
          <w:highlight w:val="none"/>
          <w:vertAlign w:val="baseline"/>
          <w:lang w:val="en-US" w:eastAsia="zh-CN"/>
        </w:rPr>
        <w:t>1333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），建筑面积19736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，主要建设1条造粒生产线（</w:t>
      </w:r>
      <w:r>
        <w:rPr>
          <w:rFonts w:hint="eastAsia" w:cs="Times New Roman"/>
          <w:color w:val="auto"/>
          <w:highlight w:val="none"/>
          <w:vertAlign w:val="baseline"/>
          <w:lang w:val="en-US" w:eastAsia="zh-CN"/>
        </w:rPr>
        <w:t>配套</w:t>
      </w:r>
      <w:r>
        <w:rPr>
          <w:rFonts w:hint="default" w:ascii="Times New Roman" w:hAnsi="Times New Roman" w:cs="Times New Roman"/>
          <w:color w:val="auto"/>
          <w:highlight w:val="none"/>
          <w:vertAlign w:val="baseline"/>
          <w:lang w:val="en-US" w:eastAsia="zh-CN"/>
        </w:rPr>
        <w:t>产能为1.</w:t>
      </w:r>
      <w:r>
        <w:rPr>
          <w:rFonts w:hint="eastAsia" w:cs="Times New Roman"/>
          <w:color w:val="auto"/>
          <w:highlight w:val="none"/>
          <w:vertAlign w:val="baseline"/>
          <w:lang w:val="en-US" w:eastAsia="zh-CN"/>
        </w:rPr>
        <w:t>011</w:t>
      </w:r>
      <w:r>
        <w:rPr>
          <w:rFonts w:hint="default" w:ascii="Times New Roman" w:hAnsi="Times New Roman" w:cs="Times New Roman"/>
          <w:color w:val="auto"/>
          <w:highlight w:val="none"/>
          <w:vertAlign w:val="baseline"/>
          <w:lang w:val="en-US" w:eastAsia="zh-CN"/>
        </w:rPr>
        <w:t>万t/a）、2条纺丝生产线（1条产能1.2万t/a，1条产能1.8万t/a）及相关配套设施；2号厂区</w:t>
      </w:r>
      <w:r>
        <w:rPr>
          <w:rFonts w:hint="eastAsia" w:cs="Times New Roman"/>
          <w:color w:val="auto"/>
          <w:highlight w:val="none"/>
          <w:vertAlign w:val="baseline"/>
          <w:lang w:val="en-US" w:eastAsia="zh-CN"/>
        </w:rPr>
        <w:t>位于牙城镇工业园46号，</w:t>
      </w:r>
      <w:r>
        <w:rPr>
          <w:rFonts w:hint="default" w:ascii="Times New Roman" w:hAnsi="Times New Roman" w:cs="Times New Roman"/>
          <w:color w:val="auto"/>
          <w:highlight w:val="none"/>
          <w:vertAlign w:val="baseline"/>
          <w:lang w:val="en-US" w:eastAsia="zh-CN"/>
        </w:rPr>
        <w:t>用地面积9993.1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，建筑面积为5405.85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，主要建设1条造粒生产线（</w:t>
      </w:r>
      <w:r>
        <w:rPr>
          <w:rFonts w:hint="eastAsia" w:cs="Times New Roman"/>
          <w:color w:val="auto"/>
          <w:highlight w:val="none"/>
          <w:vertAlign w:val="baseline"/>
          <w:lang w:val="en-US" w:eastAsia="zh-CN"/>
        </w:rPr>
        <w:t>配套</w:t>
      </w:r>
      <w:r>
        <w:rPr>
          <w:rFonts w:hint="default" w:ascii="Times New Roman" w:hAnsi="Times New Roman" w:cs="Times New Roman"/>
          <w:color w:val="auto"/>
          <w:highlight w:val="none"/>
          <w:vertAlign w:val="baseline"/>
          <w:lang w:val="en-US" w:eastAsia="zh-CN"/>
        </w:rPr>
        <w:t>产能为1.</w:t>
      </w:r>
      <w:r>
        <w:rPr>
          <w:rFonts w:hint="eastAsia" w:cs="Times New Roman"/>
          <w:color w:val="auto"/>
          <w:highlight w:val="none"/>
          <w:vertAlign w:val="baseline"/>
          <w:lang w:val="en-US" w:eastAsia="zh-CN"/>
        </w:rPr>
        <w:t>011</w:t>
      </w:r>
      <w:r>
        <w:rPr>
          <w:rFonts w:hint="default" w:ascii="Times New Roman" w:hAnsi="Times New Roman" w:cs="Times New Roman"/>
          <w:color w:val="auto"/>
          <w:highlight w:val="none"/>
          <w:vertAlign w:val="baseline"/>
          <w:lang w:val="en-US" w:eastAsia="zh-CN"/>
        </w:rPr>
        <w:t>万t/a）。</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项目分两期建设，其中一期工程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年产1.2万</w:t>
      </w:r>
      <w:r>
        <w:rPr>
          <w:rFonts w:hint="default" w:ascii="Times New Roman" w:hAnsi="Times New Roman" w:cs="Times New Roman"/>
          <w:color w:val="auto"/>
          <w:highlight w:val="none"/>
          <w:lang w:val="en-US" w:eastAsia="zh-CN"/>
        </w:rPr>
        <w:t>吨的PET再生纤维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已于2019年7月投入运营</w:t>
      </w:r>
      <w:r>
        <w:rPr>
          <w:rFonts w:hint="default" w:ascii="Times New Roman" w:hAnsi="Times New Roman" w:cs="Times New Roman"/>
          <w:color w:val="auto"/>
          <w:highlight w:val="none"/>
        </w:rPr>
        <w:t>；二期工程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年产1.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万</w:t>
      </w:r>
      <w:r>
        <w:rPr>
          <w:rFonts w:hint="default" w:ascii="Times New Roman" w:hAnsi="Times New Roman" w:cs="Times New Roman"/>
          <w:color w:val="auto"/>
          <w:highlight w:val="none"/>
          <w:lang w:val="en-US" w:eastAsia="zh-CN"/>
        </w:rPr>
        <w:t>吨的PET再生纤维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于2021年9月投入运营。项目总投资为9000万元，其中一期总投资为6000万元，环保投资为150万元；二期总投资为3000万元，环保投资为105万元。</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lang w:val="en-US" w:eastAsia="zh-CN"/>
        </w:rPr>
        <w:t>项目现有工程相关的环保手续履行情况详见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_Ref18970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rPr>
          <w:rFonts w:hint="default" w:ascii="Times New Roman" w:hAnsi="Times New Roman" w:cs="Times New Roman"/>
          <w:color w:val="auto"/>
          <w:highlight w:val="none"/>
          <w:lang w:val="en-US" w:eastAsia="zh-CN"/>
        </w:rPr>
      </w:pPr>
      <w:bookmarkStart w:id="155" w:name="_Ref18970"/>
      <w:r>
        <w:rPr>
          <w:rFonts w:hint="default" w:ascii="Times New Roman" w:hAnsi="Times New Roman" w:cs="Times New Roman"/>
          <w:color w:val="auto"/>
          <w:highlight w:val="none"/>
          <w:lang w:val="en-US" w:eastAsia="zh-CN"/>
        </w:rPr>
        <w:t>现有工程相关的环保手续履行情况一览表</w:t>
      </w:r>
      <w:bookmarkEnd w:id="155"/>
    </w:p>
    <w:tbl>
      <w:tblPr>
        <w:tblStyle w:val="18"/>
        <w:tblW w:w="142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200"/>
        <w:gridCol w:w="1262"/>
        <w:gridCol w:w="1532"/>
        <w:gridCol w:w="5720"/>
        <w:gridCol w:w="36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8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r>
              <w:rPr>
                <w:rFonts w:hint="eastAsia"/>
                <w:color w:val="auto"/>
                <w:szCs w:val="20"/>
                <w:highlight w:val="none"/>
                <w:lang w:val="en-US" w:eastAsia="zh-CN"/>
              </w:rPr>
              <w:t>序号</w:t>
            </w:r>
          </w:p>
        </w:tc>
        <w:tc>
          <w:tcPr>
            <w:tcW w:w="12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项目名称</w:t>
            </w:r>
          </w:p>
        </w:tc>
        <w:tc>
          <w:tcPr>
            <w:tcW w:w="126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建设内容</w:t>
            </w: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环保手续</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进展情况</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r>
              <w:rPr>
                <w:rFonts w:hint="eastAsia"/>
                <w:color w:val="auto"/>
                <w:szCs w:val="20"/>
                <w:highlight w:val="none"/>
                <w:lang w:val="en-US" w:eastAsia="zh-CN"/>
              </w:rPr>
              <w:t>文件/审批文号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val="en-US" w:eastAsia="zh-CN"/>
              </w:rPr>
            </w:pPr>
            <w:r>
              <w:rPr>
                <w:rFonts w:hint="eastAsia"/>
                <w:color w:val="auto"/>
                <w:szCs w:val="20"/>
                <w:highlight w:val="none"/>
                <w:lang w:val="en-US" w:eastAsia="zh-CN"/>
              </w:rPr>
              <w:t>1</w:t>
            </w:r>
          </w:p>
        </w:tc>
        <w:tc>
          <w:tcPr>
            <w:tcW w:w="120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r>
              <w:rPr>
                <w:rFonts w:hint="default" w:ascii="Times New Roman" w:hAnsi="Times New Roman" w:cs="Times New Roman"/>
                <w:color w:val="auto"/>
                <w:szCs w:val="20"/>
                <w:highlight w:val="none"/>
              </w:rPr>
              <w:t>福建闽宏纤维有限公司年产3万吨的PET再生纤维项目</w:t>
            </w:r>
          </w:p>
        </w:tc>
        <w:tc>
          <w:tcPr>
            <w:tcW w:w="126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eastAsia="zh-CN"/>
              </w:rPr>
            </w:pPr>
            <w:r>
              <w:rPr>
                <w:rFonts w:hint="default" w:ascii="Times New Roman" w:hAnsi="Times New Roman" w:cs="Times New Roman"/>
                <w:color w:val="auto"/>
                <w:szCs w:val="20"/>
                <w:highlight w:val="none"/>
              </w:rPr>
              <w:t>年产3万吨的PET再生纤维</w:t>
            </w:r>
            <w:r>
              <w:rPr>
                <w:rFonts w:hint="eastAsia" w:cs="Times New Roman"/>
                <w:color w:val="auto"/>
                <w:szCs w:val="20"/>
                <w:highlight w:val="none"/>
                <w:lang w:eastAsia="zh-CN"/>
              </w:rPr>
              <w:t>（</w:t>
            </w:r>
            <w:r>
              <w:rPr>
                <w:rFonts w:hint="eastAsia"/>
                <w:color w:val="auto"/>
                <w:szCs w:val="20"/>
                <w:lang w:val="en-US" w:eastAsia="zh-CN"/>
              </w:rPr>
              <w:t>一期</w:t>
            </w:r>
            <w:r>
              <w:rPr>
                <w:rFonts w:hint="default" w:ascii="Times New Roman" w:hAnsi="Times New Roman" w:cs="Times New Roman"/>
                <w:color w:val="auto"/>
                <w:szCs w:val="20"/>
                <w:highlight w:val="none"/>
              </w:rPr>
              <w:t>年产1.2万</w:t>
            </w:r>
            <w:r>
              <w:rPr>
                <w:rFonts w:hint="default" w:ascii="Times New Roman" w:hAnsi="Times New Roman" w:cs="Times New Roman"/>
                <w:color w:val="auto"/>
                <w:szCs w:val="20"/>
                <w:highlight w:val="none"/>
                <w:lang w:val="en-US" w:eastAsia="zh-CN"/>
              </w:rPr>
              <w:t>吨的PET再生纤维</w:t>
            </w:r>
            <w:r>
              <w:rPr>
                <w:rFonts w:hint="eastAsia" w:cs="Times New Roman"/>
                <w:color w:val="auto"/>
                <w:szCs w:val="20"/>
                <w:highlight w:val="none"/>
                <w:lang w:val="en-US" w:eastAsia="zh-CN"/>
              </w:rPr>
              <w:t>，二期</w:t>
            </w:r>
            <w:r>
              <w:rPr>
                <w:rFonts w:hint="default" w:ascii="Times New Roman" w:hAnsi="Times New Roman" w:cs="Times New Roman"/>
                <w:color w:val="auto"/>
                <w:szCs w:val="20"/>
                <w:highlight w:val="none"/>
              </w:rPr>
              <w:t>年产1.</w:t>
            </w:r>
            <w:r>
              <w:rPr>
                <w:rFonts w:hint="default" w:ascii="Times New Roman" w:hAnsi="Times New Roman" w:cs="Times New Roman"/>
                <w:color w:val="auto"/>
                <w:szCs w:val="20"/>
                <w:highlight w:val="none"/>
                <w:lang w:val="en-US" w:eastAsia="zh-CN"/>
              </w:rPr>
              <w:t>8</w:t>
            </w:r>
            <w:r>
              <w:rPr>
                <w:rFonts w:hint="default" w:ascii="Times New Roman" w:hAnsi="Times New Roman" w:cs="Times New Roman"/>
                <w:color w:val="auto"/>
                <w:szCs w:val="20"/>
                <w:highlight w:val="none"/>
              </w:rPr>
              <w:t>万</w:t>
            </w:r>
            <w:r>
              <w:rPr>
                <w:rFonts w:hint="default" w:ascii="Times New Roman" w:hAnsi="Times New Roman" w:cs="Times New Roman"/>
                <w:color w:val="auto"/>
                <w:szCs w:val="20"/>
                <w:highlight w:val="none"/>
                <w:lang w:val="en-US" w:eastAsia="zh-CN"/>
              </w:rPr>
              <w:t>吨的PET再生纤维</w:t>
            </w:r>
            <w:r>
              <w:rPr>
                <w:rFonts w:hint="eastAsia" w:cs="Times New Roman"/>
                <w:color w:val="auto"/>
                <w:szCs w:val="20"/>
                <w:highlight w:val="none"/>
                <w:lang w:eastAsia="zh-CN"/>
              </w:rPr>
              <w:t>）</w:t>
            </w: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环评报告书</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color w:val="auto"/>
                <w:szCs w:val="20"/>
                <w:highlight w:val="none"/>
                <w:lang w:val="en-US" w:eastAsia="zh-CN"/>
              </w:rPr>
              <w:t>2016年10月</w:t>
            </w:r>
            <w:r>
              <w:rPr>
                <w:rFonts w:hint="eastAsia" w:ascii="Times New Roman" w:hAnsi="Times New Roman" w:cs="Times New Roman"/>
                <w:color w:val="auto"/>
                <w:szCs w:val="20"/>
                <w:highlight w:val="none"/>
                <w:lang w:val="en-US" w:eastAsia="zh-CN"/>
              </w:rPr>
              <w:t>委托</w:t>
            </w:r>
            <w:r>
              <w:rPr>
                <w:rFonts w:hint="default" w:ascii="Times New Roman" w:hAnsi="Times New Roman" w:cs="Times New Roman"/>
                <w:color w:val="auto"/>
                <w:szCs w:val="20"/>
                <w:highlight w:val="none"/>
              </w:rPr>
              <w:t>北京中环瑞德环境工程技术有限公司编制</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val="en-US" w:eastAsia="zh-CN"/>
              </w:rPr>
            </w:pPr>
            <w:r>
              <w:rPr>
                <w:rFonts w:hint="default" w:ascii="Times New Roman" w:hAnsi="Times New Roman" w:cs="Times New Roman"/>
                <w:color w:val="auto"/>
                <w:szCs w:val="20"/>
                <w:highlight w:val="none"/>
              </w:rPr>
              <w:t>《福建闽宏纤维有限公司年产3万吨的PET再生纤维项目环境影响报告书》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环评批复</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rPr>
            </w:pPr>
            <w:r>
              <w:rPr>
                <w:rFonts w:hint="eastAsia"/>
                <w:color w:val="auto"/>
                <w:szCs w:val="20"/>
                <w:highlight w:val="none"/>
                <w:lang w:val="en-US" w:eastAsia="zh-CN"/>
              </w:rPr>
              <w:t>于</w:t>
            </w:r>
            <w:r>
              <w:rPr>
                <w:rFonts w:hint="default" w:ascii="Times New Roman" w:hAnsi="Times New Roman" w:cs="Times New Roman"/>
                <w:color w:val="auto"/>
                <w:szCs w:val="20"/>
                <w:highlight w:val="none"/>
                <w:lang w:val="en-US" w:eastAsia="zh-CN"/>
              </w:rPr>
              <w:t>2016年10月31日</w:t>
            </w:r>
            <w:r>
              <w:rPr>
                <w:rFonts w:hint="eastAsia" w:ascii="Times New Roman" w:hAnsi="Times New Roman" w:cs="Times New Roman"/>
                <w:color w:val="auto"/>
                <w:szCs w:val="20"/>
                <w:highlight w:val="none"/>
                <w:lang w:val="en-US" w:eastAsia="zh-CN"/>
              </w:rPr>
              <w:t>通过</w:t>
            </w:r>
            <w:r>
              <w:rPr>
                <w:rFonts w:hint="default" w:ascii="Times New Roman" w:hAnsi="Times New Roman" w:cs="Times New Roman"/>
                <w:color w:val="auto"/>
                <w:szCs w:val="20"/>
                <w:highlight w:val="none"/>
              </w:rPr>
              <w:t>霞浦县环境保护局</w:t>
            </w:r>
            <w:r>
              <w:rPr>
                <w:rFonts w:hint="default" w:ascii="Times New Roman" w:hAnsi="Times New Roman" w:cs="Times New Roman"/>
                <w:color w:val="auto"/>
                <w:szCs w:val="20"/>
                <w:highlight w:val="none"/>
                <w:lang w:val="en-US" w:eastAsia="zh-CN"/>
              </w:rPr>
              <w:t>审批</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r>
              <w:rPr>
                <w:rFonts w:hint="default" w:ascii="Times New Roman" w:hAnsi="Times New Roman" w:cs="Times New Roman"/>
                <w:color w:val="auto"/>
                <w:szCs w:val="20"/>
                <w:highlight w:val="none"/>
              </w:rPr>
              <w:t>霞环保</w:t>
            </w:r>
            <w:r>
              <w:rPr>
                <w:rFonts w:hint="default" w:ascii="Times New Roman" w:hAnsi="Times New Roman" w:cs="Times New Roman"/>
                <w:color w:val="auto"/>
                <w:szCs w:val="20"/>
                <w:highlight w:val="none"/>
                <w:lang w:val="en-US" w:eastAsia="zh-CN"/>
              </w:rPr>
              <w:t>监〔</w:t>
            </w:r>
            <w:r>
              <w:rPr>
                <w:rFonts w:hint="default" w:ascii="Times New Roman" w:hAnsi="Times New Roman" w:cs="Times New Roman"/>
                <w:color w:val="auto"/>
                <w:szCs w:val="20"/>
                <w:highlight w:val="none"/>
              </w:rPr>
              <w:t>2016</w:t>
            </w:r>
            <w:r>
              <w:rPr>
                <w:rFonts w:hint="default"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rPr>
              <w:t>2</w:t>
            </w:r>
            <w:r>
              <w:rPr>
                <w:rFonts w:hint="default" w:ascii="Times New Roman" w:hAnsi="Times New Roman" w:cs="Times New Roman"/>
                <w:b w:val="0"/>
                <w:bCs w:val="0"/>
                <w:color w:val="auto"/>
                <w:szCs w:val="20"/>
                <w:highlight w:val="none"/>
              </w:rPr>
              <w:t>1号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重新环评</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因</w:t>
            </w:r>
            <w:r>
              <w:rPr>
                <w:rFonts w:hint="default" w:ascii="Times New Roman" w:hAnsi="Times New Roman" w:cs="Times New Roman"/>
                <w:b w:val="0"/>
                <w:bCs w:val="0"/>
                <w:color w:val="auto"/>
                <w:szCs w:val="20"/>
                <w:highlight w:val="none"/>
                <w:lang w:val="en-US" w:eastAsia="zh-CN"/>
              </w:rPr>
              <w:t>项目</w:t>
            </w:r>
            <w:r>
              <w:rPr>
                <w:rFonts w:hint="default" w:ascii="Times New Roman" w:hAnsi="Times New Roman" w:cs="Times New Roman"/>
                <w:b w:val="0"/>
                <w:bCs w:val="0"/>
                <w:color w:val="auto"/>
                <w:szCs w:val="20"/>
                <w:highlight w:val="none"/>
              </w:rPr>
              <w:t>生产设备工序、生产工艺和总平</w:t>
            </w:r>
            <w:r>
              <w:rPr>
                <w:rFonts w:hint="default" w:ascii="Times New Roman" w:hAnsi="Times New Roman" w:cs="Times New Roman"/>
                <w:b w:val="0"/>
                <w:bCs w:val="0"/>
                <w:color w:val="auto"/>
                <w:szCs w:val="20"/>
                <w:highlight w:val="none"/>
                <w:lang w:val="en-US" w:eastAsia="zh-CN"/>
              </w:rPr>
              <w:t>面布置图</w:t>
            </w:r>
            <w:r>
              <w:rPr>
                <w:rFonts w:hint="default" w:ascii="Times New Roman" w:hAnsi="Times New Roman" w:cs="Times New Roman"/>
                <w:b w:val="0"/>
                <w:bCs w:val="0"/>
                <w:color w:val="auto"/>
                <w:szCs w:val="20"/>
                <w:highlight w:val="none"/>
              </w:rPr>
              <w:t>发生变更</w:t>
            </w:r>
            <w:r>
              <w:rPr>
                <w:rFonts w:hint="eastAsia" w:ascii="Times New Roman" w:hAnsi="Times New Roman" w:cs="Times New Roman"/>
                <w:b w:val="0"/>
                <w:bCs w:val="0"/>
                <w:color w:val="auto"/>
                <w:szCs w:val="20"/>
                <w:highlight w:val="none"/>
                <w:lang w:eastAsia="zh-CN"/>
              </w:rPr>
              <w:t>，</w:t>
            </w:r>
            <w:r>
              <w:rPr>
                <w:rFonts w:hint="eastAsia" w:ascii="Times New Roman" w:hAnsi="Times New Roman" w:cs="Times New Roman"/>
                <w:b w:val="0"/>
                <w:bCs w:val="0"/>
                <w:color w:val="auto"/>
                <w:szCs w:val="20"/>
                <w:highlight w:val="none"/>
                <w:lang w:val="en-US" w:eastAsia="zh-CN"/>
              </w:rPr>
              <w:t>于</w:t>
            </w:r>
            <w:r>
              <w:rPr>
                <w:rFonts w:hint="default" w:ascii="Times New Roman" w:hAnsi="Times New Roman" w:cs="Times New Roman"/>
                <w:color w:val="auto"/>
                <w:szCs w:val="20"/>
                <w:highlight w:val="none"/>
                <w:lang w:val="en-US" w:eastAsia="zh-CN"/>
              </w:rPr>
              <w:t>2018年1月22日</w:t>
            </w:r>
            <w:r>
              <w:rPr>
                <w:rFonts w:hint="eastAsia" w:ascii="Times New Roman" w:hAnsi="Times New Roman" w:cs="Times New Roman"/>
                <w:color w:val="auto"/>
                <w:szCs w:val="20"/>
                <w:highlight w:val="none"/>
                <w:lang w:val="en-US" w:eastAsia="zh-CN"/>
              </w:rPr>
              <w:t>委托</w:t>
            </w:r>
            <w:r>
              <w:rPr>
                <w:rFonts w:hint="default" w:ascii="Times New Roman" w:hAnsi="Times New Roman" w:cs="Times New Roman"/>
                <w:b w:val="0"/>
                <w:bCs w:val="0"/>
                <w:color w:val="auto"/>
                <w:szCs w:val="20"/>
                <w:highlight w:val="none"/>
              </w:rPr>
              <w:t>福建省环境保护</w:t>
            </w:r>
            <w:r>
              <w:rPr>
                <w:rFonts w:hint="default" w:ascii="Times New Roman" w:hAnsi="Times New Roman" w:cs="Times New Roman"/>
                <w:b w:val="0"/>
                <w:bCs w:val="0"/>
                <w:color w:val="auto"/>
                <w:szCs w:val="20"/>
                <w:highlight w:val="none"/>
                <w:lang w:val="en-US" w:eastAsia="zh-CN"/>
              </w:rPr>
              <w:t>股份</w:t>
            </w:r>
            <w:r>
              <w:rPr>
                <w:rFonts w:hint="default" w:ascii="Times New Roman" w:hAnsi="Times New Roman" w:cs="Times New Roman"/>
                <w:b w:val="0"/>
                <w:bCs w:val="0"/>
                <w:color w:val="auto"/>
                <w:szCs w:val="20"/>
                <w:highlight w:val="none"/>
              </w:rPr>
              <w:t>公司编制</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val="en-US" w:eastAsia="zh-CN"/>
              </w:rPr>
            </w:pPr>
            <w:r>
              <w:rPr>
                <w:rFonts w:hint="default" w:ascii="Times New Roman" w:hAnsi="Times New Roman" w:cs="Times New Roman"/>
                <w:b w:val="0"/>
                <w:bCs w:val="0"/>
                <w:color w:val="auto"/>
                <w:szCs w:val="20"/>
                <w:highlight w:val="none"/>
              </w:rPr>
              <w:t>《年产3万吨的PET再生纤维项目环境影响报告书》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重新环评批复</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b w:val="0"/>
                <w:bCs w:val="0"/>
                <w:color w:val="auto"/>
                <w:szCs w:val="20"/>
                <w:highlight w:val="none"/>
              </w:rPr>
              <w:t>2019年2月14日</w:t>
            </w:r>
            <w:r>
              <w:rPr>
                <w:rFonts w:hint="eastAsia" w:ascii="Times New Roman" w:hAnsi="Times New Roman" w:cs="Times New Roman"/>
                <w:b w:val="0"/>
                <w:bCs w:val="0"/>
                <w:color w:val="auto"/>
                <w:szCs w:val="20"/>
                <w:highlight w:val="none"/>
                <w:lang w:val="en-US" w:eastAsia="zh-CN"/>
              </w:rPr>
              <w:t>通过</w:t>
            </w:r>
            <w:r>
              <w:rPr>
                <w:rFonts w:hint="default" w:ascii="Times New Roman" w:hAnsi="Times New Roman" w:cs="Times New Roman"/>
                <w:color w:val="auto"/>
                <w:szCs w:val="20"/>
                <w:highlight w:val="none"/>
              </w:rPr>
              <w:t>霞浦县环境保护局</w:t>
            </w:r>
            <w:r>
              <w:rPr>
                <w:rFonts w:hint="default" w:ascii="Times New Roman" w:hAnsi="Times New Roman" w:cs="Times New Roman"/>
                <w:color w:val="auto"/>
                <w:szCs w:val="20"/>
                <w:highlight w:val="none"/>
                <w:lang w:val="en-US" w:eastAsia="zh-CN"/>
              </w:rPr>
              <w:t>审批</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r>
              <w:rPr>
                <w:rFonts w:hint="default" w:ascii="Times New Roman" w:hAnsi="Times New Roman" w:cs="Times New Roman"/>
                <w:b w:val="0"/>
                <w:bCs w:val="0"/>
                <w:color w:val="auto"/>
                <w:szCs w:val="20"/>
                <w:highlight w:val="none"/>
              </w:rPr>
              <w:t>霞环保审</w:t>
            </w:r>
            <w:r>
              <w:rPr>
                <w:rFonts w:hint="default"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rPr>
              <w:t>201</w:t>
            </w:r>
            <w:r>
              <w:rPr>
                <w:rFonts w:hint="default" w:ascii="Times New Roman" w:hAnsi="Times New Roman" w:cs="Times New Roman"/>
                <w:color w:val="auto"/>
                <w:szCs w:val="20"/>
                <w:highlight w:val="none"/>
                <w:lang w:val="en-US" w:eastAsia="zh-CN"/>
              </w:rPr>
              <w:t>9〕</w:t>
            </w:r>
            <w:r>
              <w:rPr>
                <w:rFonts w:hint="default" w:ascii="Times New Roman" w:hAnsi="Times New Roman" w:cs="Times New Roman"/>
                <w:b w:val="0"/>
                <w:bCs w:val="0"/>
                <w:color w:val="auto"/>
                <w:szCs w:val="20"/>
                <w:highlight w:val="none"/>
              </w:rPr>
              <w:t>6号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r>
              <w:rPr>
                <w:rFonts w:hint="eastAsia"/>
                <w:color w:val="auto"/>
                <w:szCs w:val="20"/>
                <w:highlight w:val="none"/>
                <w:lang w:val="en-US" w:eastAsia="zh-CN"/>
              </w:rPr>
              <w:t>竣工验收</w:t>
            </w:r>
          </w:p>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（一期工程）</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b w:val="0"/>
                <w:bCs w:val="0"/>
                <w:color w:val="auto"/>
                <w:szCs w:val="20"/>
                <w:highlight w:val="none"/>
              </w:rPr>
              <w:t>2019年</w:t>
            </w:r>
            <w:r>
              <w:rPr>
                <w:rFonts w:hint="default" w:ascii="Times New Roman" w:hAnsi="Times New Roman" w:cs="Times New Roman"/>
                <w:b w:val="0"/>
                <w:bCs w:val="0"/>
                <w:color w:val="auto"/>
                <w:szCs w:val="20"/>
                <w:highlight w:val="none"/>
                <w:lang w:val="en-US" w:eastAsia="zh-CN"/>
              </w:rPr>
              <w:t>7</w:t>
            </w:r>
            <w:r>
              <w:rPr>
                <w:rFonts w:hint="default" w:ascii="Times New Roman" w:hAnsi="Times New Roman" w:cs="Times New Roman"/>
                <w:b w:val="0"/>
                <w:bCs w:val="0"/>
                <w:color w:val="auto"/>
                <w:szCs w:val="20"/>
                <w:highlight w:val="none"/>
              </w:rPr>
              <w:t>月</w:t>
            </w:r>
            <w:r>
              <w:rPr>
                <w:rFonts w:hint="eastAsia" w:ascii="Times New Roman" w:hAnsi="Times New Roman" w:cs="Times New Roman"/>
                <w:b w:val="0"/>
                <w:bCs w:val="0"/>
                <w:color w:val="auto"/>
                <w:szCs w:val="20"/>
                <w:highlight w:val="none"/>
                <w:lang w:val="en-US" w:eastAsia="zh-CN"/>
              </w:rPr>
              <w:t>完成了自主验收</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val="en-US" w:eastAsia="zh-CN"/>
              </w:rPr>
            </w:pPr>
            <w:r>
              <w:rPr>
                <w:rFonts w:hint="default" w:ascii="Times New Roman" w:hAnsi="Times New Roman" w:cs="Times New Roman"/>
                <w:color w:val="auto"/>
                <w:szCs w:val="20"/>
                <w:highlight w:val="none"/>
                <w:lang w:val="en-US" w:eastAsia="zh-CN"/>
              </w:rPr>
              <w:t>《福建闽宏纤维有限公司年产3万吨的PET再生纤维（一期工程）项目竣工环境保护验收监测报告》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排污许可证</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color w:val="auto"/>
                <w:szCs w:val="20"/>
                <w:highlight w:val="none"/>
                <w:lang w:val="en-US" w:eastAsia="zh-CN"/>
              </w:rPr>
              <w:t>2020年7月31日</w:t>
            </w:r>
            <w:r>
              <w:rPr>
                <w:rFonts w:hint="eastAsia" w:ascii="Times New Roman" w:hAnsi="Times New Roman" w:cs="Times New Roman"/>
                <w:color w:val="auto"/>
                <w:szCs w:val="20"/>
                <w:highlight w:val="none"/>
                <w:lang w:val="en-US" w:eastAsia="zh-CN"/>
              </w:rPr>
              <w:t>由</w:t>
            </w:r>
            <w:r>
              <w:rPr>
                <w:rFonts w:hint="default" w:ascii="Times New Roman" w:hAnsi="Times New Roman" w:cs="Times New Roman"/>
                <w:color w:val="auto"/>
                <w:szCs w:val="20"/>
                <w:highlight w:val="none"/>
                <w:lang w:val="en-US" w:eastAsia="zh-CN"/>
              </w:rPr>
              <w:t>宁德市霞浦生态环境局发证</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r>
              <w:rPr>
                <w:rFonts w:hint="default" w:ascii="Times New Roman" w:hAnsi="Times New Roman" w:cs="Times New Roman"/>
                <w:color w:val="auto"/>
                <w:szCs w:val="20"/>
                <w:highlight w:val="none"/>
                <w:lang w:val="en-US" w:eastAsia="zh-CN"/>
              </w:rPr>
              <w:t>证书编号：</w:t>
            </w:r>
            <w:r>
              <w:rPr>
                <w:rFonts w:hint="default" w:ascii="Times New Roman" w:hAnsi="Times New Roman" w:cs="Times New Roman"/>
                <w:b w:val="0"/>
                <w:bCs w:val="0"/>
                <w:color w:val="auto"/>
                <w:szCs w:val="20"/>
                <w:highlight w:val="none"/>
                <w:lang w:val="en-US" w:eastAsia="zh-CN"/>
              </w:rPr>
              <w:t>91350921315497189P001V</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r>
              <w:rPr>
                <w:rFonts w:hint="eastAsia"/>
                <w:color w:val="auto"/>
                <w:szCs w:val="20"/>
                <w:highlight w:val="none"/>
                <w:lang w:val="en-US" w:eastAsia="zh-CN"/>
              </w:rPr>
              <w:t>竣工验收</w:t>
            </w:r>
          </w:p>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r>
              <w:rPr>
                <w:rFonts w:hint="eastAsia"/>
                <w:color w:val="auto"/>
                <w:szCs w:val="20"/>
                <w:highlight w:val="none"/>
                <w:lang w:val="en-US" w:eastAsia="zh-CN"/>
              </w:rPr>
              <w:t>（二期工程）</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b w:val="0"/>
                <w:bCs w:val="0"/>
                <w:color w:val="auto"/>
                <w:szCs w:val="20"/>
                <w:highlight w:val="none"/>
              </w:rPr>
              <w:t>20</w:t>
            </w:r>
            <w:r>
              <w:rPr>
                <w:rFonts w:hint="default" w:ascii="Times New Roman" w:hAnsi="Times New Roman" w:cs="Times New Roman"/>
                <w:b w:val="0"/>
                <w:bCs w:val="0"/>
                <w:color w:val="auto"/>
                <w:szCs w:val="20"/>
                <w:highlight w:val="none"/>
                <w:lang w:val="en-US" w:eastAsia="zh-CN"/>
              </w:rPr>
              <w:t>21</w:t>
            </w:r>
            <w:r>
              <w:rPr>
                <w:rFonts w:hint="default" w:ascii="Times New Roman" w:hAnsi="Times New Roman" w:cs="Times New Roman"/>
                <w:b w:val="0"/>
                <w:bCs w:val="0"/>
                <w:color w:val="auto"/>
                <w:szCs w:val="20"/>
                <w:highlight w:val="none"/>
              </w:rPr>
              <w:t>年</w:t>
            </w:r>
            <w:r>
              <w:rPr>
                <w:rFonts w:hint="default" w:ascii="Times New Roman" w:hAnsi="Times New Roman" w:cs="Times New Roman"/>
                <w:b w:val="0"/>
                <w:bCs w:val="0"/>
                <w:color w:val="auto"/>
                <w:szCs w:val="20"/>
                <w:highlight w:val="none"/>
                <w:lang w:val="en-US" w:eastAsia="zh-CN"/>
              </w:rPr>
              <w:t>9</w:t>
            </w:r>
            <w:r>
              <w:rPr>
                <w:rFonts w:hint="default" w:ascii="Times New Roman" w:hAnsi="Times New Roman" w:cs="Times New Roman"/>
                <w:b w:val="0"/>
                <w:bCs w:val="0"/>
                <w:color w:val="auto"/>
                <w:szCs w:val="20"/>
                <w:highlight w:val="none"/>
              </w:rPr>
              <w:t>月</w:t>
            </w:r>
            <w:r>
              <w:rPr>
                <w:rFonts w:hint="eastAsia" w:ascii="Times New Roman" w:hAnsi="Times New Roman" w:cs="Times New Roman"/>
                <w:b w:val="0"/>
                <w:bCs w:val="0"/>
                <w:color w:val="auto"/>
                <w:szCs w:val="20"/>
                <w:highlight w:val="none"/>
                <w:lang w:val="en-US" w:eastAsia="zh-CN"/>
              </w:rPr>
              <w:t>完成了自主验收</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《福建闽宏纤维有限公司年产3万吨的PET再生纤维（二期工程）项目竣工环境保护验收监测报告》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eastAsia" w:eastAsia="宋体"/>
                <w:color w:val="auto"/>
                <w:szCs w:val="20"/>
                <w:highlight w:val="none"/>
                <w:lang w:val="en-US" w:eastAsia="zh-CN"/>
              </w:rPr>
            </w:pPr>
            <w:r>
              <w:rPr>
                <w:rFonts w:hint="eastAsia"/>
                <w:color w:val="auto"/>
                <w:szCs w:val="20"/>
                <w:highlight w:val="none"/>
                <w:lang w:val="en-US" w:eastAsia="zh-CN"/>
              </w:rPr>
              <w:t>2</w:t>
            </w:r>
          </w:p>
        </w:tc>
        <w:tc>
          <w:tcPr>
            <w:tcW w:w="120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r>
              <w:rPr>
                <w:rFonts w:hint="default" w:ascii="Times New Roman" w:hAnsi="Times New Roman" w:cs="Times New Roman"/>
                <w:color w:val="auto"/>
                <w:szCs w:val="20"/>
                <w:highlight w:val="none"/>
                <w:lang w:val="en-US" w:eastAsia="zh-CN"/>
              </w:rPr>
              <w:t>闽宏年产3万吨PET再生纤维技改项目</w:t>
            </w:r>
          </w:p>
        </w:tc>
        <w:tc>
          <w:tcPr>
            <w:tcW w:w="126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eastAsia="宋体"/>
                <w:color w:val="auto"/>
                <w:szCs w:val="20"/>
                <w:highlight w:val="none"/>
                <w:lang w:val="en-US" w:eastAsia="zh-CN"/>
              </w:rPr>
            </w:pPr>
            <w:r>
              <w:rPr>
                <w:rFonts w:hint="eastAsia"/>
                <w:color w:val="auto"/>
                <w:szCs w:val="20"/>
                <w:highlight w:val="none"/>
                <w:lang w:val="en-US" w:eastAsia="zh-CN"/>
              </w:rPr>
              <w:t>新增1台6 t/h的天然气锅炉，用于二期工程生产线</w:t>
            </w: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锅炉技改环评报告表</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b w:val="0"/>
                <w:bCs w:val="0"/>
                <w:color w:val="auto"/>
                <w:szCs w:val="20"/>
                <w:highlight w:val="none"/>
                <w:lang w:val="en-US" w:eastAsia="zh-CN"/>
              </w:rPr>
              <w:t>2021年6月</w:t>
            </w:r>
            <w:r>
              <w:rPr>
                <w:rFonts w:hint="eastAsia" w:ascii="Times New Roman" w:hAnsi="Times New Roman" w:cs="Times New Roman"/>
                <w:b w:val="0"/>
                <w:bCs w:val="0"/>
                <w:color w:val="auto"/>
                <w:szCs w:val="20"/>
                <w:highlight w:val="none"/>
                <w:lang w:val="en-US" w:eastAsia="zh-CN"/>
              </w:rPr>
              <w:t>委托</w:t>
            </w:r>
            <w:r>
              <w:rPr>
                <w:rFonts w:hint="default" w:ascii="Times New Roman" w:hAnsi="Times New Roman" w:cs="Times New Roman"/>
                <w:b w:val="0"/>
                <w:bCs w:val="0"/>
                <w:color w:val="auto"/>
                <w:szCs w:val="20"/>
                <w:highlight w:val="none"/>
                <w:lang w:val="en-US" w:eastAsia="zh-CN"/>
              </w:rPr>
              <w:t>福建省闽创环保科技有限公司编制</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《闽宏年产3万吨PET再生纤维技改项目环境影响报告表》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0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26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rPr>
            </w:pPr>
          </w:p>
        </w:tc>
        <w:tc>
          <w:tcPr>
            <w:tcW w:w="153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环评批复</w:t>
            </w:r>
          </w:p>
        </w:tc>
        <w:tc>
          <w:tcPr>
            <w:tcW w:w="57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于</w:t>
            </w:r>
            <w:r>
              <w:rPr>
                <w:rFonts w:hint="default" w:ascii="Times New Roman" w:hAnsi="Times New Roman" w:cs="Times New Roman"/>
                <w:b w:val="0"/>
                <w:bCs w:val="0"/>
                <w:color w:val="auto"/>
                <w:szCs w:val="20"/>
                <w:highlight w:val="none"/>
                <w:lang w:val="en-US" w:eastAsia="zh-CN"/>
              </w:rPr>
              <w:t>2021年7月2日</w:t>
            </w:r>
            <w:r>
              <w:rPr>
                <w:rFonts w:hint="eastAsia" w:ascii="Times New Roman" w:hAnsi="Times New Roman" w:cs="Times New Roman"/>
                <w:b w:val="0"/>
                <w:bCs w:val="0"/>
                <w:color w:val="auto"/>
                <w:szCs w:val="20"/>
                <w:highlight w:val="none"/>
                <w:lang w:val="en-US" w:eastAsia="zh-CN"/>
              </w:rPr>
              <w:t>通过了</w:t>
            </w:r>
            <w:r>
              <w:rPr>
                <w:rFonts w:hint="default" w:ascii="Times New Roman" w:hAnsi="Times New Roman" w:cs="Times New Roman"/>
                <w:color w:val="auto"/>
                <w:szCs w:val="20"/>
                <w:highlight w:val="none"/>
                <w:lang w:val="en-US" w:eastAsia="zh-CN"/>
              </w:rPr>
              <w:t>宁德市霞浦生态环境局审批</w:t>
            </w:r>
          </w:p>
        </w:tc>
        <w:tc>
          <w:tcPr>
            <w:tcW w:w="36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霞环保审〔</w:t>
            </w:r>
            <w:r>
              <w:rPr>
                <w:rFonts w:hint="default" w:ascii="Times New Roman" w:hAnsi="Times New Roman" w:cs="Times New Roman"/>
                <w:color w:val="auto"/>
                <w:szCs w:val="20"/>
                <w:highlight w:val="none"/>
              </w:rPr>
              <w:t>20</w:t>
            </w:r>
            <w:r>
              <w:rPr>
                <w:rFonts w:hint="default" w:ascii="Times New Roman" w:hAnsi="Times New Roman" w:cs="Times New Roman"/>
                <w:color w:val="auto"/>
                <w:szCs w:val="20"/>
                <w:highlight w:val="none"/>
                <w:lang w:val="en-US" w:eastAsia="zh-CN"/>
              </w:rPr>
              <w:t>21〕</w:t>
            </w:r>
            <w:r>
              <w:rPr>
                <w:rFonts w:hint="default" w:ascii="Times New Roman" w:hAnsi="Times New Roman" w:cs="Times New Roman"/>
                <w:b w:val="0"/>
                <w:bCs w:val="0"/>
                <w:color w:val="auto"/>
                <w:szCs w:val="20"/>
                <w:highlight w:val="none"/>
                <w:lang w:val="en-US" w:eastAsia="zh-CN"/>
              </w:rPr>
              <w:t>33</w:t>
            </w:r>
            <w:r>
              <w:rPr>
                <w:rFonts w:hint="default" w:ascii="Times New Roman" w:hAnsi="Times New Roman" w:cs="Times New Roman"/>
                <w:b w:val="0"/>
                <w:bCs w:val="0"/>
                <w:color w:val="auto"/>
                <w:szCs w:val="20"/>
                <w:highlight w:val="none"/>
              </w:rPr>
              <w:t>号</w:t>
            </w:r>
          </w:p>
        </w:tc>
      </w:tr>
    </w:tbl>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基本信息</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（1）项目名称：年产3万吨的PET再生纤维项目；</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（2）建设单位：福建闽宏纤维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（3）建设地点：福建省宁德市霞浦县牙城镇工业园（</w:t>
      </w:r>
      <w:r>
        <w:rPr>
          <w:rFonts w:hint="eastAsia" w:cs="Times New Roman"/>
          <w:color w:val="auto"/>
          <w:highlight w:val="none"/>
          <w:lang w:val="en-US" w:eastAsia="zh-CN"/>
        </w:rPr>
        <w:t>1号厂区位于牙城镇工业园39号，2号厂区位于牙城镇工业园46号，</w:t>
      </w:r>
      <w:r>
        <w:rPr>
          <w:rFonts w:hint="eastAsia" w:cs="Times New Roman"/>
          <w:color w:val="auto"/>
          <w:highlight w:val="none"/>
          <w:vertAlign w:val="baseline"/>
          <w:lang w:val="en-US" w:eastAsia="zh-CN"/>
        </w:rPr>
        <w:t>锅炉房</w:t>
      </w:r>
      <w:r>
        <w:rPr>
          <w:rFonts w:hint="default" w:ascii="Times New Roman" w:hAnsi="Times New Roman" w:cs="Times New Roman"/>
          <w:color w:val="auto"/>
          <w:highlight w:val="none"/>
          <w:vertAlign w:val="baseline"/>
          <w:lang w:val="en-US" w:eastAsia="zh-CN"/>
        </w:rPr>
        <w:t>位于牙城镇工业园43号</w:t>
      </w:r>
      <w:r>
        <w:rPr>
          <w:rFonts w:hint="eastAsia" w:cs="Times New Roman"/>
          <w:color w:val="auto"/>
          <w:highlight w:val="none"/>
          <w:vertAlign w:val="baseline"/>
          <w:lang w:val="en-US" w:eastAsia="zh-CN"/>
        </w:rPr>
        <w:t>（</w:t>
      </w:r>
      <w:r>
        <w:rPr>
          <w:rFonts w:hint="eastAsia" w:cs="Times New Roman"/>
          <w:color w:val="auto"/>
          <w:highlight w:val="none"/>
          <w:lang w:val="en-US" w:eastAsia="zh-CN"/>
        </w:rPr>
        <w:t>锅炉房原门牌号为牙城镇工业园46号，现新门牌号变更为牙城镇工业园43号</w:t>
      </w:r>
      <w:r>
        <w:rPr>
          <w:rFonts w:hint="eastAsia" w:cs="Times New Roman"/>
          <w:color w:val="auto"/>
          <w:highlight w:val="none"/>
          <w:vertAlign w:val="baseline"/>
          <w:lang w:val="en-US" w:eastAsia="zh-CN"/>
        </w:rPr>
        <w:t>）</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（4）生产规模：总产能为年产3万吨再生高性能涤纶纤维，分两期建设，一期生产规模为</w:t>
      </w:r>
      <w:r>
        <w:rPr>
          <w:rFonts w:hint="default" w:ascii="Times New Roman" w:hAnsi="Times New Roman" w:cs="Times New Roman"/>
          <w:color w:val="auto"/>
          <w:highlight w:val="none"/>
        </w:rPr>
        <w:t>年产1.2万</w:t>
      </w:r>
      <w:r>
        <w:rPr>
          <w:rFonts w:hint="default" w:ascii="Times New Roman" w:hAnsi="Times New Roman" w:cs="Times New Roman"/>
          <w:color w:val="auto"/>
          <w:highlight w:val="none"/>
          <w:lang w:val="en-US" w:eastAsia="zh-CN"/>
        </w:rPr>
        <w:t>吨的PET再生纤维</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二期生产规模为</w:t>
      </w:r>
      <w:r>
        <w:rPr>
          <w:rFonts w:hint="default" w:ascii="Times New Roman" w:hAnsi="Times New Roman" w:cs="Times New Roman"/>
          <w:color w:val="auto"/>
          <w:highlight w:val="none"/>
        </w:rPr>
        <w:t>年产1.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万</w:t>
      </w:r>
      <w:r>
        <w:rPr>
          <w:rFonts w:hint="default" w:ascii="Times New Roman" w:hAnsi="Times New Roman" w:cs="Times New Roman"/>
          <w:color w:val="auto"/>
          <w:highlight w:val="none"/>
          <w:lang w:val="en-US" w:eastAsia="zh-CN"/>
        </w:rPr>
        <w:t>吨的PET再生纤维</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（5）工程投资：总投资9000万元人民币，总环保投资250万元；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（6）建设规模：总用地面积28552.1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，总建筑面积为25141.85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，分2个厂区建设，其中1号厂区</w:t>
      </w:r>
      <w:r>
        <w:rPr>
          <w:rFonts w:hint="default" w:ascii="Times New Roman" w:hAnsi="Times New Roman" w:cs="Times New Roman"/>
          <w:color w:val="auto"/>
          <w:highlight w:val="none"/>
          <w:vertAlign w:val="baseline"/>
          <w:lang w:val="en-US" w:eastAsia="zh-CN"/>
        </w:rPr>
        <w:t>主要建设造粒车间、纺丝车间、综合楼、废水处理设施以及相关配套设施；2号厂区主要建设造粒车间以及相关配套设施</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（7）职工人数：项目</w:t>
      </w:r>
      <w:r>
        <w:rPr>
          <w:rFonts w:hint="eastAsia" w:cs="Times New Roman"/>
          <w:color w:val="auto"/>
          <w:highlight w:val="none"/>
          <w:lang w:val="en-US" w:eastAsia="zh-CN"/>
        </w:rPr>
        <w:t>现有</w:t>
      </w:r>
      <w:r>
        <w:rPr>
          <w:rFonts w:hint="default" w:ascii="Times New Roman" w:hAnsi="Times New Roman" w:cs="Times New Roman"/>
          <w:color w:val="auto"/>
          <w:highlight w:val="none"/>
          <w:lang w:val="en-US" w:eastAsia="zh-CN"/>
        </w:rPr>
        <w:t>职工</w:t>
      </w:r>
      <w:r>
        <w:rPr>
          <w:rFonts w:hint="eastAsia" w:cs="Times New Roman"/>
          <w:color w:val="auto"/>
          <w:highlight w:val="none"/>
          <w:lang w:val="en-US" w:eastAsia="zh-CN"/>
        </w:rPr>
        <w:t>约</w:t>
      </w:r>
      <w:r>
        <w:rPr>
          <w:rFonts w:hint="default" w:ascii="Times New Roman" w:hAnsi="Times New Roman" w:cs="Times New Roman"/>
          <w:color w:val="auto"/>
          <w:highlight w:val="none"/>
          <w:lang w:val="en-US" w:eastAsia="zh-CN"/>
        </w:rPr>
        <w:t>300人，其中100人在厂食宿，200不在厂食宿</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（8）工作制度：年工作时间为300天，1号厂区采用3班制，每班工作8 h，2号</w:t>
      </w:r>
      <w:r>
        <w:rPr>
          <w:rFonts w:hint="eastAsia" w:cs="Times New Roman"/>
          <w:color w:val="auto"/>
          <w:highlight w:val="none"/>
          <w:lang w:val="en-US" w:eastAsia="zh-CN"/>
        </w:rPr>
        <w:t>厂区</w:t>
      </w:r>
      <w:r>
        <w:rPr>
          <w:rFonts w:hint="default" w:ascii="Times New Roman" w:hAnsi="Times New Roman" w:cs="Times New Roman"/>
          <w:color w:val="auto"/>
          <w:highlight w:val="none"/>
          <w:lang w:val="en-US" w:eastAsia="zh-CN"/>
        </w:rPr>
        <w:t>采用1班制，每班工作12 h。</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现有工程主要建设内容</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现有工程项目组成及主要建设内容见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_Ref4183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rPr>
          <w:rFonts w:hint="default" w:ascii="Times New Roman" w:hAnsi="Times New Roman" w:cs="Times New Roman"/>
          <w:color w:val="auto"/>
          <w:highlight w:val="none"/>
          <w:lang w:val="en-US" w:eastAsia="zh-CN"/>
        </w:rPr>
      </w:pPr>
      <w:bookmarkStart w:id="156" w:name="_Ref4183"/>
      <w:r>
        <w:rPr>
          <w:rFonts w:hint="default" w:ascii="Times New Roman" w:hAnsi="Times New Roman" w:cs="Times New Roman"/>
          <w:color w:val="auto"/>
          <w:highlight w:val="none"/>
          <w:lang w:val="en-US" w:eastAsia="zh-CN"/>
        </w:rPr>
        <w:t>现有工程项目主要建设内容一览表</w:t>
      </w:r>
      <w:bookmarkEnd w:id="156"/>
    </w:p>
    <w:p>
      <w:pPr>
        <w:pStyle w:val="3"/>
        <w:bidi w:val="0"/>
        <w:rPr>
          <w:rFonts w:hint="default" w:ascii="Times New Roman" w:hAnsi="Times New Roman" w:cs="Times New Roman"/>
          <w:color w:val="auto"/>
          <w:highlight w:val="none"/>
          <w:lang w:val="en-US" w:eastAsia="zh-CN"/>
        </w:rPr>
      </w:pPr>
      <w:bookmarkStart w:id="157" w:name="_Toc29328"/>
      <w:bookmarkStart w:id="158" w:name="_Toc20746"/>
      <w:bookmarkStart w:id="159" w:name="_Toc5628"/>
      <w:bookmarkStart w:id="160" w:name="_Toc24241"/>
      <w:r>
        <w:rPr>
          <w:rFonts w:hint="default" w:ascii="Times New Roman" w:hAnsi="Times New Roman" w:cs="Times New Roman"/>
          <w:color w:val="auto"/>
          <w:highlight w:val="none"/>
          <w:lang w:val="en-US" w:eastAsia="zh-CN"/>
        </w:rPr>
        <w:t>现有工程产品方案及规模</w:t>
      </w:r>
      <w:bookmarkEnd w:id="157"/>
      <w:bookmarkEnd w:id="158"/>
      <w:bookmarkEnd w:id="159"/>
      <w:bookmarkEnd w:id="160"/>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项目现有工程产品方案及规模详见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_Ref501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表2.2-1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rPr>
          <w:rFonts w:hint="default" w:ascii="Times New Roman" w:hAnsi="Times New Roman" w:cs="Times New Roman"/>
          <w:color w:val="auto"/>
          <w:highlight w:val="none"/>
          <w:lang w:val="en-US" w:eastAsia="zh-CN"/>
        </w:rPr>
      </w:pPr>
      <w:bookmarkStart w:id="161" w:name="_Ref501"/>
      <w:bookmarkEnd w:id="161"/>
      <w:r>
        <w:rPr>
          <w:rFonts w:hint="default" w:ascii="Times New Roman" w:hAnsi="Times New Roman" w:cs="Times New Roman"/>
          <w:color w:val="auto"/>
          <w:highlight w:val="none"/>
          <w:lang w:val="en-US" w:eastAsia="zh-CN"/>
        </w:rPr>
        <w:t>现有工程产品方案及规模一览表</w:t>
      </w:r>
    </w:p>
    <w:p>
      <w:pPr>
        <w:pStyle w:val="3"/>
        <w:bidi w:val="0"/>
        <w:rPr>
          <w:rFonts w:hint="default" w:ascii="Times New Roman" w:hAnsi="Times New Roman" w:cs="Times New Roman"/>
          <w:color w:val="auto"/>
          <w:highlight w:val="none"/>
          <w:lang w:val="en-US" w:eastAsia="zh-CN"/>
        </w:rPr>
      </w:pPr>
      <w:bookmarkStart w:id="162" w:name="_Toc16259"/>
      <w:bookmarkStart w:id="163" w:name="_Toc11561"/>
      <w:bookmarkStart w:id="164" w:name="_Toc4568"/>
      <w:bookmarkStart w:id="165" w:name="_Toc11456"/>
      <w:r>
        <w:rPr>
          <w:rFonts w:hint="default" w:ascii="Times New Roman" w:hAnsi="Times New Roman" w:cs="Times New Roman"/>
          <w:color w:val="auto"/>
          <w:highlight w:val="none"/>
          <w:lang w:val="en-US" w:eastAsia="zh-CN"/>
        </w:rPr>
        <w:t>现有工程主要原辅材料</w:t>
      </w:r>
      <w:bookmarkEnd w:id="162"/>
      <w:bookmarkEnd w:id="163"/>
      <w:r>
        <w:rPr>
          <w:rFonts w:hint="eastAsia" w:cs="Times New Roman"/>
          <w:color w:val="auto"/>
          <w:highlight w:val="none"/>
          <w:lang w:val="en-US" w:eastAsia="zh-CN"/>
        </w:rPr>
        <w:t>及能源消耗</w:t>
      </w:r>
      <w:bookmarkEnd w:id="164"/>
      <w:bookmarkEnd w:id="165"/>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项目现有工程主要原辅材料及能源消耗情况详见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_Ref7714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表2.3-1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bidi w:val="0"/>
        <w:rPr>
          <w:rFonts w:hint="default" w:ascii="Times New Roman" w:hAnsi="Times New Roman" w:cs="Times New Roman"/>
          <w:color w:val="auto"/>
          <w:highlight w:val="none"/>
          <w:lang w:val="en-US" w:eastAsia="zh-CN"/>
        </w:rPr>
      </w:pPr>
      <w:bookmarkStart w:id="166" w:name="_Ref7714"/>
      <w:r>
        <w:rPr>
          <w:rFonts w:hint="default" w:ascii="Times New Roman" w:hAnsi="Times New Roman" w:cs="Times New Roman"/>
          <w:color w:val="auto"/>
          <w:highlight w:val="none"/>
          <w:lang w:val="en-US" w:eastAsia="zh-CN"/>
        </w:rPr>
        <w:t>项目主要原辅材料及能源消耗情况一览表</w:t>
      </w:r>
      <w:bookmarkEnd w:id="166"/>
    </w:p>
    <w:p>
      <w:pPr>
        <w:pStyle w:val="3"/>
        <w:bidi w:val="0"/>
        <w:rPr>
          <w:rFonts w:hint="default" w:ascii="Times New Roman" w:hAnsi="Times New Roman" w:cs="Times New Roman"/>
          <w:color w:val="auto"/>
          <w:highlight w:val="none"/>
          <w:lang w:val="en-US" w:eastAsia="zh-CN"/>
        </w:rPr>
      </w:pPr>
      <w:bookmarkStart w:id="167" w:name="_Toc30923"/>
      <w:bookmarkStart w:id="168" w:name="_Toc17455"/>
      <w:bookmarkStart w:id="169" w:name="_Toc9567"/>
      <w:bookmarkStart w:id="170" w:name="_Toc17286"/>
      <w:r>
        <w:rPr>
          <w:rFonts w:hint="default" w:ascii="Times New Roman" w:hAnsi="Times New Roman" w:cs="Times New Roman"/>
          <w:color w:val="auto"/>
          <w:highlight w:val="none"/>
          <w:lang w:val="en-US" w:eastAsia="zh-CN"/>
        </w:rPr>
        <w:t>现有工程厂区平面布置</w:t>
      </w:r>
      <w:bookmarkEnd w:id="167"/>
      <w:bookmarkEnd w:id="168"/>
      <w:bookmarkEnd w:id="169"/>
      <w:bookmarkEnd w:id="170"/>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现有1号厂区</w:t>
      </w:r>
      <w:r>
        <w:rPr>
          <w:rFonts w:hint="default" w:ascii="Times New Roman" w:hAnsi="Times New Roman" w:cs="Times New Roman"/>
          <w:color w:val="auto"/>
          <w:highlight w:val="none"/>
        </w:rPr>
        <w:t>建设有造粒车间、纺丝车间，配套综合楼和公用工程。</w:t>
      </w:r>
      <w:r>
        <w:rPr>
          <w:rFonts w:hint="default" w:ascii="Times New Roman" w:hAnsi="Times New Roman" w:cs="Times New Roman"/>
          <w:color w:val="auto"/>
          <w:highlight w:val="none"/>
          <w:lang w:val="en-US" w:eastAsia="zh-CN"/>
        </w:rPr>
        <w:t>1号厂区</w:t>
      </w:r>
      <w:r>
        <w:rPr>
          <w:rFonts w:hint="default" w:ascii="Times New Roman" w:hAnsi="Times New Roman" w:cs="Times New Roman"/>
          <w:color w:val="auto"/>
          <w:highlight w:val="none"/>
        </w:rPr>
        <w:t>的综合楼设在西北</w:t>
      </w:r>
      <w:r>
        <w:rPr>
          <w:rFonts w:hint="default" w:ascii="Times New Roman" w:hAnsi="Times New Roman" w:cs="Times New Roman"/>
          <w:color w:val="auto"/>
          <w:highlight w:val="none"/>
          <w:lang w:val="en-US" w:eastAsia="zh-CN"/>
        </w:rPr>
        <w:t>侧</w:t>
      </w:r>
      <w:r>
        <w:rPr>
          <w:rFonts w:hint="default" w:ascii="Times New Roman" w:hAnsi="Times New Roman" w:cs="Times New Roman"/>
          <w:color w:val="auto"/>
          <w:highlight w:val="none"/>
        </w:rPr>
        <w:t>，综合楼内有办公室</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食堂、</w:t>
      </w:r>
      <w:r>
        <w:rPr>
          <w:rFonts w:hint="default" w:ascii="Times New Roman" w:hAnsi="Times New Roman" w:cs="Times New Roman"/>
          <w:color w:val="auto"/>
          <w:highlight w:val="none"/>
        </w:rPr>
        <w:t>倒班宿舍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厂房一设在厂区北部中间位置，</w:t>
      </w:r>
      <w:r>
        <w:rPr>
          <w:rFonts w:hint="default" w:ascii="Times New Roman" w:hAnsi="Times New Roman" w:cs="Times New Roman"/>
          <w:color w:val="auto"/>
          <w:highlight w:val="none"/>
          <w:lang w:val="en-US" w:eastAsia="zh-CN"/>
        </w:rPr>
        <w:t>布设造粒原料区、造粒车间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厂房二设在厂区南部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建设两条纺丝生产线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一期1条、二期1条</w:t>
      </w:r>
      <w:r>
        <w:rPr>
          <w:rFonts w:hint="default" w:ascii="Times New Roman" w:hAnsi="Times New Roman" w:cs="Times New Roman"/>
          <w:color w:val="auto"/>
          <w:highlight w:val="none"/>
        </w:rPr>
        <w:t>，厂区的东北角建设有废水处理系统，锅炉房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一般工业固体废物贮存间</w:t>
      </w:r>
      <w:r>
        <w:rPr>
          <w:rFonts w:hint="default" w:ascii="Times New Roman" w:hAnsi="Times New Roman" w:cs="Times New Roman"/>
          <w:color w:val="auto"/>
          <w:highlight w:val="none"/>
        </w:rPr>
        <w:t>租赁新奥燃气厂区地块建设，位于</w:t>
      </w:r>
      <w:r>
        <w:rPr>
          <w:rFonts w:hint="default" w:ascii="Times New Roman" w:hAnsi="Times New Roman" w:cs="Times New Roman"/>
          <w:color w:val="auto"/>
          <w:highlight w:val="none"/>
          <w:lang w:val="en-US" w:eastAsia="zh-CN"/>
        </w:rPr>
        <w:t>1号</w:t>
      </w:r>
      <w:r>
        <w:rPr>
          <w:rFonts w:hint="default" w:ascii="Times New Roman" w:hAnsi="Times New Roman" w:cs="Times New Roman"/>
          <w:color w:val="auto"/>
          <w:highlight w:val="none"/>
        </w:rPr>
        <w:t>厂区东南侧</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2号厂区建设有造粒车间、原料仓库、产品仓库和配套工程。2号地块厂房一位于南侧，厂房二位于厂区北侧，造粒车间设在厂房一，设有造粒生产线1条造粒生产线及分拣区，厂房二为仓库，主要布设原料区和产品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现有工程总平面布置图详见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图2.4-1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_Ref213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图2.4-2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，雨污管线图详见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图2.4-3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bidi w:val="0"/>
        <w:rPr>
          <w:rFonts w:hint="default" w:ascii="Times New Roman" w:hAnsi="Times New Roman" w:cs="Times New Roman"/>
          <w:color w:val="auto"/>
          <w:highlight w:val="none"/>
          <w:lang w:val="en-US" w:eastAsia="zh-CN"/>
        </w:rPr>
      </w:pPr>
      <w:bookmarkStart w:id="171" w:name="_Ref193"/>
      <w:r>
        <w:rPr>
          <w:rFonts w:hint="default" w:ascii="Times New Roman" w:hAnsi="Times New Roman" w:cs="Times New Roman"/>
          <w:color w:val="auto"/>
          <w:highlight w:val="none"/>
          <w:lang w:val="en-US" w:eastAsia="zh-CN"/>
        </w:rPr>
        <w:t>项目总平面图布置图（1号厂区）</w:t>
      </w:r>
      <w:bookmarkEnd w:id="171"/>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bidi w:val="0"/>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bookmarkStart w:id="172" w:name="_Ref213"/>
      <w:r>
        <w:rPr>
          <w:rFonts w:hint="default" w:ascii="Times New Roman" w:hAnsi="Times New Roman" w:cs="Times New Roman"/>
          <w:color w:val="auto"/>
          <w:highlight w:val="none"/>
          <w:lang w:val="en-US" w:eastAsia="zh-CN"/>
        </w:rPr>
        <w:t>项目总平面图布置图（2号厂区）</w:t>
      </w:r>
      <w:bookmarkEnd w:id="172"/>
    </w:p>
    <w:p>
      <w:pPr>
        <w:ind w:left="0" w:leftChars="0" w:firstLine="0" w:firstLineChars="0"/>
        <w:jc w:val="center"/>
        <w:rPr>
          <w:rFonts w:hint="eastAsia" w:ascii="Times New Roman" w:hAnsi="Times New Roman" w:eastAsia="宋体" w:cs="Times New Roman"/>
          <w:color w:val="auto"/>
          <w:highlight w:val="none"/>
          <w:lang w:val="en-US" w:eastAsia="zh-CN"/>
        </w:rPr>
      </w:pPr>
    </w:p>
    <w:p>
      <w:pPr>
        <w:pStyle w:val="22"/>
        <w:bidi w:val="0"/>
        <w:rPr>
          <w:rFonts w:hint="default" w:ascii="Times New Roman" w:hAnsi="Times New Roman" w:cs="Times New Roman"/>
          <w:color w:val="auto"/>
          <w:highlight w:val="none"/>
          <w:lang w:val="en-US" w:eastAsia="zh-CN"/>
        </w:rPr>
        <w:sectPr>
          <w:pgSz w:w="16838" w:h="23811"/>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bookmarkStart w:id="173" w:name="_Ref317"/>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现有工程</w:t>
      </w:r>
      <w:r>
        <w:rPr>
          <w:rFonts w:hint="default" w:ascii="Times New Roman" w:hAnsi="Times New Roman" w:cs="Times New Roman"/>
          <w:color w:val="auto"/>
          <w:highlight w:val="none"/>
          <w:lang w:val="en-US" w:eastAsia="zh-CN"/>
        </w:rPr>
        <w:t>雨污管线图</w:t>
      </w:r>
      <w:bookmarkEnd w:id="173"/>
    </w:p>
    <w:p>
      <w:pPr>
        <w:pStyle w:val="3"/>
        <w:bidi w:val="0"/>
        <w:rPr>
          <w:rFonts w:hint="default" w:ascii="Times New Roman" w:hAnsi="Times New Roman" w:cs="Times New Roman"/>
          <w:color w:val="auto"/>
          <w:highlight w:val="none"/>
          <w:lang w:val="en-US" w:eastAsia="zh-CN"/>
        </w:rPr>
      </w:pPr>
      <w:bookmarkStart w:id="174" w:name="_Toc16933"/>
      <w:bookmarkStart w:id="175" w:name="_Toc8464"/>
      <w:bookmarkStart w:id="176" w:name="_Toc31049"/>
      <w:bookmarkStart w:id="177" w:name="_Toc26651"/>
      <w:r>
        <w:rPr>
          <w:rFonts w:hint="default" w:ascii="Times New Roman" w:hAnsi="Times New Roman" w:cs="Times New Roman"/>
          <w:color w:val="auto"/>
          <w:highlight w:val="none"/>
          <w:lang w:val="en-US" w:eastAsia="zh-CN"/>
        </w:rPr>
        <w:t>现有工程生产工艺流程及产污环节</w:t>
      </w:r>
      <w:bookmarkEnd w:id="174"/>
      <w:bookmarkEnd w:id="175"/>
      <w:bookmarkEnd w:id="176"/>
      <w:bookmarkEnd w:id="177"/>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一期工程生产工艺流程及产污环节</w:t>
      </w:r>
    </w:p>
    <w:p>
      <w:pP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highlight w:val="none"/>
          <w:lang w:val="en-US" w:eastAsia="zh-CN"/>
        </w:rPr>
        <w:t>一期工程生产主要原料为</w:t>
      </w:r>
      <w:r>
        <w:rPr>
          <w:rFonts w:hint="default" w:ascii="Times New Roman" w:hAnsi="Times New Roman" w:eastAsia="宋体" w:cs="Times New Roman"/>
          <w:color w:val="auto"/>
          <w:sz w:val="24"/>
          <w:highlight w:val="none"/>
        </w:rPr>
        <w:t>回收的PET瓶片和纺织物下脚料。PET瓶片为已经洗干净的可乐瓶、矿泉水瓶等碎片材料；纺丝物下脚料为服装厂裁剪后不能整块利用的涤纶纺织物以及大化纤厂的下脚料、废丝等。涤纶纺织纤维要先进行清洗后纺织造粒，PET瓶片直接投料进入纺织工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生产工艺流程及产污环节详见</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REF _Ref3978 \n \h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图2.5-1</w:t>
      </w:r>
      <w:r>
        <w:rPr>
          <w:rFonts w:hint="default" w:ascii="Times New Roman" w:hAnsi="Times New Roman" w:eastAsia="宋体" w:cs="Times New Roman"/>
          <w:color w:val="auto"/>
          <w:sz w:val="24"/>
          <w:highlight w:val="none"/>
          <w:lang w:val="en-US" w:eastAsia="zh-CN"/>
        </w:rPr>
        <w:fldChar w:fldCharType="end"/>
      </w:r>
      <w:r>
        <w:rPr>
          <w:rFonts w:hint="default" w:ascii="Times New Roman" w:hAnsi="Times New Roman" w:eastAsia="宋体" w:cs="Times New Roman"/>
          <w:color w:val="auto"/>
          <w:sz w:val="24"/>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一、造粒工序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拆料筛选工序：通过人工或自动设备将不同颜色、不同种类的纺织物下脚料、瓶片进行分拣，并将夹杂的杂物分拣出来。该过程有少量粉尘产生，主要为纺织下脚料抖动及拆包过程产生粉尘G1，筛选出的不合格品产生固体废物S1。</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（2）分类堆放工序：将分拣后的原料分类堆放。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（3）清洗：为提高产品质量，在造粒之前先对原料进行清洗，清洗</w:t>
      </w:r>
      <w:r>
        <w:rPr>
          <w:rFonts w:hint="eastAsia" w:cs="Times New Roman"/>
          <w:color w:val="auto"/>
          <w:highlight w:val="none"/>
          <w:lang w:val="en-US" w:eastAsia="zh-CN"/>
        </w:rPr>
        <w:t>离心</w:t>
      </w:r>
      <w:r>
        <w:rPr>
          <w:rFonts w:hint="default" w:ascii="Times New Roman" w:hAnsi="Times New Roman" w:cs="Times New Roman"/>
          <w:color w:val="auto"/>
          <w:highlight w:val="none"/>
          <w:lang w:val="en-US" w:eastAsia="zh-CN"/>
        </w:rPr>
        <w:t>脱水后产生废水W1。</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（4）摩擦造粒工序：通过摩擦机把纺织物下脚料加工到220℃</w:t>
      </w:r>
      <w:r>
        <w:rPr>
          <w:rFonts w:hint="eastAsia" w:cs="Times New Roman"/>
          <w:color w:val="auto"/>
          <w:highlight w:val="none"/>
          <w:lang w:val="en-US" w:eastAsia="zh-CN"/>
        </w:rPr>
        <w:t>（该过程无需外加热源，主要通过磨盘高速旋转摩擦生热）</w:t>
      </w:r>
      <w:r>
        <w:rPr>
          <w:rFonts w:hint="default" w:ascii="Times New Roman" w:hAnsi="Times New Roman" w:cs="Times New Roman"/>
          <w:color w:val="auto"/>
          <w:highlight w:val="none"/>
          <w:lang w:val="en-US" w:eastAsia="zh-CN"/>
        </w:rPr>
        <w:t>，使原料部分熔融、结粒，摩擦造粒时为了降低温度，加水冷却降温，造粒设备的用水量少，平均1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加水后蒸发成水蒸气</w:t>
      </w:r>
      <w:r>
        <w:rPr>
          <w:rFonts w:hint="eastAsia" w:cs="Times New Roman"/>
          <w:color w:val="auto"/>
          <w:highlight w:val="none"/>
          <w:lang w:val="en-US" w:eastAsia="zh-CN"/>
        </w:rPr>
        <w:t>与</w:t>
      </w:r>
      <w:r>
        <w:rPr>
          <w:rFonts w:hint="default" w:ascii="Times New Roman" w:hAnsi="Times New Roman" w:cs="Times New Roman"/>
          <w:color w:val="auto"/>
          <w:highlight w:val="none"/>
          <w:lang w:val="en-US" w:eastAsia="zh-CN"/>
        </w:rPr>
        <w:t>有机废气</w:t>
      </w:r>
      <w:r>
        <w:rPr>
          <w:rFonts w:hint="eastAsia" w:cs="Times New Roman"/>
          <w:color w:val="auto"/>
          <w:highlight w:val="none"/>
          <w:lang w:val="en-US" w:eastAsia="zh-CN"/>
        </w:rPr>
        <w:t>一并</w:t>
      </w:r>
      <w:r>
        <w:rPr>
          <w:rFonts w:hint="default" w:ascii="Times New Roman" w:hAnsi="Times New Roman" w:cs="Times New Roman"/>
          <w:color w:val="auto"/>
          <w:highlight w:val="none"/>
          <w:lang w:val="en-US" w:eastAsia="zh-CN"/>
        </w:rPr>
        <w:t>排出。有机废气主要是PET加热过程表面的杂质分解出少量有机气体（非甲烷总烃），产生废气G2。</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二、纺丝工序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（1）投料：选择上一工段的纺织物造粒后的涤纶粒子或者经过筛选后的PET瓶片（筛选产生S2），送入纺前料仓。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（2）干燥：连接转鼓装置，加热到145℃连续烘干6h，同时利用真空泵将原料中水分抽出，主要产生水蒸气G3。</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螺杆挤压工序：将干燥后原料陆续进入螺杆挤出机，采用电加热方式控制270-280℃范围，物料在螺杆机挤出机内部被挤压熔融成高压溶体，带入纺丝箱体。螺杆挤出机为密闭设备，仅在阀门或管道接口处有极少量有机废气泄漏呈无组织排放。原料中杂质通过废熔块形式过滤排出，S3。</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（4）纺丝工序：螺杆挤压出的熔体进入纺丝箱体，过程中由熔融产生有机废气产生G4，还有部分废丝S4。</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（5）冷却工序：熔体细流喷出后，在喷丝板下方会有一个环形的吹风机冷却装置，冷却至25℃左右，熔体细流形成初生纤维。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（6）纺丝油剂调配：由桶泵将浓纺丝油剂送入纺丝油剂计量槽，除盐水经计量后注入纺丝油剂制备槽，开动搅拌器，将浓纺丝油剂从计量槽送至制备槽中，按一定比例混匀后由计量泵输送至丝束上油装置。</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卷绕工序：经过环吹风冷却后初生纤维在卷绕面板上通过上油盘的给水和上油进行初步定型，并通过牵伸加速完成初生纤维的预牵伸，初生纤维丝束表面含有静电剂消除静电并抱合，增强丝束的物理性能，保持一定的拉伸度，同时减少丝束间摩擦力，消除静电，为后加工做准备。</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三、后处理工序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（1）集束工序：对盛丝桶内的小丝束进行汇集，使得丝束成为一定宽度、厚薄和含油均匀的丝片。</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（2）牵伸工序：本工序主要对前纺生产下来的丝经过三道拉伸，温度在75℃左右，使丝减少回弹、定型。该工段会产生废气G4和废丝S5。</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（3）卷曲工序：通过卷曲机的牵伸和张力释放会在后边的输送带上形成规则的卷曲形状，使纤维具有一定蓬松度。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（4）松弛热定型：经过卷曲的丝束进入热定型机，主要是使纤维进一步干燥，同时在一定温度下，消除纤维的内应力，固定卷曲形状，保持一定的蓬松度，产生废气G5。</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（5）切断工序：依据客户的要求对生产出来的长纤维丝切断成不同长度的短丝。</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（6）打包工序：将加工完毕后的纤维压装在固定包装中，一般保持每包重250 kg。</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四、辅助设备工艺说明</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（1）除盐水系统工艺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项目生产所用除盐水由配套的除盐水装置生产提供，采用“钠（Na）型离子交换法”工艺处理，所用交换剂为钠（Na）型阳离子交换剂。当原水经过钠型离子交换剂时，水中的Ca</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、Mg</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等阳离子与交换剂中的Na</w:t>
      </w:r>
      <w:r>
        <w:rPr>
          <w:rFonts w:hint="default" w:ascii="Times New Roman" w:hAnsi="Times New Roman" w:cs="Times New Roman"/>
          <w:color w:val="auto"/>
          <w:highlight w:val="none"/>
          <w:vertAlign w:val="superscript"/>
          <w:lang w:val="en-US" w:eastAsia="zh-CN"/>
        </w:rPr>
        <w:t>+</w:t>
      </w:r>
      <w:r>
        <w:rPr>
          <w:rFonts w:hint="default" w:ascii="Times New Roman" w:hAnsi="Times New Roman" w:cs="Times New Roman"/>
          <w:color w:val="auto"/>
          <w:highlight w:val="none"/>
          <w:lang w:val="en-US" w:eastAsia="zh-CN"/>
        </w:rPr>
        <w:t>进行交换，降低了水的硬度，使水质得到软化、除碱和除盐，故这种方法又称为钠离子交换软化法。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离子交换剂可以循环使用，当其吸附能力达到饱和（即软水出水硬度超过水质标准）时，需要用再生溶液对离子交换剂进行再生（或还原）。再生后的离子交换剂可重复使用，交换后的再生液主要含有CaCl</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、MgCl</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等可溶性盐类。</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（2）组件煅烧清洗工艺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纺丝组件采用“真空煅烧+高压冲洗”清洗工艺。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真空煅烧炉主要由真空炉膛、废料收集罐、水喷淋洗涤器、真空泵、炉盖启闭密封装置以及为其服务的温度控制系统等构成。真空清洗是利用化纤聚合物通常在300℃左右可溶化、高于300℃隔绝空气可裂解焦化、高于450℃在空气中可完全氧化的特点，先把工件加热到约300℃使工件表面上数量较多的高分子聚合物溶化流淌到下部的废料收集容器内。这时，将炉温升高到500℃左右，并打开进气阀，通入少量空气使剩余的聚合物充分氧化，生成二氧化碳和水蒸气和极少量的非甲烷总烃，在真空泵的抽吸下利用水喷淋装置净化预处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水喷淋洗涤器喷淋洗涤后，再经真空泵汽水分离器的上部将废气进入废气净化装置处理后，排入大气中；下部废水直接排向废水池，整个工作过程中没有污染气体、烟雾和灰分排在室内，即使排出室外的气体也只是少量的二氧化碳等无害物质，大部分灰分由水排出。该过程产生的污染物主要为真空炉煅烧废渣S6和少量废水W3。</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（3）纺丝油剂循环系统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项目生产过程中需将纯油剂与</w:t>
      </w:r>
      <w:r>
        <w:rPr>
          <w:rFonts w:hint="eastAsia" w:cs="Times New Roman"/>
          <w:color w:val="auto"/>
          <w:highlight w:val="none"/>
          <w:lang w:val="en-US" w:eastAsia="zh-CN"/>
        </w:rPr>
        <w:t>新鲜水</w:t>
      </w:r>
      <w:r>
        <w:rPr>
          <w:rFonts w:hint="default" w:ascii="Times New Roman" w:hAnsi="Times New Roman" w:cs="Times New Roman"/>
          <w:color w:val="auto"/>
          <w:highlight w:val="none"/>
          <w:lang w:val="en-US" w:eastAsia="zh-CN"/>
        </w:rPr>
        <w:t>混合配置成浓度为2‰的油剂溶液。调配后的稀油剂用循环泵不断补充输送到前纺和后纺的油剂循环系统，该系统主要包括纺丝油剂收集槽、输送泵等。</w:t>
      </w:r>
    </w:p>
    <w:p>
      <w:pPr>
        <w:ind w:left="0" w:leftChars="0" w:firstLine="0" w:firstLineChars="0"/>
        <w:jc w:val="center"/>
        <w:rPr>
          <w:rFonts w:hint="eastAsia" w:ascii="Times New Roman" w:hAnsi="Times New Roman" w:eastAsia="宋体" w:cs="Times New Roman"/>
          <w:color w:val="auto"/>
          <w:highlight w:val="none"/>
          <w:lang w:eastAsia="zh-CN"/>
        </w:rPr>
      </w:pPr>
    </w:p>
    <w:p>
      <w:pPr>
        <w:pStyle w:val="22"/>
        <w:bidi w:val="0"/>
        <w:rPr>
          <w:rFonts w:hint="default" w:ascii="Times New Roman" w:hAnsi="Times New Roman" w:cs="Times New Roman"/>
          <w:color w:val="auto"/>
          <w:highlight w:val="none"/>
          <w:lang w:val="en-US" w:eastAsia="zh-CN"/>
        </w:rPr>
      </w:pPr>
      <w:bookmarkStart w:id="178" w:name="_Ref3978"/>
      <w:bookmarkEnd w:id="178"/>
      <w:r>
        <w:rPr>
          <w:rFonts w:hint="default" w:ascii="Times New Roman" w:hAnsi="Times New Roman" w:cs="Times New Roman"/>
          <w:color w:val="auto"/>
          <w:highlight w:val="none"/>
          <w:lang w:val="en-US" w:eastAsia="zh-CN"/>
        </w:rPr>
        <w:t>生产工艺流程及产污环节（一期工程）</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二期工程生产工艺流程及产污环节</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项目现有二期工程的生产工艺流程与一期工程的生产工艺流程总体上基本一致，具体详见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_Ref6613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图2.5-2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。具体的工艺说明见一期工程，此处不再重复赘述。</w:t>
      </w:r>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bidi w:val="0"/>
        <w:rPr>
          <w:rFonts w:hint="default" w:ascii="Times New Roman" w:hAnsi="Times New Roman" w:cs="Times New Roman"/>
          <w:color w:val="auto"/>
          <w:highlight w:val="none"/>
          <w:lang w:val="en-US" w:eastAsia="zh-CN"/>
        </w:rPr>
      </w:pPr>
      <w:bookmarkStart w:id="179" w:name="_Ref6613"/>
      <w:r>
        <w:rPr>
          <w:rFonts w:hint="default" w:ascii="Times New Roman" w:hAnsi="Times New Roman" w:cs="Times New Roman"/>
          <w:color w:val="auto"/>
          <w:highlight w:val="none"/>
          <w:lang w:val="en-US" w:eastAsia="zh-CN"/>
        </w:rPr>
        <w:t>生产工艺流程及产污环节（二期工程）</w:t>
      </w:r>
      <w:bookmarkEnd w:id="179"/>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油剂平衡</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项目现有工程油剂主要用在产品上，在使用过程中少量滴漏，挥发逸散等产生损耗，全厂油剂平衡分析图如下：</w:t>
      </w:r>
    </w:p>
    <w:p>
      <w:pPr>
        <w:ind w:left="0" w:leftChars="0" w:firstLine="0" w:firstLineChars="0"/>
        <w:jc w:val="center"/>
        <w:rPr>
          <w:rFonts w:hint="default" w:ascii="Times New Roman" w:hAnsi="Times New Roman" w:cs="Times New Roman"/>
          <w:color w:val="auto"/>
          <w:highlight w:val="none"/>
        </w:rPr>
      </w:pPr>
    </w:p>
    <w:p>
      <w:pPr>
        <w:pStyle w:val="22"/>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现有工程全厂油剂平衡图</w:t>
      </w:r>
    </w:p>
    <w:p>
      <w:pPr>
        <w:pStyle w:val="3"/>
        <w:bidi w:val="0"/>
        <w:rPr>
          <w:rFonts w:hint="default" w:ascii="Times New Roman" w:hAnsi="Times New Roman" w:cs="Times New Roman"/>
          <w:color w:val="auto"/>
          <w:highlight w:val="none"/>
          <w:lang w:val="en-US" w:eastAsia="zh-CN"/>
        </w:rPr>
      </w:pPr>
      <w:bookmarkStart w:id="180" w:name="_Toc16644"/>
      <w:bookmarkStart w:id="181" w:name="_Toc4990"/>
      <w:bookmarkStart w:id="182" w:name="_Toc891"/>
      <w:bookmarkStart w:id="183" w:name="_Toc18700"/>
      <w:r>
        <w:rPr>
          <w:rFonts w:hint="default" w:ascii="Times New Roman" w:hAnsi="Times New Roman" w:cs="Times New Roman"/>
          <w:color w:val="auto"/>
          <w:highlight w:val="none"/>
          <w:lang w:val="en-US" w:eastAsia="zh-CN"/>
        </w:rPr>
        <w:t>现有工程公用工程</w:t>
      </w:r>
      <w:bookmarkEnd w:id="180"/>
      <w:bookmarkEnd w:id="181"/>
      <w:bookmarkEnd w:id="182"/>
      <w:bookmarkEnd w:id="183"/>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给水工程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现有工程所需用水由市政自来水厂提供，其水质、水量、水压均能满足用水要求。项目从产业园区经三路市政给水管网上引入一根DN150 mm的给水管，经水表计量后，围绕厂区成DN150的环管，消防水源、各建筑物生产用水，室内生活给水、绿化和浇洒道路用水均由该环网供水。厂区设有消防水池，室内消防加管DN100 mm围绕厂区。本工程采用分系统供水，给水系统分为生产给水系统、生活给水系统、室内外消火栓给水系统、自动喷火灭火系统。</w:t>
      </w:r>
    </w:p>
    <w:p>
      <w:pPr>
        <w:pStyle w:val="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排水工程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项目现有厂区排水施行雨污分流制，1号厂区雨水收集后排入1号厂区东侧园区雨水管网，就近排入排洪沟或水体；2号厂区雨水收集后排入2号厂区西侧园区污水管网，就近排入排洪沟或水体。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现有工程1号厂区生活污水经化粪池处理后排入1号厂区西侧园区污水管网；2号厂区生活污水经化粪池处理后排入2号厂区北侧园区污水管网，最终进入牙城镇污水处理厂处理。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2号厂区产生生产废水收集后由2号厂区东侧引出至1号厂区与1号厂区的生产废水一同经污水处理站处理达</w:t>
      </w:r>
      <w:r>
        <w:rPr>
          <w:rFonts w:hint="eastAsia" w:cs="Times New Roman"/>
          <w:color w:val="auto"/>
          <w:highlight w:val="none"/>
          <w:lang w:val="en-US" w:eastAsia="zh-CN"/>
        </w:rPr>
        <w:t>《城市污水再生利用 工业用水水质》（GB/T19923-2005）表1中洗涤用水水质标准后全部回用于原料清洗，不排放</w:t>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现有工程给排水情况见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_Ref28669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表2.6-1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，水平衡图见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_Ref9909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图2.6-1</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bidi w:val="0"/>
        <w:rPr>
          <w:rFonts w:hint="default" w:ascii="Times New Roman" w:hAnsi="Times New Roman" w:cs="Times New Roman"/>
          <w:color w:val="auto"/>
          <w:highlight w:val="none"/>
          <w:lang w:val="en-US" w:eastAsia="zh-CN"/>
        </w:rPr>
      </w:pPr>
      <w:bookmarkStart w:id="184" w:name="_Ref9909"/>
      <w:r>
        <w:rPr>
          <w:rFonts w:hint="default" w:ascii="Times New Roman" w:hAnsi="Times New Roman" w:cs="Times New Roman"/>
          <w:color w:val="auto"/>
          <w:highlight w:val="none"/>
          <w:lang w:val="en-US" w:eastAsia="zh-CN"/>
        </w:rPr>
        <w:t>现有工程全厂水平衡图</w:t>
      </w:r>
      <w:bookmarkEnd w:id="184"/>
      <w:r>
        <w:rPr>
          <w:rFonts w:hint="default" w:ascii="Times New Roman" w:hAnsi="Times New Roman" w:cs="Times New Roman"/>
          <w:color w:val="auto"/>
          <w:highlight w:val="none"/>
          <w:lang w:val="en-US" w:eastAsia="zh-CN"/>
        </w:rPr>
        <w:t xml:space="preserve">  单位：m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p>
    <w:p>
      <w:p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color w:val="auto"/>
          <w:lang w:val="en-US" w:eastAsia="zh-CN"/>
        </w:rPr>
      </w:pPr>
      <w:bookmarkStart w:id="185" w:name="_Ref28669"/>
      <w:r>
        <w:rPr>
          <w:rFonts w:hint="default"/>
          <w:color w:val="auto"/>
          <w:lang w:val="en-US" w:eastAsia="zh-CN"/>
        </w:rPr>
        <w:t>现有工程给排水情况一览表</w:t>
      </w:r>
      <w:bookmarkEnd w:id="185"/>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供电工程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设计单项主要有：生产车间、辅助车间动力及照明配电，变配电室；库房等单项的照明；电力外线、道路照明及通讯。</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本项目用电由工业园区变电站供给，总装机容量为2000KVA，供电由变压器将高压电接入厂区经变配电送往各车间；根据工艺生产要求，项目为连续生产装置，如中断供电，造成经济损失较大，因此定为二级负荷。</w:t>
      </w:r>
    </w:p>
    <w:p>
      <w:pP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现有工程设有1台全自动35匹柴油发电机，仅作为照明应急备用。</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供热系统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现有工程供热系统主要由厂内2台4 t/h天然气锅炉作为热源（1备1用），年天然气消耗量约为</w:t>
      </w:r>
      <w:r>
        <w:rPr>
          <w:rFonts w:hint="eastAsia" w:cs="Times New Roman"/>
          <w:color w:val="auto"/>
          <w:highlight w:val="none"/>
          <w:lang w:val="en-US" w:eastAsia="zh-CN"/>
        </w:rPr>
        <w:t>400</w:t>
      </w:r>
      <w:r>
        <w:rPr>
          <w:rFonts w:hint="default" w:ascii="Times New Roman" w:hAnsi="Times New Roman" w:cs="Times New Roman"/>
          <w:color w:val="auto"/>
          <w:highlight w:val="none"/>
          <w:lang w:val="en-US" w:eastAsia="zh-CN"/>
        </w:rPr>
        <w:t>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szCs w:val="21"/>
          <w:highlight w:val="none"/>
          <w:lang w:val="en-US" w:eastAsia="zh-CN"/>
        </w:rPr>
        <w:t>项目天然气由园区集中供气，园区天然气由霞浦新奥燃气有限公司供应。</w:t>
      </w:r>
      <w:r>
        <w:rPr>
          <w:rFonts w:hint="eastAsia" w:cs="Times New Roman"/>
          <w:color w:val="auto"/>
          <w:szCs w:val="21"/>
          <w:highlight w:val="none"/>
          <w:lang w:val="en-US" w:eastAsia="zh-CN"/>
        </w:rPr>
        <w:t>后期新增1台6 t/h的天然气锅炉，目前未建设。</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通风排气系统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w:t>
      </w:r>
      <w:r>
        <w:rPr>
          <w:rFonts w:hint="eastAsia" w:cs="Times New Roman"/>
          <w:color w:val="auto"/>
          <w:highlight w:val="none"/>
          <w:lang w:val="en-US" w:eastAsia="zh-CN"/>
        </w:rPr>
        <w:t>造粒车间、纺丝车间等生产车间</w:t>
      </w:r>
      <w:r>
        <w:rPr>
          <w:rFonts w:hint="default" w:ascii="Times New Roman" w:hAnsi="Times New Roman" w:cs="Times New Roman"/>
          <w:color w:val="auto"/>
          <w:highlight w:val="none"/>
          <w:lang w:val="en-US" w:eastAsia="zh-CN"/>
        </w:rPr>
        <w:t>内</w:t>
      </w:r>
      <w:r>
        <w:rPr>
          <w:rFonts w:hint="eastAsia" w:cs="Times New Roman"/>
          <w:color w:val="auto"/>
          <w:highlight w:val="none"/>
          <w:lang w:val="en-US" w:eastAsia="zh-CN"/>
        </w:rPr>
        <w:t>均</w:t>
      </w:r>
      <w:r>
        <w:rPr>
          <w:rFonts w:hint="default" w:ascii="Times New Roman" w:hAnsi="Times New Roman" w:cs="Times New Roman"/>
          <w:color w:val="auto"/>
          <w:highlight w:val="none"/>
          <w:lang w:val="en-US" w:eastAsia="zh-CN"/>
        </w:rPr>
        <w:t>设有机械排风装置，以排除生产过程中的湿热气体，利于车间通风换气。</w:t>
      </w:r>
    </w:p>
    <w:p>
      <w:pPr>
        <w:pStyle w:val="3"/>
        <w:numPr>
          <w:ilvl w:val="1"/>
          <w:numId w:val="3"/>
        </w:numPr>
        <w:bidi w:val="0"/>
        <w:rPr>
          <w:rFonts w:hint="default" w:ascii="Times New Roman" w:hAnsi="Times New Roman" w:cs="Times New Roman"/>
          <w:color w:val="auto"/>
          <w:highlight w:val="none"/>
          <w:lang w:val="en-US" w:eastAsia="zh-CN"/>
        </w:rPr>
      </w:pPr>
      <w:bookmarkStart w:id="186" w:name="_Toc26890"/>
      <w:bookmarkStart w:id="187" w:name="_Toc2338"/>
      <w:bookmarkStart w:id="188" w:name="_Toc32470"/>
      <w:bookmarkStart w:id="189" w:name="_Toc17444"/>
      <w:r>
        <w:rPr>
          <w:rFonts w:hint="default" w:ascii="Times New Roman" w:hAnsi="Times New Roman" w:cs="Times New Roman"/>
          <w:color w:val="auto"/>
          <w:highlight w:val="none"/>
          <w:lang w:val="en-US" w:eastAsia="zh-CN"/>
        </w:rPr>
        <w:t>现有工程污染物排放情况及环保措施</w:t>
      </w:r>
      <w:bookmarkEnd w:id="186"/>
      <w:bookmarkEnd w:id="187"/>
      <w:bookmarkEnd w:id="188"/>
      <w:bookmarkEnd w:id="189"/>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废水污染源强及环保措施</w:t>
      </w:r>
    </w:p>
    <w:p>
      <w:pPr>
        <w:rPr>
          <w:rFonts w:hint="default" w:ascii="Times New Roman" w:hAnsi="Times New Roman" w:cs="Times New Roman"/>
          <w:bCs/>
          <w:color w:val="auto"/>
          <w:kern w:val="0"/>
          <w:sz w:val="24"/>
          <w:szCs w:val="24"/>
          <w:highlight w:val="none"/>
          <w:lang w:val="en-US" w:eastAsia="zh-CN"/>
        </w:rPr>
      </w:pPr>
      <w:r>
        <w:rPr>
          <w:rFonts w:hint="default" w:ascii="Times New Roman" w:hAnsi="Times New Roman" w:cs="Times New Roman"/>
          <w:color w:val="auto"/>
          <w:highlight w:val="none"/>
          <w:lang w:val="en-US" w:eastAsia="zh-CN"/>
        </w:rPr>
        <w:t>现有工程产生的废水主要有生产废水和生活污水。生产废水主要包括组件清洗废水</w:t>
      </w:r>
      <w:r>
        <w:rPr>
          <w:rFonts w:hint="default" w:ascii="Times New Roman" w:hAnsi="Times New Roman" w:cs="Times New Roman"/>
          <w:color w:val="auto"/>
          <w:sz w:val="24"/>
          <w:szCs w:val="24"/>
          <w:highlight w:val="none"/>
          <w:lang w:val="en-US" w:eastAsia="zh-CN"/>
        </w:rPr>
        <w:t>、原料漂洗（清洗）废水、车间地面冲洗废水，各废水产排特征详见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_Ref24731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表2.7-1</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。根据建设单位提供资料及现场勘查，项目现有工程设有1座污水处理站用于处理现有工程产生的生产废水，处理能力为50 t/d，处理工艺为</w:t>
      </w:r>
      <w:r>
        <w:rPr>
          <w:rFonts w:hint="default" w:ascii="Times New Roman" w:hAnsi="Times New Roman" w:cs="Times New Roman"/>
          <w:bCs/>
          <w:color w:val="auto"/>
          <w:kern w:val="0"/>
          <w:sz w:val="24"/>
          <w:szCs w:val="24"/>
          <w:highlight w:val="none"/>
        </w:rPr>
        <w:t>“气浮</w:t>
      </w:r>
      <w:r>
        <w:rPr>
          <w:rFonts w:hint="default" w:ascii="Times New Roman" w:hAnsi="Times New Roman" w:cs="Times New Roman"/>
          <w:bCs/>
          <w:color w:val="auto"/>
          <w:kern w:val="0"/>
          <w:sz w:val="24"/>
          <w:szCs w:val="24"/>
          <w:highlight w:val="none"/>
          <w:lang w:val="en-US" w:eastAsia="zh-CN"/>
        </w:rPr>
        <w:t>+斜板沉淀</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bCs/>
          <w:color w:val="auto"/>
          <w:kern w:val="0"/>
          <w:sz w:val="24"/>
          <w:szCs w:val="24"/>
          <w:highlight w:val="none"/>
          <w:lang w:val="en-US" w:eastAsia="zh-CN"/>
        </w:rPr>
        <w:t>A</w:t>
      </w:r>
      <w:r>
        <w:rPr>
          <w:rFonts w:hint="default" w:ascii="Times New Roman" w:hAnsi="Times New Roman" w:cs="Times New Roman"/>
          <w:bCs/>
          <w:color w:val="auto"/>
          <w:kern w:val="0"/>
          <w:sz w:val="24"/>
          <w:szCs w:val="24"/>
          <w:highlight w:val="none"/>
          <w:vertAlign w:val="superscript"/>
          <w:lang w:val="en-US" w:eastAsia="zh-CN"/>
        </w:rPr>
        <w:t>2</w:t>
      </w:r>
      <w:r>
        <w:rPr>
          <w:rFonts w:hint="default" w:ascii="Times New Roman" w:hAnsi="Times New Roman" w:cs="Times New Roman"/>
          <w:bCs/>
          <w:color w:val="auto"/>
          <w:kern w:val="0"/>
          <w:sz w:val="24"/>
          <w:szCs w:val="24"/>
          <w:highlight w:val="none"/>
          <w:lang w:val="en-US" w:eastAsia="zh-CN"/>
        </w:rPr>
        <w:t>O</w:t>
      </w:r>
      <w:r>
        <w:rPr>
          <w:rFonts w:hint="default" w:ascii="Times New Roman" w:hAnsi="Times New Roman" w:cs="Times New Roman"/>
          <w:bCs/>
          <w:color w:val="auto"/>
          <w:kern w:val="0"/>
          <w:sz w:val="24"/>
          <w:szCs w:val="24"/>
          <w:highlight w:val="none"/>
        </w:rPr>
        <w:t>+MBR膜</w:t>
      </w:r>
      <w:r>
        <w:rPr>
          <w:rFonts w:hint="default" w:ascii="Times New Roman" w:hAnsi="Times New Roman" w:cs="Times New Roman"/>
          <w:bCs/>
          <w:color w:val="auto"/>
          <w:kern w:val="0"/>
          <w:sz w:val="24"/>
          <w:szCs w:val="24"/>
          <w:highlight w:val="none"/>
          <w:lang w:val="en-US" w:eastAsia="zh-CN"/>
        </w:rPr>
        <w:t>+板框压滤</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lang w:val="en-US" w:eastAsia="zh-CN"/>
        </w:rPr>
        <w:t>处理工艺流程详见</w:t>
      </w:r>
      <w:r>
        <w:rPr>
          <w:rFonts w:hint="default" w:ascii="Times New Roman" w:hAnsi="Times New Roman" w:cs="Times New Roman"/>
          <w:bCs/>
          <w:color w:val="auto"/>
          <w:kern w:val="0"/>
          <w:sz w:val="24"/>
          <w:szCs w:val="24"/>
          <w:highlight w:val="none"/>
          <w:lang w:val="en-US" w:eastAsia="zh-CN"/>
        </w:rPr>
        <w:fldChar w:fldCharType="begin"/>
      </w:r>
      <w:r>
        <w:rPr>
          <w:rFonts w:hint="default" w:ascii="Times New Roman" w:hAnsi="Times New Roman" w:cs="Times New Roman"/>
          <w:bCs/>
          <w:color w:val="auto"/>
          <w:kern w:val="0"/>
          <w:sz w:val="24"/>
          <w:szCs w:val="24"/>
          <w:highlight w:val="none"/>
          <w:lang w:val="en-US" w:eastAsia="zh-CN"/>
        </w:rPr>
        <w:instrText xml:space="preserve"> REF _Ref24783 \n \h </w:instrText>
      </w:r>
      <w:r>
        <w:rPr>
          <w:rFonts w:hint="default" w:ascii="Times New Roman" w:hAnsi="Times New Roman" w:cs="Times New Roman"/>
          <w:bCs/>
          <w:color w:val="auto"/>
          <w:kern w:val="0"/>
          <w:sz w:val="24"/>
          <w:szCs w:val="24"/>
          <w:highlight w:val="none"/>
          <w:lang w:val="en-US" w:eastAsia="zh-CN"/>
        </w:rPr>
        <w:fldChar w:fldCharType="separate"/>
      </w:r>
      <w:r>
        <w:rPr>
          <w:rFonts w:hint="default" w:ascii="Times New Roman" w:hAnsi="Times New Roman" w:cs="Times New Roman"/>
          <w:bCs/>
          <w:color w:val="auto"/>
          <w:kern w:val="0"/>
          <w:sz w:val="24"/>
          <w:szCs w:val="24"/>
          <w:highlight w:val="none"/>
          <w:lang w:val="en-US" w:eastAsia="zh-CN"/>
        </w:rPr>
        <w:t>图2.7-1</w:t>
      </w:r>
      <w:r>
        <w:rPr>
          <w:rFonts w:hint="default" w:ascii="Times New Roman" w:hAnsi="Times New Roman" w:cs="Times New Roman"/>
          <w:bCs/>
          <w:color w:val="auto"/>
          <w:kern w:val="0"/>
          <w:sz w:val="24"/>
          <w:szCs w:val="24"/>
          <w:highlight w:val="none"/>
          <w:lang w:val="en-US" w:eastAsia="zh-CN"/>
        </w:rPr>
        <w:fldChar w:fldCharType="end"/>
      </w:r>
      <w:r>
        <w:rPr>
          <w:rFonts w:hint="default" w:ascii="Times New Roman" w:hAnsi="Times New Roman"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lang w:val="en-US" w:eastAsia="zh-CN"/>
        </w:rPr>
        <w:t>生产废水处理达</w:t>
      </w:r>
      <w:r>
        <w:rPr>
          <w:rFonts w:hint="eastAsia" w:cs="Times New Roman"/>
          <w:color w:val="auto"/>
          <w:highlight w:val="none"/>
          <w:lang w:val="en-US" w:eastAsia="zh-CN"/>
        </w:rPr>
        <w:t>《城市污水再生利用 工业用水水质》（GB/T19923-2005）表1中洗涤用水水质标准后全部回用于原料清洗，不排放</w:t>
      </w:r>
      <w:r>
        <w:rPr>
          <w:rFonts w:hint="default" w:ascii="Times New Roman" w:hAnsi="Times New Roman" w:cs="Times New Roman"/>
          <w:bCs/>
          <w:color w:val="auto"/>
          <w:kern w:val="0"/>
          <w:sz w:val="24"/>
          <w:szCs w:val="24"/>
          <w:highlight w:val="none"/>
          <w:lang w:val="en-US" w:eastAsia="zh-CN"/>
        </w:rPr>
        <w:t>。</w:t>
      </w:r>
      <w:r>
        <w:rPr>
          <w:rFonts w:hint="eastAsia" w:cs="Times New Roman"/>
          <w:bCs/>
          <w:color w:val="auto"/>
          <w:kern w:val="0"/>
          <w:sz w:val="24"/>
          <w:szCs w:val="24"/>
          <w:highlight w:val="none"/>
          <w:lang w:val="en-US" w:eastAsia="zh-CN"/>
        </w:rPr>
        <w:t>（原经污水站处理达到</w:t>
      </w:r>
      <w:r>
        <w:rPr>
          <w:rFonts w:hint="default" w:ascii="Times New Roman" w:hAnsi="Times New Roman" w:cs="Times New Roman"/>
          <w:color w:val="auto"/>
          <w:highlight w:val="none"/>
          <w:lang w:val="en-US" w:eastAsia="zh-CN"/>
        </w:rPr>
        <w:t>《合成树脂工业污染物排放标准》（GB31572-2015）中表1直接排放限值</w:t>
      </w:r>
      <w:r>
        <w:rPr>
          <w:rFonts w:hint="eastAsia" w:cs="Times New Roman"/>
          <w:color w:val="auto"/>
          <w:highlight w:val="none"/>
          <w:lang w:val="en-US" w:eastAsia="zh-CN"/>
        </w:rPr>
        <w:t>后排入园区污水管网，后为节约水资源，改为经污水站处理后全部回用于原料清洗，不排放</w:t>
      </w:r>
      <w:r>
        <w:rPr>
          <w:rFonts w:hint="eastAsia" w:cs="Times New Roman"/>
          <w:bCs/>
          <w:color w:val="auto"/>
          <w:kern w:val="0"/>
          <w:sz w:val="24"/>
          <w:szCs w:val="24"/>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sz w:val="24"/>
          <w:szCs w:val="24"/>
          <w:highlight w:val="none"/>
          <w:lang w:val="en-US" w:eastAsia="zh-CN"/>
        </w:rPr>
        <w:t>了了解项目现有工程废水产生</w:t>
      </w:r>
      <w:r>
        <w:rPr>
          <w:rFonts w:hint="default" w:ascii="Times New Roman" w:hAnsi="Times New Roman" w:eastAsia="宋体" w:cs="Times New Roman"/>
          <w:color w:val="auto"/>
          <w:sz w:val="24"/>
          <w:szCs w:val="24"/>
          <w:highlight w:val="none"/>
          <w:lang w:val="en-US" w:eastAsia="zh-CN"/>
        </w:rPr>
        <w:t>及</w:t>
      </w:r>
      <w:r>
        <w:rPr>
          <w:rFonts w:hint="eastAsia" w:cs="Times New Roman"/>
          <w:color w:val="auto"/>
          <w:sz w:val="24"/>
          <w:szCs w:val="24"/>
          <w:highlight w:val="none"/>
          <w:lang w:val="en-US" w:eastAsia="zh-CN"/>
        </w:rPr>
        <w:t>处理后的水质</w:t>
      </w:r>
      <w:r>
        <w:rPr>
          <w:rFonts w:hint="default" w:ascii="Times New Roman" w:hAnsi="Times New Roman" w:eastAsia="宋体" w:cs="Times New Roman"/>
          <w:color w:val="auto"/>
          <w:sz w:val="24"/>
          <w:szCs w:val="24"/>
          <w:highlight w:val="none"/>
          <w:lang w:val="en-US" w:eastAsia="zh-CN"/>
        </w:rPr>
        <w:t>情况</w:t>
      </w:r>
      <w:r>
        <w:rPr>
          <w:rFonts w:hint="default" w:ascii="Times New Roman" w:hAnsi="Times New Roman" w:eastAsia="宋体" w:cs="Times New Roman"/>
          <w:color w:val="auto"/>
          <w:sz w:val="24"/>
          <w:szCs w:val="24"/>
          <w:highlight w:val="none"/>
          <w:lang w:val="en-US" w:eastAsia="zh-CN"/>
        </w:rPr>
        <w:t>，本次评价通过收集《福建闽宏纤维有限公司年产3万吨的PET再生纤维（一期工程）项目竣工环境保护验收监测报告》中委托厦门威正检测技术有限公司于2019年3月5日~2019年3月6日对1号厂区生活污水的水质监测数据和《福建闽宏纤维有限公司年产3万吨的PET再生纤维（二期工程）项目竣工环境保护验收监测报告》中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于2021年4月</w:t>
      </w:r>
      <w:r>
        <w:rPr>
          <w:rFonts w:hint="default" w:ascii="Times New Roman" w:hAnsi="Times New Roman" w:eastAsia="宋体" w:cs="Times New Roman"/>
          <w:color w:val="auto"/>
          <w:highlight w:val="none"/>
          <w:lang w:val="en-US" w:eastAsia="zh-CN"/>
        </w:rPr>
        <w:t>15日~2021年4月16日对污水处理站进出口、2号厂区生活污水的水质监测数据。根据监测结果，污水处理站出口水质均可</w:t>
      </w:r>
      <w:r>
        <w:rPr>
          <w:rFonts w:hint="default" w:ascii="Times New Roman" w:hAnsi="Times New Roman" w:cs="Times New Roman"/>
          <w:color w:val="auto"/>
          <w:highlight w:val="none"/>
          <w:lang w:val="en-US" w:eastAsia="zh-CN"/>
        </w:rPr>
        <w:t>符合</w:t>
      </w:r>
      <w:r>
        <w:rPr>
          <w:rFonts w:hint="eastAsia" w:cs="Times New Roman"/>
          <w:color w:val="auto"/>
          <w:highlight w:val="none"/>
          <w:lang w:val="en-US" w:eastAsia="zh-CN"/>
        </w:rPr>
        <w:t>《城市污水再生利用 工业用水水质》（GB/T19923-2005）表1中洗涤用水水质标准，满足回用水质要求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生活污水经化粪池处理后出口水质符合牙城镇污水处理厂设计进水水质要求，</w:t>
      </w:r>
      <w:r>
        <w:rPr>
          <w:rFonts w:hint="default" w:ascii="Times New Roman" w:hAnsi="Times New Roman" w:eastAsia="宋体" w:cs="Times New Roman"/>
          <w:color w:val="auto"/>
          <w:highlight w:val="none"/>
          <w:lang w:val="en-US" w:eastAsia="zh-CN"/>
        </w:rPr>
        <w:t>详见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_Ref24875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表2.7-2</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_Ref24885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表2.7-3</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color w:val="auto"/>
          <w:lang w:val="en-US" w:eastAsia="zh-CN"/>
        </w:rPr>
      </w:pPr>
      <w:bookmarkStart w:id="190" w:name="_Ref24731"/>
      <w:r>
        <w:rPr>
          <w:rFonts w:hint="default"/>
          <w:color w:val="auto"/>
          <w:lang w:val="en-US" w:eastAsia="zh-CN"/>
        </w:rPr>
        <w:t>现有工程废水产排</w:t>
      </w:r>
      <w:bookmarkEnd w:id="190"/>
      <w:r>
        <w:rPr>
          <w:rFonts w:hint="default"/>
          <w:color w:val="auto"/>
          <w:lang w:val="en-US" w:eastAsia="zh-CN"/>
        </w:rPr>
        <w:t>特征</w:t>
      </w:r>
    </w:p>
    <w:p>
      <w:pPr>
        <w:ind w:left="0" w:leftChars="0" w:firstLine="0" w:firstLineChars="0"/>
        <w:rPr>
          <w:rFonts w:hint="default" w:ascii="Times New Roman" w:hAnsi="Times New Roman" w:cs="Times New Roman"/>
          <w:color w:val="auto"/>
          <w:highlight w:val="none"/>
          <w:lang w:val="en-US" w:eastAsia="zh-CN"/>
        </w:rPr>
      </w:pPr>
    </w:p>
    <w:p>
      <w:pPr>
        <w:ind w:left="0" w:leftChars="0" w:firstLine="0" w:firstLineChars="0"/>
        <w:rPr>
          <w:rFonts w:hint="default" w:ascii="Times New Roman" w:hAnsi="Times New Roman" w:cs="Times New Roman"/>
          <w:b/>
          <w:bCs/>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bookmarkStart w:id="191" w:name="_Ref24783"/>
      <w:r>
        <w:rPr>
          <w:rFonts w:hint="default" w:ascii="Times New Roman" w:hAnsi="Times New Roman" w:cs="Times New Roman"/>
          <w:bCs/>
          <w:color w:val="auto"/>
          <w:kern w:val="0"/>
          <w:sz w:val="24"/>
          <w:szCs w:val="24"/>
          <w:highlight w:val="none"/>
          <w:lang w:val="en-US" w:eastAsia="zh-CN"/>
        </w:rPr>
        <w:t>污水站处理工艺流程图</w:t>
      </w:r>
      <w:bookmarkEnd w:id="191"/>
    </w:p>
    <w:p>
      <w:pPr>
        <w:rPr>
          <w:rFonts w:hint="default" w:ascii="Times New Roman" w:hAnsi="Times New Roman" w:cs="Times New Roman"/>
          <w:bCs/>
          <w:color w:val="auto"/>
          <w:kern w:val="0"/>
          <w:sz w:val="24"/>
          <w:szCs w:val="24"/>
          <w:highlight w:val="none"/>
          <w:lang w:val="en-US" w:eastAsia="zh-CN"/>
        </w:rPr>
      </w:pPr>
    </w:p>
    <w:p>
      <w:pPr>
        <w:bidi w:val="0"/>
        <w:rPr>
          <w:rFonts w:hint="default" w:ascii="Times New Roman" w:hAnsi="Times New Roman" w:cs="Times New Roman"/>
          <w:color w:val="auto"/>
          <w:highlight w:val="none"/>
          <w:lang w:val="en-US" w:eastAsia="zh-CN"/>
        </w:rPr>
      </w:pPr>
    </w:p>
    <w:p>
      <w:pPr>
        <w:pStyle w:val="24"/>
        <w:numPr>
          <w:ilvl w:val="6"/>
          <w:numId w:val="3"/>
        </w:numPr>
        <w:tabs>
          <w:tab w:val="left" w:pos="420"/>
        </w:tabs>
        <w:bidi w:val="0"/>
        <w:rPr>
          <w:rFonts w:hint="default"/>
          <w:color w:val="auto"/>
          <w:lang w:val="en-US" w:eastAsia="zh-CN"/>
        </w:rPr>
      </w:pPr>
      <w:bookmarkStart w:id="192" w:name="_Ref24875"/>
      <w:r>
        <w:rPr>
          <w:rFonts w:hint="default"/>
          <w:color w:val="auto"/>
          <w:lang w:val="en-US" w:eastAsia="zh-CN"/>
        </w:rPr>
        <w:t>现有工程污水处理站进出口水质监测结果</w:t>
      </w:r>
      <w:bookmarkEnd w:id="192"/>
    </w:p>
    <w:p>
      <w:pPr>
        <w:pStyle w:val="24"/>
        <w:numPr>
          <w:ilvl w:val="6"/>
          <w:numId w:val="3"/>
        </w:numPr>
        <w:tabs>
          <w:tab w:val="left" w:pos="420"/>
        </w:tabs>
        <w:bidi w:val="0"/>
        <w:rPr>
          <w:rFonts w:hint="default"/>
          <w:color w:val="auto"/>
          <w:lang w:val="en-US" w:eastAsia="zh-CN"/>
        </w:rPr>
      </w:pPr>
      <w:bookmarkStart w:id="193" w:name="_Ref24885"/>
      <w:r>
        <w:rPr>
          <w:rFonts w:hint="default"/>
          <w:color w:val="auto"/>
          <w:lang w:val="en-US" w:eastAsia="zh-CN"/>
        </w:rPr>
        <w:t>现有工程化粪池出口水质监测结果</w:t>
      </w:r>
      <w:bookmarkEnd w:id="193"/>
    </w:p>
    <w:p>
      <w:pPr>
        <w:bidi w:val="0"/>
        <w:rPr>
          <w:rFonts w:hint="default" w:ascii="Times New Roman" w:hAnsi="Times New Roman" w:cs="Times New Roman"/>
          <w:color w:val="auto"/>
          <w:highlight w:val="none"/>
          <w:lang w:val="en-US" w:eastAsia="zh-CN"/>
        </w:rPr>
      </w:pPr>
    </w:p>
    <w:p>
      <w:pPr>
        <w:pStyle w:val="24"/>
        <w:numPr>
          <w:ilvl w:val="6"/>
          <w:numId w:val="3"/>
        </w:numPr>
        <w:tabs>
          <w:tab w:val="left" w:pos="420"/>
        </w:tabs>
        <w:bidi w:val="0"/>
        <w:rPr>
          <w:rFonts w:hint="default"/>
          <w:color w:val="auto"/>
          <w:lang w:val="en-US" w:eastAsia="zh-CN"/>
        </w:rPr>
      </w:pPr>
      <w:bookmarkStart w:id="194" w:name="_Ref2012"/>
      <w:r>
        <w:rPr>
          <w:rFonts w:hint="default"/>
          <w:color w:val="auto"/>
          <w:lang w:val="en-US" w:eastAsia="zh-CN"/>
        </w:rPr>
        <w:t>现有工程水污染物产排情况一览表</w:t>
      </w:r>
      <w:bookmarkEnd w:id="194"/>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废气污染源强及环保措施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（1）有组织废气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生产过程中产生的有组织废气主要为造粒生产线产生的颗粒物、非甲烷总烃，纺丝、牵伸、卷曲、松弛热定型等产生的非甲烷总烃以及锅炉产生的废气。1号厂区设有1条造粒生产线和2条纺丝生产线，2号厂区设有造粒生产线1条。全厂共设有5套废气处理设施，废气治理设施布设情况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_Ref1138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pPr>
    </w:p>
    <w:p>
      <w:pPr>
        <w:pStyle w:val="24"/>
        <w:numPr>
          <w:ilvl w:val="6"/>
          <w:numId w:val="3"/>
        </w:numPr>
        <w:tabs>
          <w:tab w:val="left" w:pos="420"/>
        </w:tabs>
        <w:bidi w:val="0"/>
        <w:rPr>
          <w:rFonts w:hint="default"/>
          <w:color w:val="auto"/>
          <w:lang w:val="en-US" w:eastAsia="zh-CN"/>
        </w:rPr>
      </w:pPr>
      <w:bookmarkStart w:id="195" w:name="_Ref1138"/>
      <w:r>
        <w:rPr>
          <w:rFonts w:hint="default"/>
          <w:color w:val="auto"/>
          <w:lang w:val="en-US" w:eastAsia="zh-CN"/>
        </w:rPr>
        <w:t>现有工程废气处理设施布设情况一览表</w:t>
      </w:r>
      <w:bookmarkEnd w:id="195"/>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为了了解项目现有工程有组织废气产排情况，本次评价通过收集</w:t>
      </w:r>
      <w:r>
        <w:rPr>
          <w:rFonts w:hint="default" w:ascii="Times New Roman" w:hAnsi="Times New Roman" w:eastAsia="宋体" w:cs="Times New Roman"/>
          <w:color w:val="auto"/>
          <w:sz w:val="24"/>
          <w:szCs w:val="24"/>
          <w:highlight w:val="none"/>
          <w:lang w:val="en-US" w:eastAsia="zh-CN"/>
        </w:rPr>
        <w:t>《福建闽宏纤维有限公司年产3万吨的PET再生纤维（一期工程）项目竣工环境保护验收监测报告》中委托厦门中迅德检测技术股份有限公司于2019年5月1</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日~2019年5月12日对1号厂区造粒生产线有组织废气排放的监测数据</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《福建闽宏纤维有限公司年产3万吨的PET再生纤维（二期工程）项目竣工环境保护验收监测报告》中委托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于2021年4月</w:t>
      </w:r>
      <w:r>
        <w:rPr>
          <w:rFonts w:hint="default" w:ascii="Times New Roman" w:hAnsi="Times New Roman" w:eastAsia="宋体" w:cs="Times New Roman"/>
          <w:color w:val="auto"/>
          <w:highlight w:val="none"/>
          <w:lang w:val="en-US" w:eastAsia="zh-CN"/>
        </w:rPr>
        <w:t>15日~2021年4月16日对1号厂区纺丝生产线、2号厂区造粒生产线</w:t>
      </w:r>
      <w:r>
        <w:rPr>
          <w:rFonts w:hint="eastAsia" w:cs="Times New Roman"/>
          <w:color w:val="auto"/>
          <w:highlight w:val="none"/>
          <w:lang w:val="en-US" w:eastAsia="zh-CN"/>
        </w:rPr>
        <w:t>和建设单位</w:t>
      </w:r>
      <w:r>
        <w:rPr>
          <w:rFonts w:hint="default" w:ascii="Times New Roman" w:hAnsi="Times New Roman" w:eastAsia="宋体" w:cs="Times New Roman"/>
          <w:color w:val="auto"/>
          <w:sz w:val="24"/>
          <w:szCs w:val="24"/>
          <w:highlight w:val="none"/>
          <w:lang w:val="en-US" w:eastAsia="zh-CN"/>
        </w:rPr>
        <w:t>于2021年</w:t>
      </w:r>
      <w:r>
        <w:rPr>
          <w:rFonts w:hint="eastAsia"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lang w:val="en-US" w:eastAsia="zh-CN"/>
        </w:rPr>
        <w:t>月</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日~2021年</w:t>
      </w:r>
      <w:r>
        <w:rPr>
          <w:rFonts w:hint="eastAsia" w:cs="Times New Roman"/>
          <w:color w:val="auto"/>
          <w:highlight w:val="none"/>
          <w:lang w:val="en-US" w:eastAsia="zh-CN"/>
        </w:rPr>
        <w:t>11</w:t>
      </w:r>
      <w:r>
        <w:rPr>
          <w:rFonts w:hint="default" w:ascii="Times New Roman" w:hAnsi="Times New Roman" w:eastAsia="宋体" w:cs="Times New Roman"/>
          <w:color w:val="auto"/>
          <w:highlight w:val="none"/>
          <w:lang w:val="en-US" w:eastAsia="zh-CN"/>
        </w:rPr>
        <w:t>月1</w:t>
      </w:r>
      <w:r>
        <w:rPr>
          <w:rFonts w:hint="eastAsia" w:cs="Times New Roman"/>
          <w:color w:val="auto"/>
          <w:highlight w:val="none"/>
          <w:lang w:val="en-US" w:eastAsia="zh-CN"/>
        </w:rPr>
        <w:t>0</w:t>
      </w:r>
      <w:r>
        <w:rPr>
          <w:rFonts w:hint="default" w:ascii="Times New Roman" w:hAnsi="Times New Roman" w:eastAsia="宋体" w:cs="Times New Roman"/>
          <w:color w:val="auto"/>
          <w:highlight w:val="none"/>
          <w:lang w:val="en-US" w:eastAsia="zh-CN"/>
        </w:rPr>
        <w:t>日</w:t>
      </w:r>
      <w:r>
        <w:rPr>
          <w:rFonts w:hint="eastAsia" w:cs="Times New Roman"/>
          <w:color w:val="auto"/>
          <w:highlight w:val="none"/>
          <w:lang w:val="en-US" w:eastAsia="zh-CN"/>
        </w:rPr>
        <w:t>委托</w:t>
      </w:r>
      <w:r>
        <w:rPr>
          <w:rFonts w:hint="default" w:ascii="Times New Roman" w:hAnsi="Times New Roman" w:cs="Times New Roman"/>
          <w:color w:val="auto"/>
          <w:sz w:val="24"/>
          <w:szCs w:val="24"/>
          <w:highlight w:val="none"/>
          <w:lang w:val="en-US" w:eastAsia="zh-CN"/>
        </w:rPr>
        <w:t>厦门科仪检测技术有限公司</w:t>
      </w:r>
      <w:r>
        <w:rPr>
          <w:rFonts w:hint="eastAsia" w:cs="Times New Roman"/>
          <w:color w:val="auto"/>
          <w:highlight w:val="none"/>
          <w:lang w:val="en-US" w:eastAsia="zh-CN"/>
        </w:rPr>
        <w:t>对</w:t>
      </w:r>
      <w:r>
        <w:rPr>
          <w:rFonts w:hint="default" w:ascii="Times New Roman" w:hAnsi="Times New Roman" w:cs="Times New Roman"/>
          <w:color w:val="auto"/>
          <w:highlight w:val="none"/>
          <w:lang w:val="en-US" w:eastAsia="zh-CN"/>
        </w:rPr>
        <w:t>锅炉</w:t>
      </w:r>
      <w:r>
        <w:rPr>
          <w:rFonts w:hint="default" w:ascii="Times New Roman" w:hAnsi="Times New Roman" w:eastAsia="宋体" w:cs="Times New Roman"/>
          <w:color w:val="auto"/>
          <w:highlight w:val="none"/>
          <w:lang w:val="en-US" w:eastAsia="zh-CN"/>
        </w:rPr>
        <w:t>废气的监测数据</w:t>
      </w:r>
      <w:r>
        <w:rPr>
          <w:rFonts w:hint="default" w:ascii="Times New Roman" w:hAnsi="Times New Roman" w:eastAsia="宋体" w:cs="Times New Roman"/>
          <w:color w:val="auto"/>
          <w:highlight w:val="none"/>
          <w:lang w:val="en-US" w:eastAsia="zh-CN"/>
        </w:rPr>
        <w:t>。监测结果详见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_Ref1224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表2.7-6</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_Ref17708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表2.7-7</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p>
    <w:p>
      <w:pPr>
        <w:pStyle w:val="24"/>
        <w:numPr>
          <w:ilvl w:val="6"/>
          <w:numId w:val="3"/>
        </w:numPr>
        <w:tabs>
          <w:tab w:val="left" w:pos="420"/>
        </w:tabs>
        <w:bidi w:val="0"/>
        <w:rPr>
          <w:rFonts w:hint="default"/>
          <w:color w:val="auto"/>
          <w:lang w:val="en-US" w:eastAsia="zh-CN"/>
        </w:rPr>
      </w:pPr>
      <w:bookmarkStart w:id="196" w:name="_Ref1224"/>
      <w:r>
        <w:rPr>
          <w:rFonts w:hint="default"/>
          <w:color w:val="auto"/>
          <w:lang w:val="en-US" w:eastAsia="zh-CN"/>
        </w:rPr>
        <w:t>现有工程有组织废气监测结果</w:t>
      </w:r>
      <w:bookmarkEnd w:id="196"/>
    </w:p>
    <w:p>
      <w:pPr>
        <w:pStyle w:val="24"/>
        <w:numPr>
          <w:ilvl w:val="6"/>
          <w:numId w:val="3"/>
        </w:numPr>
        <w:tabs>
          <w:tab w:val="left" w:pos="420"/>
        </w:tabs>
        <w:bidi w:val="0"/>
        <w:rPr>
          <w:rFonts w:hint="default"/>
          <w:color w:val="auto"/>
          <w:lang w:val="en-US" w:eastAsia="zh-CN"/>
        </w:rPr>
      </w:pPr>
      <w:bookmarkStart w:id="197" w:name="_Ref17708"/>
      <w:bookmarkEnd w:id="197"/>
      <w:r>
        <w:rPr>
          <w:rFonts w:hint="default"/>
          <w:color w:val="auto"/>
          <w:lang w:val="en-US" w:eastAsia="zh-CN"/>
        </w:rPr>
        <w:t>现有工程有组织废气监测结果</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_Ref1224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的监测结果表明，现有工程造粒生产线、纺丝生产线有组织废气的排放浓度均可符合</w:t>
      </w:r>
      <w:r>
        <w:rPr>
          <w:rFonts w:hint="default" w:ascii="Times New Roman" w:hAnsi="Times New Roman" w:cs="Times New Roman"/>
          <w:color w:val="auto"/>
          <w:highlight w:val="none"/>
        </w:rPr>
        <w:t>《合成树脂工业污染物排放标准》（GB31572-2015）中表4</w:t>
      </w:r>
      <w:r>
        <w:rPr>
          <w:rFonts w:hint="default" w:ascii="Times New Roman" w:hAnsi="Times New Roman" w:cs="Times New Roman"/>
          <w:color w:val="auto"/>
          <w:highlight w:val="none"/>
          <w:lang w:val="en-US" w:eastAsia="zh-CN"/>
        </w:rPr>
        <w:t>大</w:t>
      </w:r>
      <w:r>
        <w:rPr>
          <w:rFonts w:hint="default" w:ascii="Times New Roman" w:hAnsi="Times New Roman" w:cs="Times New Roman"/>
          <w:color w:val="auto"/>
          <w:highlight w:val="none"/>
        </w:rPr>
        <w:t>气污染物排放限值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天然气锅炉排放的颗粒物、二氧化硫、氮氧化物有组织排放浓度</w:t>
      </w:r>
      <w:r>
        <w:rPr>
          <w:rFonts w:hint="eastAsia" w:cs="Times New Roman"/>
          <w:color w:val="auto"/>
          <w:highlight w:val="none"/>
          <w:lang w:val="en-US" w:eastAsia="zh-CN"/>
        </w:rPr>
        <w:t>和烟气黑度</w:t>
      </w:r>
      <w:r>
        <w:rPr>
          <w:rFonts w:hint="default" w:ascii="Times New Roman" w:hAnsi="Times New Roman" w:cs="Times New Roman"/>
          <w:color w:val="auto"/>
          <w:highlight w:val="none"/>
          <w:lang w:val="en-US" w:eastAsia="zh-CN"/>
        </w:rPr>
        <w:t>均符合《锅炉大气污染物排放标准》（GB13271-2014）中表2的燃气锅炉标准限值。</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（2）厂界无组织废气</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为了了解现有工程厂界无组织废气排放达标情况，本次评价通过收集</w:t>
      </w:r>
      <w:r>
        <w:rPr>
          <w:rFonts w:hint="default" w:ascii="Times New Roman" w:hAnsi="Times New Roman" w:eastAsia="宋体" w:cs="Times New Roman"/>
          <w:color w:val="auto"/>
          <w:sz w:val="24"/>
          <w:szCs w:val="24"/>
          <w:highlight w:val="none"/>
          <w:lang w:val="en-US" w:eastAsia="zh-CN"/>
        </w:rPr>
        <w:t>《福建闽宏纤维有限公司年产3万吨的PET再生纤维（二期工程）项目竣工环境保护验收监测报告》中委托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于2021年4月</w:t>
      </w:r>
      <w:r>
        <w:rPr>
          <w:rFonts w:hint="default" w:ascii="Times New Roman" w:hAnsi="Times New Roman" w:eastAsia="宋体" w:cs="Times New Roman"/>
          <w:color w:val="auto"/>
          <w:highlight w:val="none"/>
          <w:lang w:val="en-US" w:eastAsia="zh-CN"/>
        </w:rPr>
        <w:t>15日~2021年4月16日对1号厂区、2号厂区厂界无组织废气排放的监测数据，具体详见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_Ref31585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表2.7-8</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_Ref1015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表2.7-9</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p>
    <w:p>
      <w:pPr>
        <w:bidi w:val="0"/>
        <w:rPr>
          <w:rFonts w:hint="default" w:ascii="Times New Roman" w:hAnsi="Times New Roman" w:eastAsia="宋体" w:cs="Times New Roman"/>
          <w:color w:val="auto"/>
          <w:highlight w:val="none"/>
          <w:lang w:val="en-US" w:eastAsia="zh-CN"/>
        </w:rPr>
      </w:pPr>
    </w:p>
    <w:p>
      <w:pPr>
        <w:bidi w:val="0"/>
        <w:rPr>
          <w:rFonts w:hint="default" w:ascii="Times New Roman" w:hAnsi="Times New Roman" w:eastAsia="宋体" w:cs="Times New Roman"/>
          <w:color w:val="auto"/>
          <w:highlight w:val="none"/>
          <w:lang w:val="en-US" w:eastAsia="zh-CN"/>
        </w:rPr>
      </w:pPr>
    </w:p>
    <w:p>
      <w:pPr>
        <w:bidi w:val="0"/>
        <w:rPr>
          <w:rFonts w:hint="default" w:ascii="Times New Roman" w:hAnsi="Times New Roman" w:eastAsia="宋体" w:cs="Times New Roman"/>
          <w:color w:val="auto"/>
          <w:highlight w:val="none"/>
          <w:lang w:val="en-US" w:eastAsia="zh-CN"/>
        </w:rPr>
      </w:pPr>
    </w:p>
    <w:p>
      <w:pPr>
        <w:bidi w:val="0"/>
        <w:rPr>
          <w:rFonts w:hint="default" w:ascii="Times New Roman" w:hAnsi="Times New Roman" w:eastAsia="宋体" w:cs="Times New Roman"/>
          <w:color w:val="auto"/>
          <w:highlight w:val="none"/>
          <w:lang w:val="en-US" w:eastAsia="zh-CN"/>
        </w:rPr>
      </w:pPr>
    </w:p>
    <w:p>
      <w:pPr>
        <w:pStyle w:val="24"/>
        <w:numPr>
          <w:ilvl w:val="6"/>
          <w:numId w:val="3"/>
        </w:numPr>
        <w:tabs>
          <w:tab w:val="left" w:pos="420"/>
        </w:tabs>
        <w:bidi w:val="0"/>
        <w:rPr>
          <w:rFonts w:hint="default"/>
          <w:color w:val="auto"/>
          <w:lang w:val="en-US" w:eastAsia="zh-CN"/>
        </w:rPr>
      </w:pPr>
      <w:bookmarkStart w:id="198" w:name="_Ref31585"/>
      <w:bookmarkEnd w:id="198"/>
      <w:r>
        <w:rPr>
          <w:rFonts w:hint="default"/>
          <w:color w:val="auto"/>
          <w:lang w:val="en-US" w:eastAsia="zh-CN"/>
        </w:rPr>
        <w:t>现有工程厂界无组织废气监测结果一览表（1号厂区）</w:t>
      </w:r>
    </w:p>
    <w:p>
      <w:pPr>
        <w:pStyle w:val="24"/>
        <w:numPr>
          <w:ilvl w:val="6"/>
          <w:numId w:val="3"/>
        </w:numPr>
        <w:tabs>
          <w:tab w:val="left" w:pos="420"/>
        </w:tabs>
        <w:bidi w:val="0"/>
        <w:rPr>
          <w:rFonts w:hint="default"/>
          <w:color w:val="auto"/>
          <w:lang w:val="en-US" w:eastAsia="zh-CN"/>
        </w:rPr>
      </w:pPr>
      <w:bookmarkStart w:id="199" w:name="_Ref1015"/>
      <w:r>
        <w:rPr>
          <w:rFonts w:hint="default"/>
          <w:color w:val="auto"/>
          <w:lang w:val="en-US" w:eastAsia="zh-CN"/>
        </w:rPr>
        <w:t>现有工程厂界无组织废气监测结果一览表（2号厂区）</w:t>
      </w:r>
      <w:bookmarkEnd w:id="199"/>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_Ref31585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表2.7-8</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_Ref1015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表2.7-9</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的厂界无组织废气的监测结果，项目现有工程颗粒物、非甲烷总烃厂界无组织排放浓度均符合</w:t>
      </w:r>
      <w:r>
        <w:rPr>
          <w:rFonts w:hint="default" w:ascii="Times New Roman" w:hAnsi="Times New Roman" w:cs="Times New Roman"/>
          <w:color w:val="auto"/>
          <w:highlight w:val="none"/>
        </w:rPr>
        <w:t>《合成树脂工业污染物排放标准》（GB31572-2015）中表9</w:t>
      </w:r>
      <w:r>
        <w:rPr>
          <w:rFonts w:hint="default" w:ascii="Times New Roman" w:hAnsi="Times New Roman" w:cs="Times New Roman"/>
          <w:color w:val="auto"/>
          <w:highlight w:val="none"/>
          <w:lang w:val="en-US" w:eastAsia="zh-CN"/>
        </w:rPr>
        <w:t>企业边界</w:t>
      </w:r>
      <w:r>
        <w:rPr>
          <w:rFonts w:hint="default" w:ascii="Times New Roman" w:hAnsi="Times New Roman" w:cs="Times New Roman"/>
          <w:color w:val="auto"/>
          <w:highlight w:val="none"/>
        </w:rPr>
        <w:t>大气污染物</w:t>
      </w:r>
      <w:r>
        <w:rPr>
          <w:rFonts w:hint="default" w:ascii="Times New Roman" w:hAnsi="Times New Roman" w:cs="Times New Roman"/>
          <w:color w:val="auto"/>
          <w:highlight w:val="none"/>
          <w:lang w:val="en-US" w:eastAsia="zh-CN"/>
        </w:rPr>
        <w:t>浓度限值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氨、硫化氢、臭气浓度厂界无组织排放浓度均符合《恶臭污染物排放标准》（GB14554-93）中表1二级标准。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（3）厂内无组织废气</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为了了解现有工程厂内无组织废气（非甲烷总烃）排放达标情况，本次评价通过收集</w:t>
      </w:r>
      <w:r>
        <w:rPr>
          <w:rFonts w:hint="default" w:ascii="Times New Roman" w:hAnsi="Times New Roman" w:eastAsia="宋体" w:cs="Times New Roman"/>
          <w:color w:val="auto"/>
          <w:sz w:val="24"/>
          <w:szCs w:val="24"/>
          <w:highlight w:val="none"/>
          <w:lang w:val="en-US" w:eastAsia="zh-CN"/>
        </w:rPr>
        <w:t>《福建闽宏纤维有限公司年产3万吨的PET再生纤维（二期工程）项目竣工环境保护验收监测报告》中委托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于2021年4月</w:t>
      </w:r>
      <w:r>
        <w:rPr>
          <w:rFonts w:hint="default" w:ascii="Times New Roman" w:hAnsi="Times New Roman" w:eastAsia="宋体" w:cs="Times New Roman"/>
          <w:color w:val="auto"/>
          <w:highlight w:val="none"/>
          <w:lang w:val="en-US" w:eastAsia="zh-CN"/>
        </w:rPr>
        <w:t>15日~2021年4月16日对1号厂区、2号厂区厂内非甲烷总烃的监测数据，具体详见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_Ref30497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表2.7-10</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p>
    <w:p>
      <w:pPr>
        <w:pStyle w:val="24"/>
        <w:numPr>
          <w:ilvl w:val="6"/>
          <w:numId w:val="3"/>
        </w:numPr>
        <w:tabs>
          <w:tab w:val="left" w:pos="420"/>
        </w:tabs>
        <w:bidi w:val="0"/>
        <w:rPr>
          <w:rFonts w:hint="default"/>
          <w:color w:val="auto"/>
          <w:lang w:val="en-US" w:eastAsia="zh-CN"/>
        </w:rPr>
      </w:pPr>
      <w:bookmarkStart w:id="200" w:name="_Ref30497"/>
      <w:bookmarkEnd w:id="200"/>
      <w:bookmarkStart w:id="201" w:name="_Ref31190"/>
      <w:r>
        <w:rPr>
          <w:rFonts w:hint="default"/>
          <w:color w:val="auto"/>
          <w:lang w:val="en-US" w:eastAsia="zh-CN"/>
        </w:rPr>
        <w:t>现有工程厂内无组织废气监测结果一览表</w:t>
      </w:r>
      <w:bookmarkEnd w:id="201"/>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_Ref31190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表2.7-10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厂内无组织废气监测结果，项目验收监测期间厂内非甲烷总烃无组织排放浓度符合《工业企业挥发性有机物排放标准》（DB35/1782-2018）表2中浓度限值。</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（4）现有工程污染物排放核算</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_Ref1224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的监测结果核算项目现有工程各主要污染物排放量，详见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_Ref12767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3"/>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02" w:name="_Ref12767"/>
      <w:r>
        <w:rPr>
          <w:rFonts w:hint="default" w:ascii="Times New Roman" w:hAnsi="Times New Roman" w:cs="Times New Roman"/>
          <w:color w:val="auto"/>
          <w:highlight w:val="none"/>
          <w:lang w:val="en-US" w:eastAsia="zh-CN"/>
        </w:rPr>
        <w:t>现有工程废气污染源排放情况核算一览表</w:t>
      </w:r>
      <w:bookmarkEnd w:id="202"/>
    </w:p>
    <w:p>
      <w:pPr>
        <w:bidi w:val="0"/>
        <w:rPr>
          <w:rFonts w:hint="default" w:cs="Times New Roman"/>
          <w:color w:val="auto"/>
          <w:highlight w:val="none"/>
          <w:lang w:val="en-US" w:eastAsia="zh-CN"/>
        </w:rPr>
      </w:pPr>
      <w:r>
        <w:rPr>
          <w:rFonts w:hint="default" w:ascii="Times New Roman" w:hAnsi="Times New Roman" w:cs="Times New Roman"/>
          <w:color w:val="auto"/>
          <w:highlight w:val="none"/>
          <w:lang w:val="en-US" w:eastAsia="zh-CN"/>
        </w:rPr>
        <w:t>项目现有工程已通过海峡股权交易取得的</w:t>
      </w:r>
      <w:r>
        <w:rPr>
          <w:rFonts w:hint="eastAsia" w:cs="Times New Roman"/>
          <w:color w:val="auto"/>
          <w:highlight w:val="none"/>
          <w:lang w:val="en-US" w:eastAsia="zh-CN"/>
        </w:rPr>
        <w:t>废气</w:t>
      </w:r>
      <w:r>
        <w:rPr>
          <w:rFonts w:hint="default" w:ascii="Times New Roman" w:hAnsi="Times New Roman" w:cs="Times New Roman"/>
          <w:color w:val="auto"/>
          <w:highlight w:val="none"/>
          <w:lang w:val="en-US" w:eastAsia="zh-CN"/>
        </w:rPr>
        <w:t>总量（</w:t>
      </w:r>
      <w:r>
        <w:rPr>
          <w:rFonts w:hint="eastAsia" w:cs="Times New Roman"/>
          <w:color w:val="auto"/>
          <w:highlight w:val="none"/>
          <w:lang w:val="en-US" w:eastAsia="zh-CN"/>
        </w:rPr>
        <w:t>不</w:t>
      </w:r>
      <w:r>
        <w:rPr>
          <w:rFonts w:hint="default" w:ascii="Times New Roman" w:hAnsi="Times New Roman" w:cs="Times New Roman"/>
          <w:color w:val="auto"/>
          <w:highlight w:val="none"/>
          <w:lang w:val="en-US" w:eastAsia="zh-CN"/>
        </w:rPr>
        <w:t>含倍量调剂）为：</w:t>
      </w:r>
      <w:r>
        <w:rPr>
          <w:rFonts w:hint="default" w:ascii="Times New Roman" w:hAnsi="Times New Roman" w:cs="Times New Roman"/>
          <w:color w:val="auto"/>
          <w:highlight w:val="none"/>
          <w:lang w:val="en-US" w:eastAsia="zh-CN"/>
        </w:rPr>
        <w:t>二氧化硫</w:t>
      </w:r>
      <w:r>
        <w:rPr>
          <w:rFonts w:hint="eastAsia" w:cs="Times New Roman"/>
          <w:color w:val="auto"/>
          <w:highlight w:val="none"/>
          <w:lang w:val="en-US" w:eastAsia="zh-CN"/>
        </w:rPr>
        <w:t>2.7250</w:t>
      </w:r>
      <w:r>
        <w:rPr>
          <w:rFonts w:hint="default" w:ascii="Times New Roman" w:hAnsi="Times New Roman" w:cs="Times New Roman"/>
          <w:color w:val="auto"/>
          <w:highlight w:val="none"/>
          <w:lang w:val="en-US" w:eastAsia="zh-CN"/>
        </w:rPr>
        <w:t>吨/年、氮氧化物</w:t>
      </w:r>
      <w:r>
        <w:rPr>
          <w:rFonts w:hint="eastAsia" w:cs="Times New Roman"/>
          <w:color w:val="auto"/>
          <w:highlight w:val="none"/>
          <w:lang w:val="en-US" w:eastAsia="zh-CN"/>
        </w:rPr>
        <w:t>11.9744</w:t>
      </w:r>
      <w:r>
        <w:rPr>
          <w:rFonts w:hint="default" w:ascii="Times New Roman" w:hAnsi="Times New Roman" w:cs="Times New Roman"/>
          <w:color w:val="auto"/>
          <w:highlight w:val="none"/>
          <w:lang w:val="en-US" w:eastAsia="zh-CN"/>
        </w:rPr>
        <w:t>吨/年（含正在购买的</w:t>
      </w:r>
      <w:r>
        <w:rPr>
          <w:rFonts w:hint="eastAsia" w:cs="Times New Roman"/>
          <w:color w:val="auto"/>
          <w:highlight w:val="none"/>
          <w:lang w:val="en-US" w:eastAsia="zh-CN"/>
        </w:rPr>
        <w:t>1.0734</w:t>
      </w:r>
      <w:r>
        <w:rPr>
          <w:rFonts w:hint="default" w:ascii="Times New Roman" w:hAnsi="Times New Roman" w:cs="Times New Roman"/>
          <w:color w:val="auto"/>
          <w:highlight w:val="none"/>
          <w:lang w:val="en-US" w:eastAsia="zh-CN"/>
        </w:rPr>
        <w:t xml:space="preserve"> t/a</w:t>
      </w:r>
      <w:r>
        <w:rPr>
          <w:rFonts w:hint="eastAsia" w:cs="Times New Roman"/>
          <w:color w:val="auto"/>
          <w:highlight w:val="none"/>
          <w:lang w:val="en-US" w:eastAsia="zh-CN"/>
        </w:rPr>
        <w:t>），</w:t>
      </w:r>
      <w:r>
        <w:rPr>
          <w:rFonts w:hint="eastAsia" w:cs="Times New Roman"/>
          <w:color w:val="auto"/>
          <w:highlight w:val="none"/>
          <w:lang w:val="en-US" w:eastAsia="zh-CN"/>
        </w:rPr>
        <w:t>根据</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_Ref12767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表2.7-11</w:t>
      </w:r>
      <w:r>
        <w:rPr>
          <w:rFonts w:hint="eastAsia" w:cs="Times New Roman"/>
          <w:color w:val="auto"/>
          <w:highlight w:val="none"/>
          <w:lang w:val="en-US" w:eastAsia="zh-CN"/>
        </w:rPr>
        <w:fldChar w:fldCharType="end"/>
      </w:r>
      <w:r>
        <w:rPr>
          <w:rFonts w:hint="eastAsia" w:cs="Times New Roman"/>
          <w:color w:val="auto"/>
          <w:highlight w:val="none"/>
          <w:lang w:val="en-US" w:eastAsia="zh-CN"/>
        </w:rPr>
        <w:t>核算结果，</w:t>
      </w:r>
      <w:r>
        <w:rPr>
          <w:rFonts w:hint="eastAsia" w:cs="Times New Roman"/>
          <w:color w:val="auto"/>
          <w:highlight w:val="none"/>
          <w:lang w:val="en-US" w:eastAsia="zh-CN"/>
        </w:rPr>
        <w:t>现有工程废气总量控制指标的排放量为：</w:t>
      </w:r>
      <w:r>
        <w:rPr>
          <w:rFonts w:hint="default" w:ascii="Times New Roman" w:hAnsi="Times New Roman" w:cs="Times New Roman"/>
          <w:color w:val="auto"/>
          <w:highlight w:val="none"/>
          <w:lang w:val="en-US" w:eastAsia="zh-CN"/>
        </w:rPr>
        <w:t>二氧化硫</w:t>
      </w:r>
      <w:r>
        <w:rPr>
          <w:rFonts w:hint="eastAsia" w:cs="Times New Roman"/>
          <w:color w:val="auto"/>
          <w:highlight w:val="none"/>
          <w:lang w:val="en-US" w:eastAsia="zh-CN"/>
        </w:rPr>
        <w:t>0.5329 t/a</w:t>
      </w:r>
      <w:r>
        <w:rPr>
          <w:rFonts w:hint="default" w:ascii="Times New Roman" w:hAnsi="Times New Roman" w:cs="Times New Roman"/>
          <w:color w:val="auto"/>
          <w:highlight w:val="none"/>
          <w:lang w:val="en-US" w:eastAsia="zh-CN"/>
        </w:rPr>
        <w:t>、氮氧化物</w:t>
      </w:r>
      <w:r>
        <w:rPr>
          <w:rFonts w:hint="eastAsia" w:cs="Times New Roman"/>
          <w:color w:val="auto"/>
          <w:highlight w:val="none"/>
          <w:lang w:val="en-US" w:eastAsia="zh-CN"/>
        </w:rPr>
        <w:t>5.5236 t/a，折算成100%工况的排放量为：</w:t>
      </w:r>
      <w:r>
        <w:rPr>
          <w:rFonts w:hint="default" w:ascii="Times New Roman" w:hAnsi="Times New Roman" w:cs="Times New Roman"/>
          <w:color w:val="auto"/>
          <w:highlight w:val="none"/>
          <w:lang w:val="en-US" w:eastAsia="zh-CN"/>
        </w:rPr>
        <w:t>二氧化硫</w:t>
      </w:r>
      <w:r>
        <w:rPr>
          <w:rFonts w:hint="eastAsia" w:cs="Times New Roman"/>
          <w:color w:val="auto"/>
          <w:highlight w:val="none"/>
          <w:lang w:val="en-US" w:eastAsia="zh-CN"/>
        </w:rPr>
        <w:t>0.5392 t/a</w:t>
      </w:r>
      <w:r>
        <w:rPr>
          <w:rFonts w:hint="default" w:ascii="Times New Roman" w:hAnsi="Times New Roman" w:cs="Times New Roman"/>
          <w:color w:val="auto"/>
          <w:highlight w:val="none"/>
          <w:lang w:val="en-US" w:eastAsia="zh-CN"/>
        </w:rPr>
        <w:t>、氮氧化物</w:t>
      </w:r>
      <w:r>
        <w:rPr>
          <w:rFonts w:hint="eastAsia" w:cs="Times New Roman"/>
          <w:color w:val="auto"/>
          <w:highlight w:val="none"/>
          <w:lang w:val="en-US" w:eastAsia="zh-CN"/>
        </w:rPr>
        <w:t>5.6474 t/a</w:t>
      </w:r>
      <w:r>
        <w:rPr>
          <w:rFonts w:hint="eastAsia" w:cs="Times New Roman"/>
          <w:color w:val="auto"/>
          <w:highlight w:val="none"/>
          <w:lang w:val="en-US" w:eastAsia="zh-CN"/>
        </w:rPr>
        <w:t>，已购买的废气总量可满足现有工程的排放需求。</w:t>
      </w:r>
    </w:p>
    <w:p>
      <w:pPr>
        <w:bidi w:val="0"/>
        <w:rPr>
          <w:rFonts w:hint="default"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噪声污染源强及环保措施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项目现有工程噪声源主要来自造粒生产线设备（破碎机、造粒机等）、纺丝生产线设备（干燥机、纺丝机、牵伸机、切断机、打包机等）和辅助设施（真空泵、工业空调送风机组、</w:t>
      </w:r>
      <w:r>
        <w:rPr>
          <w:rFonts w:hint="default" w:ascii="Times New Roman" w:hAnsi="Times New Roman" w:cs="Times New Roman"/>
          <w:color w:val="auto"/>
          <w:highlight w:val="none"/>
        </w:rPr>
        <w:t>纺丝环吹风冷却系统</w:t>
      </w:r>
      <w:r>
        <w:rPr>
          <w:rFonts w:hint="default" w:ascii="Times New Roman" w:hAnsi="Times New Roman" w:cs="Times New Roman"/>
          <w:color w:val="auto"/>
          <w:highlight w:val="none"/>
          <w:lang w:val="en-US" w:eastAsia="zh-CN"/>
        </w:rPr>
        <w:t>等）等机械设备运行时产生的噪声。项目设备均位于车间内，利用厂房隔声及距离衰减后，根据</w:t>
      </w:r>
      <w:r>
        <w:rPr>
          <w:rFonts w:hint="default" w:ascii="Times New Roman" w:hAnsi="Times New Roman" w:eastAsia="宋体" w:cs="Times New Roman"/>
          <w:color w:val="auto"/>
          <w:sz w:val="24"/>
          <w:szCs w:val="24"/>
          <w:highlight w:val="none"/>
          <w:lang w:val="en-US" w:eastAsia="zh-CN"/>
        </w:rPr>
        <w:t>《福建闽宏纤维有限公司年产3万吨的PET再生纤维（二期工程）项目竣工环境保护验收监测报告》中委托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于2021年4月</w:t>
      </w:r>
      <w:r>
        <w:rPr>
          <w:rFonts w:hint="default" w:ascii="Times New Roman" w:hAnsi="Times New Roman" w:eastAsia="宋体" w:cs="Times New Roman"/>
          <w:color w:val="auto"/>
          <w:highlight w:val="none"/>
          <w:lang w:val="en-US" w:eastAsia="zh-CN"/>
        </w:rPr>
        <w:t>15日~2021年4月16日对1号厂区、2号厂区厂界噪声的监测数据表明，项目昼、夜间各监测噪声点均可符合</w:t>
      </w:r>
      <w:r>
        <w:rPr>
          <w:rFonts w:hint="default" w:ascii="Times New Roman" w:hAnsi="Times New Roman" w:cs="Times New Roman"/>
          <w:color w:val="auto"/>
          <w:highlight w:val="none"/>
          <w:lang w:val="en-US" w:eastAsia="zh-CN"/>
        </w:rPr>
        <w:t>《工业企业厂界环境噪声排放标准》（GB12348-2008）中3类标准限值，监测结果见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_Ref17759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03" w:name="_Ref17759"/>
      <w:r>
        <w:rPr>
          <w:rFonts w:hint="default" w:ascii="Times New Roman" w:hAnsi="Times New Roman" w:cs="Times New Roman"/>
          <w:color w:val="auto"/>
          <w:highlight w:val="none"/>
          <w:lang w:val="en-US" w:eastAsia="zh-CN"/>
        </w:rPr>
        <w:t>现有工程噪声监测结果</w:t>
      </w:r>
      <w:bookmarkEnd w:id="203"/>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固体废物产生量及处置措施</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（1）一般工业固体废物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现有工程产生的一般工业固体废物主要有原辅材料废包装袋、废熔块、废丝、污泥。一般工业固体废物分类收集后，暂存于一般工业固体废物贮存间（面积为200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），废包装袋定期由原材料供应公司回收，杂质委托环卫部门清运处置，废熔块、废丝经破碎后回用于造粒生产线，污泥委托三明金牛环保科技有限公司水泥窑协同处置。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（2）危险废物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现有工程产生的危险废物主要包括：废油剂、真空煅烧废渣、含油抹布、废油剂空桶。危险废物分类收集后，暂存于危险废物贮存间（面积为10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废油剂定期委托福建省三明辉润石化有限公司处置，真空煅烧废渣委托邵武绿益新环保产业开发有限公司处置，废油剂空桶由厂家回收综合利用。根据《国家危险废物名录》（2021年版），含油抹布属于豁免废物，</w:t>
      </w:r>
      <w:r>
        <w:rPr>
          <w:rFonts w:hint="eastAsia" w:cs="Times New Roman"/>
          <w:color w:val="auto"/>
          <w:highlight w:val="none"/>
          <w:lang w:val="en-US" w:eastAsia="zh-CN"/>
        </w:rPr>
        <w:t>可混入生活垃圾一并</w:t>
      </w:r>
      <w:r>
        <w:rPr>
          <w:rFonts w:hint="default" w:ascii="Times New Roman" w:hAnsi="Times New Roman" w:cs="Times New Roman"/>
          <w:color w:val="auto"/>
          <w:highlight w:val="none"/>
          <w:lang w:val="en-US" w:eastAsia="zh-CN"/>
        </w:rPr>
        <w:t>委托环卫部门清运处理。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（3）生活垃圾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现有工程产生的生活垃圾分类收集后，委托环卫部门及时清运处理。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项目现有工程固体废物均可得到有效的利用和处置，固体废物产生及处置情况汇总详见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_Ref18814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表2.7-13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04" w:name="_Ref18814"/>
      <w:bookmarkEnd w:id="204"/>
      <w:r>
        <w:rPr>
          <w:rFonts w:hint="default" w:ascii="Times New Roman" w:hAnsi="Times New Roman" w:cs="Times New Roman"/>
          <w:color w:val="auto"/>
          <w:highlight w:val="none"/>
          <w:lang w:val="en-US" w:eastAsia="zh-CN"/>
        </w:rPr>
        <w:t>现有工程固体废物产生及处置情况一览表</w:t>
      </w:r>
    </w:p>
    <w:p>
      <w:pPr>
        <w:pStyle w:val="3"/>
        <w:numPr>
          <w:ilvl w:val="1"/>
          <w:numId w:val="3"/>
        </w:numPr>
        <w:bidi w:val="0"/>
        <w:rPr>
          <w:rFonts w:hint="default" w:ascii="Times New Roman" w:hAnsi="Times New Roman" w:cs="Times New Roman"/>
          <w:color w:val="auto"/>
          <w:highlight w:val="none"/>
          <w:lang w:val="en-US" w:eastAsia="zh-CN"/>
        </w:rPr>
      </w:pPr>
      <w:bookmarkStart w:id="205" w:name="_Toc10664"/>
      <w:bookmarkStart w:id="206" w:name="_Toc4492"/>
      <w:bookmarkStart w:id="207" w:name="_Toc20332"/>
      <w:bookmarkStart w:id="208" w:name="_Toc24209"/>
      <w:r>
        <w:rPr>
          <w:rFonts w:hint="default" w:ascii="Times New Roman" w:hAnsi="Times New Roman" w:cs="Times New Roman"/>
          <w:color w:val="auto"/>
          <w:highlight w:val="none"/>
          <w:lang w:val="en-US" w:eastAsia="zh-CN"/>
        </w:rPr>
        <w:t>现有工程污染物排放统计</w:t>
      </w:r>
      <w:bookmarkEnd w:id="205"/>
      <w:bookmarkEnd w:id="206"/>
      <w:bookmarkEnd w:id="207"/>
      <w:bookmarkEnd w:id="208"/>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现有工程废水、废气、固体废物排放量统计详见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_Ref23151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表2.8-1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09" w:name="_Ref23151"/>
      <w:r>
        <w:rPr>
          <w:rFonts w:hint="default" w:ascii="Times New Roman" w:hAnsi="Times New Roman" w:cs="Times New Roman"/>
          <w:color w:val="auto"/>
          <w:highlight w:val="none"/>
          <w:lang w:val="en-US" w:eastAsia="zh-CN"/>
        </w:rPr>
        <w:t>现有工程污染物排放量统计一览表</w:t>
      </w:r>
      <w:bookmarkEnd w:id="209"/>
    </w:p>
    <w:p>
      <w:pPr>
        <w:pStyle w:val="3"/>
        <w:keepNext/>
        <w:keepLines/>
        <w:pageBreakBefore w:val="0"/>
        <w:widowControl w:val="0"/>
        <w:numPr>
          <w:ilvl w:val="1"/>
          <w:numId w:val="3"/>
        </w:numPr>
        <w:kinsoku/>
        <w:wordWrap/>
        <w:overflowPunct/>
        <w:topLinePunct w:val="0"/>
        <w:autoSpaceDE/>
        <w:autoSpaceDN/>
        <w:bidi w:val="0"/>
        <w:adjustRightInd/>
        <w:snapToGrid/>
        <w:textAlignment w:val="auto"/>
        <w:rPr>
          <w:rFonts w:hint="default" w:ascii="Times New Roman" w:hAnsi="Times New Roman" w:cs="Times New Roman"/>
          <w:color w:val="auto"/>
          <w:highlight w:val="none"/>
          <w:lang w:val="en-US" w:eastAsia="zh-CN"/>
        </w:rPr>
      </w:pPr>
      <w:bookmarkStart w:id="210" w:name="_Toc31762"/>
      <w:bookmarkStart w:id="211" w:name="_Toc15951"/>
      <w:bookmarkStart w:id="212" w:name="_Toc12014"/>
      <w:bookmarkStart w:id="213" w:name="_Toc5879"/>
      <w:r>
        <w:rPr>
          <w:rFonts w:hint="default" w:ascii="Times New Roman" w:hAnsi="Times New Roman" w:cs="Times New Roman"/>
          <w:color w:val="auto"/>
          <w:highlight w:val="none"/>
          <w:lang w:val="en-US" w:eastAsia="zh-CN"/>
        </w:rPr>
        <w:t>现有工程环保“三同时”制度落实情况</w:t>
      </w:r>
      <w:bookmarkEnd w:id="210"/>
      <w:bookmarkEnd w:id="211"/>
      <w:bookmarkEnd w:id="212"/>
      <w:bookmarkEnd w:id="213"/>
    </w:p>
    <w:p>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现有工程于</w:t>
      </w:r>
      <w:r>
        <w:rPr>
          <w:rFonts w:hint="default" w:ascii="Times New Roman" w:hAnsi="Times New Roman" w:cs="Times New Roman"/>
          <w:color w:val="auto"/>
          <w:highlight w:val="none"/>
        </w:rPr>
        <w:t>2016年10月委托北京中环瑞德环境工程技术有限公司编制《福建闽宏纤维有限公司年产3万吨的PET再生纤维项目环境影响报告书》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于2016年10月31获得了宁德市霞浦生态环境局（原</w:t>
      </w:r>
      <w:r>
        <w:rPr>
          <w:rFonts w:hint="default" w:ascii="Times New Roman" w:hAnsi="Times New Roman" w:cs="Times New Roman"/>
          <w:color w:val="auto"/>
          <w:highlight w:val="none"/>
        </w:rPr>
        <w:t>霞浦县环境保护局</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的批复（霞环保</w:t>
      </w:r>
      <w:r>
        <w:rPr>
          <w:rFonts w:hint="default" w:ascii="Times New Roman" w:hAnsi="Times New Roman" w:cs="Times New Roman"/>
          <w:color w:val="auto"/>
          <w:highlight w:val="none"/>
          <w:lang w:val="en-US" w:eastAsia="zh-CN"/>
        </w:rPr>
        <w:t>监[</w:t>
      </w:r>
      <w:r>
        <w:rPr>
          <w:rFonts w:hint="default" w:ascii="Times New Roman" w:hAnsi="Times New Roman" w:cs="Times New Roman"/>
          <w:color w:val="auto"/>
          <w:highlight w:val="none"/>
        </w:rPr>
        <w:t>2016</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21号）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后期</w:t>
      </w:r>
      <w:r>
        <w:rPr>
          <w:rFonts w:hint="default" w:ascii="Times New Roman" w:hAnsi="Times New Roman" w:cs="Times New Roman"/>
          <w:color w:val="auto"/>
          <w:highlight w:val="none"/>
        </w:rPr>
        <w:t>由于</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生产设备工序、生产工艺和总平</w:t>
      </w:r>
      <w:r>
        <w:rPr>
          <w:rFonts w:hint="default" w:ascii="Times New Roman" w:hAnsi="Times New Roman" w:cs="Times New Roman"/>
          <w:color w:val="auto"/>
          <w:highlight w:val="none"/>
          <w:lang w:val="en-US" w:eastAsia="zh-CN"/>
        </w:rPr>
        <w:t>面布置图</w:t>
      </w:r>
      <w:r>
        <w:rPr>
          <w:rFonts w:hint="default" w:ascii="Times New Roman" w:hAnsi="Times New Roman" w:cs="Times New Roman"/>
          <w:color w:val="auto"/>
          <w:highlight w:val="none"/>
        </w:rPr>
        <w:t>发生变更，根据《中国人民共和国环境影响评价法》第二十四条规定建设单位应当重新报批环评文件，</w:t>
      </w:r>
      <w:r>
        <w:rPr>
          <w:rFonts w:hint="default" w:ascii="Times New Roman" w:hAnsi="Times New Roman" w:cs="Times New Roman"/>
          <w:color w:val="auto"/>
          <w:highlight w:val="none"/>
          <w:lang w:val="en-US" w:eastAsia="zh-CN"/>
        </w:rPr>
        <w:t>并</w:t>
      </w:r>
      <w:r>
        <w:rPr>
          <w:rFonts w:hint="default" w:ascii="Times New Roman" w:hAnsi="Times New Roman" w:cs="Times New Roman"/>
          <w:color w:val="auto"/>
          <w:highlight w:val="none"/>
        </w:rPr>
        <w:t>于2018年1月22日委托福建省环境保护</w:t>
      </w:r>
      <w:r>
        <w:rPr>
          <w:rFonts w:hint="default" w:ascii="Times New Roman" w:hAnsi="Times New Roman" w:cs="Times New Roman"/>
          <w:color w:val="auto"/>
          <w:highlight w:val="none"/>
          <w:lang w:val="en-US" w:eastAsia="zh-CN"/>
        </w:rPr>
        <w:t>股份</w:t>
      </w:r>
      <w:r>
        <w:rPr>
          <w:rFonts w:hint="default" w:ascii="Times New Roman" w:hAnsi="Times New Roman" w:cs="Times New Roman"/>
          <w:color w:val="auto"/>
          <w:highlight w:val="none"/>
        </w:rPr>
        <w:t>公司编制《年产3万吨的PET再生纤维项目环境影响报告书》，向</w:t>
      </w:r>
      <w:r>
        <w:rPr>
          <w:rFonts w:hint="default" w:ascii="Times New Roman" w:hAnsi="Times New Roman" w:cs="Times New Roman"/>
          <w:color w:val="auto"/>
          <w:highlight w:val="none"/>
          <w:lang w:val="en-US" w:eastAsia="zh-CN"/>
        </w:rPr>
        <w:t>宁德市霞浦生态环境局（原</w:t>
      </w:r>
      <w:r>
        <w:rPr>
          <w:rFonts w:hint="default" w:ascii="Times New Roman" w:hAnsi="Times New Roman" w:cs="Times New Roman"/>
          <w:color w:val="auto"/>
          <w:highlight w:val="none"/>
        </w:rPr>
        <w:t>霞浦县环境保护局</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申请重新环评，于2019年2月14日取得环评批复（霞环保审</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2019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6号）</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项目分两期建设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2019年7月，建设单位完成了《福建闽宏纤维有限公司年产3万吨的PET再生纤维（一期工程）项目》的竣工环境保护自主验收；2021年9月，建设单位完成了《福建闽宏纤维有限公司年产3万吨的PET再生纤维（二期工程）项目》的竣工环境保护自主验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2021年3月，建设单位为提高产品质量，在保持现有工程产能不变的前提下，拟新增1台6 t/h的天然气锅炉用于二期工程中造粒生产线供热。为此，建设单位于2021年3月委托福建省闽创环保科技有限公司编制了《闽宏年产3万吨PET再生纤维技改项目环境影响报告表》并于2021年7月2日取得了宁德市霞浦生态环境局的批复（霞环保审〔</w:t>
      </w:r>
      <w:r>
        <w:rPr>
          <w:rFonts w:hint="default" w:ascii="Times New Roman" w:hAnsi="Times New Roman" w:cs="Times New Roman"/>
          <w:color w:val="auto"/>
          <w:highlight w:val="none"/>
        </w:rPr>
        <w:t>20</w:t>
      </w:r>
      <w:r>
        <w:rPr>
          <w:rFonts w:hint="default" w:ascii="Times New Roman" w:hAnsi="Times New Roman" w:cs="Times New Roman"/>
          <w:color w:val="auto"/>
          <w:highlight w:val="none"/>
          <w:lang w:val="en-US" w:eastAsia="zh-CN"/>
        </w:rPr>
        <w:t>21〕</w:t>
      </w:r>
      <w:r>
        <w:rPr>
          <w:rFonts w:hint="default" w:ascii="Times New Roman" w:hAnsi="Times New Roman" w:cs="Times New Roman"/>
          <w:b w:val="0"/>
          <w:bCs w:val="0"/>
          <w:color w:val="auto"/>
          <w:highlight w:val="none"/>
          <w:lang w:val="en-US" w:eastAsia="zh-CN"/>
        </w:rPr>
        <w:t>33</w:t>
      </w:r>
      <w:r>
        <w:rPr>
          <w:rFonts w:hint="default" w:ascii="Times New Roman" w:hAnsi="Times New Roman" w:cs="Times New Roman"/>
          <w:b w:val="0"/>
          <w:bCs w:val="0"/>
          <w:color w:val="auto"/>
          <w:highlight w:val="none"/>
        </w:rPr>
        <w:t>号</w:t>
      </w:r>
      <w:r>
        <w:rPr>
          <w:rFonts w:hint="default" w:ascii="Times New Roman" w:hAnsi="Times New Roman" w:cs="Times New Roman"/>
          <w:color w:val="auto"/>
          <w:highlight w:val="none"/>
          <w:lang w:val="en-US" w:eastAsia="zh-CN"/>
        </w:rPr>
        <w:t>），目前未建设。</w:t>
      </w:r>
    </w:p>
    <w:p>
      <w:p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lang w:val="en-US" w:eastAsia="zh-CN"/>
        </w:rPr>
        <w:t>项目现有工程与环评批复落实情况详见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_Ref31360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表2.9-1</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（以2019年2月14日取得的环评批复（霞环保审[2016] 6号）为准）</w:t>
      </w:r>
      <w:r>
        <w:rPr>
          <w:rFonts w:hint="default" w:ascii="Times New Roman" w:hAnsi="Times New Roman" w:cs="Times New Roman"/>
          <w:color w:val="auto"/>
          <w:highlight w:val="none"/>
          <w:lang w:val="en-US" w:eastAsia="zh-CN"/>
        </w:rPr>
        <w:t>，项目现有工程环保设施建设实景图详见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_Ref16701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图2.9-1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14" w:name="_Ref31360"/>
      <w:r>
        <w:rPr>
          <w:rFonts w:hint="default" w:ascii="Times New Roman" w:hAnsi="Times New Roman" w:cs="Times New Roman"/>
          <w:color w:val="auto"/>
          <w:highlight w:val="none"/>
          <w:lang w:val="en-US" w:eastAsia="zh-CN"/>
        </w:rPr>
        <w:t>现有工程环评批复落实情况一览表</w:t>
      </w:r>
      <w:bookmarkEnd w:id="214"/>
    </w:p>
    <w:tbl>
      <w:tblPr>
        <w:tblStyle w:val="18"/>
        <w:tblW w:w="142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1439"/>
        <w:gridCol w:w="5644"/>
        <w:gridCol w:w="5467"/>
        <w:gridCol w:w="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8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14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类别</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环评批复要求</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实际建设情况</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4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水污染防治措施</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落实水污染防治措施。项目生活污水经化粪池处理后和生产废水一并经过“气浮+水解酸化+UASB+MBR膜”处理达到《合成树脂工业污染物排放标准》（GB31572-2015）中表1直接排放限值要求后，排入园区污水管网纳入牙城镇生活污水处理厂进一步处理</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生活污水经化粪池处理后排入园区污水管网，进入牙城镇污水处理厂处理；生产废水经“气浮+斜板沉淀+A</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O+MBR膜+板框压滤”处理达</w:t>
            </w:r>
            <w:r>
              <w:rPr>
                <w:rFonts w:hint="eastAsia" w:cs="Times New Roman"/>
                <w:color w:val="auto"/>
                <w:highlight w:val="none"/>
                <w:lang w:val="en-US" w:eastAsia="zh-CN"/>
              </w:rPr>
              <w:t>《城市污水再生利用 工业用水水质》（GB/T19923-2005）表1中洗涤用水水质标准后，全部回用于原料清洗，不排放</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43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大气污染防治措施</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强化废气收集措施，尽量减少废气无组织排放。项目造粒过程产生的废气采用“高压雾蒸冷却系统+（冷凝法+吸收法）+四级静电等离子废气净化系统（低温等离子法）”处理后通过20m高排气筒排放；纺丝、牵伸、松驰热定型废气通过静电油烟吸附后过30m高排气筒排放。废气中的非甲烷总烃和颗粒物排放执行《合成树脂工业污染物排放标准》（GB31572-2015）表4、表9中大气污染物排放限值</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1号厂区造粒生产线设置1套废气处理设施，废气经“收集系统+高压雾蒸冷却+（冷凝法+吸收法）+低温等离子”处理后由1根32 m高排气筒（DA00</w:t>
            </w:r>
            <w:r>
              <w:rPr>
                <w:rFonts w:hint="eastAsia" w:cs="Times New Roman"/>
                <w:color w:val="auto"/>
                <w:szCs w:val="20"/>
                <w:highlight w:val="none"/>
                <w:lang w:val="en-US" w:eastAsia="zh-CN"/>
              </w:rPr>
              <w:t>2</w:t>
            </w:r>
            <w:r>
              <w:rPr>
                <w:rFonts w:hint="default" w:ascii="Times New Roman" w:hAnsi="Times New Roman" w:cs="Times New Roman"/>
                <w:color w:val="auto"/>
                <w:szCs w:val="20"/>
                <w:highlight w:val="none"/>
                <w:lang w:val="en-US" w:eastAsia="zh-CN"/>
              </w:rPr>
              <w:t>）排放；纺丝车间设置1套统一的废气收集和处理系统，纺丝、牵伸、松弛热定型废气均接入一套静电油吸附进行处理，处理达标后通过一根30m高的排气筒（DA00</w:t>
            </w:r>
            <w:r>
              <w:rPr>
                <w:rFonts w:hint="eastAsia" w:cs="Times New Roman"/>
                <w:color w:val="auto"/>
                <w:szCs w:val="20"/>
                <w:highlight w:val="none"/>
                <w:lang w:val="en-US" w:eastAsia="zh-CN"/>
              </w:rPr>
              <w:t>1</w:t>
            </w:r>
            <w:r>
              <w:rPr>
                <w:rFonts w:hint="default" w:ascii="Times New Roman" w:hAnsi="Times New Roman" w:cs="Times New Roman"/>
                <w:color w:val="auto"/>
                <w:szCs w:val="20"/>
                <w:highlight w:val="none"/>
                <w:lang w:val="en-US" w:eastAsia="zh-CN"/>
              </w:rPr>
              <w:t>）排放；2号厂区造粒车间废气经“收集系统+高压雾蒸冷却系统+冷凝法+吸收法+四级静电等离子废气净化系统（低温等离子法）”处理后由1根20 m高排气筒（DA003）排放；厂房采用机械通风并提高有组织收集效率，减少废气无组织排放。非甲烷总烃和颗粒物排放浓度均可符合《合成树脂工业污染物排放标准》（GB31572-2015）表4、表9中大气污染物排放限值</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 xml:space="preserve">已落实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43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锅炉燃烧产生的烟气经收集后通过不低于8米高的排气筒排放，排气筒高度还应高出周围半径200m距离内最高建筑物3m以上。该废气中颗粒物、二氧化硫、氮氧化物排放执行《锅炉大气污染物排放标准》（GB13271-2014）表2燃气锅炉排放浓度限值</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燃气锅炉烟气通过一根15m高的排气筒（DA004）排放，因项目临近海边，易受台风影响，为了安全考虑，排气筒高度无法高出周围边境200 m距离内最高建筑物3 m以上</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143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项目配套建设的污水处理站产生的氨、硫化氢、臭气浓度排放执行《恶臭污染物排放标准》（GB14554-93）表1中新扩改建项目二级标准</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污水处理站产生的氨、硫化氢、臭气浓度以无组织形式排放，根据厂界监测数据，可满足《恶臭污染物排放标准》（GB14554-93）表1中新扩改建项目二级标准</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4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声环境保护措施</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强化声环境保护施。优化厂区布局，优先选用低噪声设备，并采取有效的隔声降噪减振等措施减轻对周边环境的影响，厂界环境噪声执行《工业企业厂界环境噪声排放标准》（GB12348-2008）3类标准</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选用低噪声型设备，对主要噪声源采取安装减震垫、隔声、消声等综合降噪措施</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14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固体废物污染防治措施</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严格落实固体废物污染防治措施，根据国家和地方的有关规定，按照“减量化、资源化、无害化”原则，对固体废物进行分类收集、处理和处置。项目产生的含油抹布可混入生活垃圾一并委托环卫都门及时清运处理；项目产生的废熔块、废丝废等一般工业固体废物回用于生产；项目产生的危险废物必须分类收集、分区临时贮存，并委托具有相应资质的单位进行处置，执行危险废物转移联单制度，严禁随意倾倒或处置。危险废物临时贮存应执行《危险废物贮存污染控制标准》（GB18597-2001）及2013年修改单要求。项目产生的可重复利用的原料桶可由原厂家回收用于原始用途，但应按照国家对危险废物管理的有关规定和要求对其贮存、运输等环节进行环境管理，并参照危险度物管理的有关要求做好台帐记录</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①建设有1间一般工业固体废物贮存间，面积为200 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，1间危险废物贮存间，面积为10 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，固体废物贮存场所已按要求进行建设。</w:t>
            </w:r>
          </w:p>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②废包装袋定期由原材料供应公司回收，杂质委托环卫部门清运处置，废熔块、废丝经破碎后回用于造粒生产线，污泥委托委托三明金牛环保科技有限公司水泥窑协同处置；废油剂定期委托福建省三明辉润石化有限公司处置，真空煅烧废渣委托邵武绿益新环保产业开发有限公司处置，废油剂空桶由厂家回收综合利用；含油抹布混入生活垃圾一并委托环卫都门及时清运处理。</w:t>
            </w:r>
          </w:p>
          <w:p>
            <w:pPr>
              <w:pStyle w:val="21"/>
              <w:keepNext w:val="0"/>
              <w:keepLines w:val="0"/>
              <w:widowControl w:val="0"/>
              <w:suppressLineNumbers w:val="0"/>
              <w:bidi w:val="0"/>
              <w:spacing w:before="0" w:beforeAutospacing="0" w:after="0" w:afterAutospacing="0"/>
              <w:ind w:left="0"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③危险废物已按要求做好台账记录，并分类贮存</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143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环境管理</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进一步强化污染源管理工作。按照国家和地方有关规定设置规范的污染物排放口和固体废物临时贮存场所，并设立标志牌</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b w:val="0"/>
                <w:bCs w:val="0"/>
                <w:color w:val="auto"/>
                <w:szCs w:val="20"/>
                <w:highlight w:val="none"/>
                <w:lang w:val="en-US" w:eastAsia="zh-CN"/>
              </w:rPr>
              <w:t>已按相关要求设立废水、废气规范化排放口，贴有相应标识牌，设置永久采样口；固体废物临时贮存场所，贴有相应一般工业固体废物、危险废物标志牌</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eastAsia="zh-CN"/>
              </w:rPr>
            </w:pPr>
          </w:p>
        </w:tc>
        <w:tc>
          <w:tcPr>
            <w:tcW w:w="143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制定并实施覆盖各环境要素的环境监测计划，做好环境管理台账记录，在项目投入生产并产生实际排污行为之前依法申领排污许可证，按证排污</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项目已按要求制定环境监测计划以及环境管理台账记录，已取得排污许可证（证书编号：91350921315497189P001V）</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eastAsia="zh-CN"/>
              </w:rPr>
            </w:pPr>
          </w:p>
        </w:tc>
        <w:tc>
          <w:tcPr>
            <w:tcW w:w="143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严格按照报告书确定的生产原料、生产工艺流程和生产内容组织生产</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二期工程造粒生产工序不再进行清洗、脱水，减少废水污染物的排放，其余生产原料、生产工艺流程均与报告书一致</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eastAsia="zh-CN"/>
              </w:rPr>
            </w:pPr>
          </w:p>
        </w:tc>
        <w:tc>
          <w:tcPr>
            <w:tcW w:w="143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在项目实施过程中，应建立畅通的公众参与平台，及时解决公众担扰的环境问题，满足公正合理的环境诉求。定期发布企业环境信息，并主动接受社会监督</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建设单位在项目运行至今均未收到相关的环保投诉</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143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环境风险和应急措施</w:t>
            </w:r>
          </w:p>
        </w:tc>
        <w:tc>
          <w:tcPr>
            <w:tcW w:w="5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强化环境风险防范和应急措施。按照环境影响报告书要求落实各项环境风险防范和应急措施，按要求编制突发环境事件应急预案并及时报环保部门备案</w:t>
            </w:r>
          </w:p>
        </w:tc>
        <w:tc>
          <w:tcPr>
            <w:tcW w:w="54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已委托福建省环境保护股份公司编制《福建闽宏纤维有限公司突发环境事件应急预案》，并通过宁德市霞浦生态环境局备案（350921-2020-012-L）</w:t>
            </w:r>
          </w:p>
        </w:tc>
        <w:tc>
          <w:tcPr>
            <w:tcW w:w="81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已落实</w:t>
            </w:r>
          </w:p>
        </w:tc>
      </w:tr>
    </w:tbl>
    <w:p>
      <w:pPr>
        <w:rPr>
          <w:rFonts w:hint="default" w:ascii="Times New Roman" w:hAnsi="Times New Roman" w:cs="Times New Roman"/>
          <w:color w:val="auto"/>
          <w:highlight w:val="none"/>
          <w:lang w:val="en-US" w:eastAsia="zh-CN"/>
        </w:rPr>
      </w:pPr>
    </w:p>
    <w:p>
      <w:pPr>
        <w:pStyle w:val="3"/>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4"/>
        <w:gridCol w:w="4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bookmarkStart w:id="215" w:name="_Ref31171"/>
            <w:bookmarkEnd w:id="215"/>
            <w:r>
              <w:rPr>
                <w:rFonts w:hint="default" w:ascii="Times New Roman" w:hAnsi="Times New Roman" w:cs="Times New Roman"/>
                <w:color w:val="auto"/>
                <w:szCs w:val="20"/>
                <w:highlight w:val="none"/>
                <w:lang w:val="en-US" w:eastAsia="zh-CN"/>
              </w:rPr>
              <w:drawing>
                <wp:inline distT="0" distB="0" distL="114300" distR="114300">
                  <wp:extent cx="2884805" cy="2159000"/>
                  <wp:effectExtent l="0" t="0" r="10795" b="12700"/>
                  <wp:docPr id="89" name="图片 89" descr="二期微动力废水处理设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二期微动力废水处理设施"/>
                          <pic:cNvPicPr>
                            <a:picLocks noChangeAspect="1"/>
                          </pic:cNvPicPr>
                        </pic:nvPicPr>
                        <pic:blipFill>
                          <a:blip r:embed="rId14"/>
                          <a:stretch>
                            <a:fillRect/>
                          </a:stretch>
                        </pic:blipFill>
                        <pic:spPr>
                          <a:xfrm>
                            <a:off x="0" y="0"/>
                            <a:ext cx="2884805" cy="2159000"/>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96870" cy="2172335"/>
                  <wp:effectExtent l="0" t="0" r="17780" b="18415"/>
                  <wp:docPr id="90" name="图片 90" descr="IMG2021051313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20210513131858"/>
                          <pic:cNvPicPr>
                            <a:picLocks noChangeAspect="1"/>
                          </pic:cNvPicPr>
                        </pic:nvPicPr>
                        <pic:blipFill>
                          <a:blip r:embed="rId15"/>
                          <a:stretch>
                            <a:fillRect/>
                          </a:stretch>
                        </pic:blipFill>
                        <pic:spPr>
                          <a:xfrm>
                            <a:off x="0" y="0"/>
                            <a:ext cx="2896870" cy="2172335"/>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污水处理站“气浮+斜板沉淀”（1号厂区）</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污水处理站“A</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O+MBR膜”（1号厂区）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96870" cy="2172335"/>
                  <wp:effectExtent l="0" t="0" r="17780" b="18415"/>
                  <wp:docPr id="88" name="图片 88" descr="IMG2021051313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20210513132758"/>
                          <pic:cNvPicPr>
                            <a:picLocks noChangeAspect="1"/>
                          </pic:cNvPicPr>
                        </pic:nvPicPr>
                        <pic:blipFill>
                          <a:blip r:embed="rId16"/>
                          <a:stretch>
                            <a:fillRect/>
                          </a:stretch>
                        </pic:blipFill>
                        <pic:spPr>
                          <a:xfrm>
                            <a:off x="0" y="0"/>
                            <a:ext cx="2896870" cy="2172335"/>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96870" cy="2172335"/>
                  <wp:effectExtent l="0" t="0" r="17780" b="18415"/>
                  <wp:docPr id="84" name="图片 84" descr="IMG2021051313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20210513133305"/>
                          <pic:cNvPicPr>
                            <a:picLocks noChangeAspect="1"/>
                          </pic:cNvPicPr>
                        </pic:nvPicPr>
                        <pic:blipFill>
                          <a:blip r:embed="rId17"/>
                          <a:stretch>
                            <a:fillRect/>
                          </a:stretch>
                        </pic:blipFill>
                        <pic:spPr>
                          <a:xfrm>
                            <a:off x="0" y="0"/>
                            <a:ext cx="2896870" cy="2172335"/>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板框压滤（1号厂区）</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生活污水排放口（1号厂区）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910205" cy="2178050"/>
                  <wp:effectExtent l="0" t="0" r="4445" b="12700"/>
                  <wp:docPr id="11" name="图片 11" descr="造粒集气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造粒集气罩"/>
                          <pic:cNvPicPr>
                            <a:picLocks noChangeAspect="1"/>
                          </pic:cNvPicPr>
                        </pic:nvPicPr>
                        <pic:blipFill>
                          <a:blip r:embed="rId18"/>
                          <a:stretch>
                            <a:fillRect/>
                          </a:stretch>
                        </pic:blipFill>
                        <pic:spPr>
                          <a:xfrm>
                            <a:off x="0" y="0"/>
                            <a:ext cx="2910205" cy="2178050"/>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82265" cy="2161540"/>
                  <wp:effectExtent l="0" t="0" r="13335" b="10160"/>
                  <wp:docPr id="13" name="图片 13" descr="IMG2021051309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20210513095527"/>
                          <pic:cNvPicPr>
                            <a:picLocks noChangeAspect="1"/>
                          </pic:cNvPicPr>
                        </pic:nvPicPr>
                        <pic:blipFill>
                          <a:blip r:embed="rId19"/>
                          <a:stretch>
                            <a:fillRect/>
                          </a:stretch>
                        </pic:blipFill>
                        <pic:spPr>
                          <a:xfrm>
                            <a:off x="0" y="0"/>
                            <a:ext cx="2882265" cy="2161540"/>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造粒生产线集气罩（1号厂区）</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纺丝生产线密闭设施（1号厂区）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bookmarkStart w:id="216" w:name="_Toc11370"/>
            <w:bookmarkStart w:id="217" w:name="_Toc21011"/>
            <w:bookmarkStart w:id="218" w:name="_Toc4584"/>
            <w:bookmarkStart w:id="219" w:name="_Toc12561"/>
            <w:r>
              <w:rPr>
                <w:rFonts w:hint="default" w:ascii="Times New Roman" w:hAnsi="Times New Roman" w:eastAsia="宋体" w:cs="Times New Roman"/>
                <w:b/>
                <w:color w:val="auto"/>
                <w:sz w:val="21"/>
                <w:szCs w:val="21"/>
                <w:highlight w:val="none"/>
              </w:rPr>
              <w:drawing>
                <wp:inline distT="0" distB="0" distL="114300" distR="114300">
                  <wp:extent cx="2715260" cy="2033270"/>
                  <wp:effectExtent l="0" t="0" r="8890" b="5080"/>
                  <wp:docPr id="15" name="图片 12" descr="313942d4bc5f85def7f9c712fce1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313942d4bc5f85def7f9c712fce1bbb"/>
                          <pic:cNvPicPr>
                            <a:picLocks noChangeAspect="1"/>
                          </pic:cNvPicPr>
                        </pic:nvPicPr>
                        <pic:blipFill>
                          <a:blip r:embed="rId20"/>
                          <a:stretch>
                            <a:fillRect/>
                          </a:stretch>
                        </pic:blipFill>
                        <pic:spPr>
                          <a:xfrm>
                            <a:off x="0" y="0"/>
                            <a:ext cx="2715260" cy="2033270"/>
                          </a:xfrm>
                          <a:prstGeom prst="rect">
                            <a:avLst/>
                          </a:prstGeom>
                          <a:noFill/>
                          <a:ln>
                            <a:noFill/>
                          </a:ln>
                        </pic:spPr>
                      </pic:pic>
                    </a:graphicData>
                  </a:graphic>
                </wp:inline>
              </w:drawing>
            </w:r>
            <w:bookmarkEnd w:id="216"/>
            <w:bookmarkEnd w:id="217"/>
            <w:bookmarkEnd w:id="218"/>
            <w:bookmarkEnd w:id="219"/>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09240" cy="2106930"/>
                  <wp:effectExtent l="0" t="0" r="10160" b="7620"/>
                  <wp:docPr id="16" name="图片 16" descr="静电吸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静电吸附"/>
                          <pic:cNvPicPr>
                            <a:picLocks noChangeAspect="1"/>
                          </pic:cNvPicPr>
                        </pic:nvPicPr>
                        <pic:blipFill>
                          <a:blip r:embed="rId21"/>
                          <a:stretch>
                            <a:fillRect/>
                          </a:stretch>
                        </pic:blipFill>
                        <pic:spPr>
                          <a:xfrm>
                            <a:off x="0" y="0"/>
                            <a:ext cx="2809240" cy="2106930"/>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bookmarkStart w:id="220" w:name="_Ref6456"/>
            <w:r>
              <w:rPr>
                <w:rFonts w:hint="default" w:ascii="Times New Roman" w:hAnsi="Times New Roman" w:cs="Times New Roman"/>
                <w:color w:val="auto"/>
                <w:szCs w:val="20"/>
                <w:highlight w:val="none"/>
                <w:lang w:val="en-US" w:eastAsia="zh-CN"/>
              </w:rPr>
              <w:t>造粒车间排气筒（1号厂区）</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静电油烟废气处理设施（1号厂区）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09240" cy="2106930"/>
                  <wp:effectExtent l="0" t="0" r="10160" b="7620"/>
                  <wp:docPr id="17" name="图片 17" descr="净烟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净烟排气筒"/>
                          <pic:cNvPicPr>
                            <a:picLocks noChangeAspect="1"/>
                          </pic:cNvPicPr>
                        </pic:nvPicPr>
                        <pic:blipFill>
                          <a:blip r:embed="rId22"/>
                          <a:stretch>
                            <a:fillRect/>
                          </a:stretch>
                        </pic:blipFill>
                        <pic:spPr>
                          <a:xfrm>
                            <a:off x="0" y="0"/>
                            <a:ext cx="2809240" cy="2106930"/>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94330" cy="2170430"/>
                  <wp:effectExtent l="0" t="0" r="1270" b="1270"/>
                  <wp:docPr id="103" name="图片 103" descr="造粒废气处理设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造粒废气处理设施"/>
                          <pic:cNvPicPr>
                            <a:picLocks noChangeAspect="1"/>
                          </pic:cNvPicPr>
                        </pic:nvPicPr>
                        <pic:blipFill>
                          <a:blip r:embed="rId23"/>
                          <a:stretch>
                            <a:fillRect/>
                          </a:stretch>
                        </pic:blipFill>
                        <pic:spPr>
                          <a:xfrm>
                            <a:off x="0" y="0"/>
                            <a:ext cx="2894330" cy="2170430"/>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纺丝车间废气排气筒（1号厂区）</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造粒废气处理设施（2号厂区）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95600" cy="2171700"/>
                  <wp:effectExtent l="0" t="0" r="0" b="0"/>
                  <wp:docPr id="104" name="图片 104" descr="造粒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造粒排气筒"/>
                          <pic:cNvPicPr>
                            <a:picLocks noChangeAspect="1"/>
                          </pic:cNvPicPr>
                        </pic:nvPicPr>
                        <pic:blipFill>
                          <a:blip r:embed="rId24"/>
                          <a:stretch>
                            <a:fillRect/>
                          </a:stretch>
                        </pic:blipFill>
                        <pic:spPr>
                          <a:xfrm>
                            <a:off x="0" y="0"/>
                            <a:ext cx="2895600" cy="2171700"/>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09240" cy="2106930"/>
                  <wp:effectExtent l="0" t="0" r="10160" b="7620"/>
                  <wp:docPr id="18" name="图片 18" descr="IMG2021051313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20210513132209"/>
                          <pic:cNvPicPr>
                            <a:picLocks noChangeAspect="1"/>
                          </pic:cNvPicPr>
                        </pic:nvPicPr>
                        <pic:blipFill>
                          <a:blip r:embed="rId25"/>
                          <a:stretch>
                            <a:fillRect/>
                          </a:stretch>
                        </pic:blipFill>
                        <pic:spPr>
                          <a:xfrm>
                            <a:off x="0" y="0"/>
                            <a:ext cx="2809240" cy="2106930"/>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造粒废气处理设施排气筒（2号厂区）</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锅炉房排气筒（锅炉房）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740025" cy="2050415"/>
                  <wp:effectExtent l="0" t="0" r="3175" b="6985"/>
                  <wp:docPr id="19" name="图片 19" descr="一般固废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一般固废间"/>
                          <pic:cNvPicPr>
                            <a:picLocks noChangeAspect="1"/>
                          </pic:cNvPicPr>
                        </pic:nvPicPr>
                        <pic:blipFill>
                          <a:blip r:embed="rId26"/>
                          <a:stretch>
                            <a:fillRect/>
                          </a:stretch>
                        </pic:blipFill>
                        <pic:spPr>
                          <a:xfrm>
                            <a:off x="0" y="0"/>
                            <a:ext cx="2740025" cy="2050415"/>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25115" cy="2221230"/>
                  <wp:effectExtent l="0" t="0" r="13335" b="7620"/>
                  <wp:docPr id="21" name="图片 21" descr="一般工业固废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一般工业固废间"/>
                          <pic:cNvPicPr>
                            <a:picLocks noChangeAspect="1"/>
                          </pic:cNvPicPr>
                        </pic:nvPicPr>
                        <pic:blipFill>
                          <a:blip r:embed="rId27"/>
                          <a:stretch>
                            <a:fillRect/>
                          </a:stretch>
                        </pic:blipFill>
                        <pic:spPr>
                          <a:xfrm>
                            <a:off x="0" y="0"/>
                            <a:ext cx="2825115" cy="2221230"/>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一般工业固体废物贮存间</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一般工业固体废物门口标识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67660" cy="2150745"/>
                  <wp:effectExtent l="0" t="0" r="8890" b="1905"/>
                  <wp:docPr id="22" name="图片 22" descr="危废间 导流沟、防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危废间 导流沟、防渗"/>
                          <pic:cNvPicPr>
                            <a:picLocks noChangeAspect="1"/>
                          </pic:cNvPicPr>
                        </pic:nvPicPr>
                        <pic:blipFill>
                          <a:blip r:embed="rId28"/>
                          <a:stretch>
                            <a:fillRect/>
                          </a:stretch>
                        </pic:blipFill>
                        <pic:spPr>
                          <a:xfrm>
                            <a:off x="0" y="0"/>
                            <a:ext cx="2867660" cy="2150745"/>
                          </a:xfrm>
                          <a:prstGeom prst="rect">
                            <a:avLst/>
                          </a:prstGeom>
                        </pic:spPr>
                      </pic:pic>
                    </a:graphicData>
                  </a:graphic>
                </wp:inline>
              </w:drawing>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drawing>
                <wp:inline distT="0" distB="0" distL="114300" distR="114300">
                  <wp:extent cx="2896870" cy="2172335"/>
                  <wp:effectExtent l="0" t="0" r="17780" b="18415"/>
                  <wp:docPr id="126" name="图片 126" descr="IMG202105131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20210513115422"/>
                          <pic:cNvPicPr>
                            <a:picLocks noChangeAspect="1"/>
                          </pic:cNvPicPr>
                        </pic:nvPicPr>
                        <pic:blipFill>
                          <a:blip r:embed="rId29"/>
                          <a:stretch>
                            <a:fillRect/>
                          </a:stretch>
                        </pic:blipFill>
                        <pic:spPr>
                          <a:xfrm>
                            <a:off x="0" y="0"/>
                            <a:ext cx="2896870" cy="2172335"/>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危险废物贮存间</w:t>
            </w:r>
          </w:p>
        </w:tc>
        <w:tc>
          <w:tcPr>
            <w:tcW w:w="464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危险废物贮存间门口标识</w:t>
            </w:r>
          </w:p>
        </w:tc>
      </w:tr>
    </w:tbl>
    <w:p>
      <w:pPr>
        <w:pStyle w:val="22"/>
        <w:numPr>
          <w:ilvl w:val="7"/>
          <w:numId w:val="3"/>
        </w:numPr>
        <w:bidi w:val="0"/>
        <w:rPr>
          <w:rFonts w:hint="default" w:ascii="Times New Roman" w:hAnsi="Times New Roman" w:cs="Times New Roman"/>
          <w:color w:val="auto"/>
          <w:highlight w:val="none"/>
          <w:lang w:val="en-US" w:eastAsia="zh-CN"/>
        </w:rPr>
      </w:pPr>
      <w:bookmarkStart w:id="221" w:name="_Ref16701"/>
      <w:r>
        <w:rPr>
          <w:rFonts w:hint="default" w:ascii="Times New Roman" w:hAnsi="Times New Roman" w:cs="Times New Roman"/>
          <w:color w:val="auto"/>
          <w:highlight w:val="none"/>
          <w:lang w:val="en-US" w:eastAsia="zh-CN"/>
        </w:rPr>
        <w:t>现有工程环保设施实景图</w:t>
      </w:r>
      <w:bookmarkEnd w:id="220"/>
      <w:bookmarkEnd w:id="221"/>
    </w:p>
    <w:p>
      <w:pPr>
        <w:pStyle w:val="3"/>
        <w:numPr>
          <w:ilvl w:val="1"/>
          <w:numId w:val="3"/>
        </w:numPr>
        <w:bidi w:val="0"/>
        <w:rPr>
          <w:rFonts w:hint="default" w:ascii="Times New Roman" w:hAnsi="Times New Roman" w:cs="Times New Roman"/>
          <w:color w:val="auto"/>
          <w:highlight w:val="none"/>
          <w:lang w:val="en-US" w:eastAsia="zh-CN"/>
        </w:rPr>
      </w:pPr>
      <w:bookmarkStart w:id="222" w:name="_Toc1945"/>
      <w:bookmarkStart w:id="223" w:name="_Toc23885"/>
      <w:bookmarkStart w:id="224" w:name="_Toc10558"/>
      <w:bookmarkStart w:id="225" w:name="_Toc7454"/>
      <w:r>
        <w:rPr>
          <w:rFonts w:hint="default" w:ascii="Times New Roman" w:hAnsi="Times New Roman" w:cs="Times New Roman"/>
          <w:color w:val="auto"/>
          <w:highlight w:val="none"/>
          <w:lang w:val="en-US" w:eastAsia="zh-CN"/>
        </w:rPr>
        <w:t>现有工程存在的问题及整改要求</w:t>
      </w:r>
      <w:bookmarkEnd w:id="222"/>
      <w:bookmarkEnd w:id="223"/>
      <w:bookmarkEnd w:id="224"/>
      <w:bookmarkEnd w:id="225"/>
    </w:p>
    <w:p>
      <w:pPr>
        <w:rPr>
          <w:rStyle w:val="19"/>
          <w:rFonts w:hint="default" w:eastAsia="宋体"/>
          <w:color w:val="auto"/>
          <w:lang w:val="en-US" w:eastAsia="zh-CN"/>
        </w:rPr>
      </w:pPr>
      <w:r>
        <w:rPr>
          <w:rFonts w:hint="eastAsia"/>
          <w:color w:val="auto"/>
          <w:lang w:val="en-US" w:eastAsia="zh-CN"/>
        </w:rPr>
        <w:t>根据现场调查，现有工程存在的环保问题及整改措施详见</w:t>
      </w:r>
      <w:r>
        <w:rPr>
          <w:rFonts w:hint="eastAsia"/>
          <w:color w:val="auto"/>
          <w:lang w:val="en-US" w:eastAsia="zh-CN"/>
        </w:rPr>
        <w:fldChar w:fldCharType="begin"/>
      </w:r>
      <w:r>
        <w:rPr>
          <w:rFonts w:hint="eastAsia"/>
          <w:color w:val="auto"/>
          <w:lang w:val="en-US" w:eastAsia="zh-CN"/>
        </w:rPr>
        <w:instrText xml:space="preserve"> REF _Ref10569 \n \h </w:instrText>
      </w:r>
      <w:r>
        <w:rPr>
          <w:rFonts w:hint="eastAsia"/>
          <w:color w:val="auto"/>
          <w:lang w:val="en-US" w:eastAsia="zh-CN"/>
        </w:rPr>
        <w:fldChar w:fldCharType="separate"/>
      </w:r>
      <w:r>
        <w:rPr>
          <w:rFonts w:hint="eastAsia"/>
          <w:color w:val="auto"/>
          <w:lang w:val="en-US" w:eastAsia="zh-CN"/>
        </w:rPr>
        <w:t>表2.10-1</w:t>
      </w:r>
      <w:r>
        <w:rPr>
          <w:rFonts w:hint="eastAsia"/>
          <w:color w:val="auto"/>
          <w:lang w:val="en-US" w:eastAsia="zh-CN"/>
        </w:rPr>
        <w:fldChar w:fldCharType="end"/>
      </w:r>
      <w:r>
        <w:rPr>
          <w:rFonts w:hint="eastAsia"/>
          <w:color w:val="auto"/>
          <w:lang w:val="en-US" w:eastAsia="zh-CN"/>
        </w:rPr>
        <w:t>。</w:t>
      </w:r>
    </w:p>
    <w:p>
      <w:pPr>
        <w:pStyle w:val="24"/>
        <w:numPr>
          <w:ilvl w:val="6"/>
          <w:numId w:val="3"/>
        </w:numPr>
        <w:tabs>
          <w:tab w:val="left" w:pos="420"/>
        </w:tabs>
        <w:bidi w:val="0"/>
        <w:rPr>
          <w:rFonts w:hint="default"/>
          <w:color w:val="auto"/>
          <w:highlight w:val="none"/>
          <w:lang w:val="en-US" w:eastAsia="zh-CN"/>
        </w:rPr>
      </w:pPr>
      <w:bookmarkStart w:id="226" w:name="_Ref10569"/>
      <w:r>
        <w:rPr>
          <w:rFonts w:hint="eastAsia"/>
          <w:color w:val="auto"/>
          <w:highlight w:val="none"/>
          <w:lang w:val="en-US" w:eastAsia="zh-CN"/>
        </w:rPr>
        <w:t>现有工程存在的环保问题及整改措施</w:t>
      </w:r>
      <w:bookmarkEnd w:id="226"/>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9"/>
        <w:gridCol w:w="3329"/>
        <w:gridCol w:w="5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序号</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主要环境问题</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整改要求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1</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生产车间有部分废油剂滴落于地面，存在污染地表隐患</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应加强废油剂的收集，避免废油剂污染地表，并加强生产车间的防渗措施，定期进行检查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2</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生产产生的废熔块、废丝存放在危险废物贮存间，废熔块、废丝属于可回用的一般工业固体废物，应贮存在一般工业固体废物贮存间，不可将其贮存于危险废物贮存间</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明确一般工业固体废物和危险废物的类别，加强一般工业固体废物和危险废物的管理，按废物类别和特性对一般固体废物和危险废物应进行分类堆放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3</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部分原辅材料露天堆放，容易引发环境问题</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应加强原辅材料的管理，明确原辅材料分区，不宜将原辅材料堆放于露天，原料属于一般工业固体废物，厂内堆存区应按</w:t>
            </w:r>
            <w:r>
              <w:rPr>
                <w:rFonts w:hint="default" w:ascii="Times New Roman" w:hAnsi="Times New Roman" w:cs="Times New Roman"/>
                <w:color w:val="auto"/>
                <w:szCs w:val="20"/>
                <w:highlight w:val="none"/>
              </w:rPr>
              <w:t>《一般工业固体废物贮存</w:t>
            </w:r>
            <w:r>
              <w:rPr>
                <w:rFonts w:hint="default" w:ascii="Times New Roman" w:hAnsi="Times New Roman" w:cs="Times New Roman"/>
                <w:color w:val="auto"/>
                <w:szCs w:val="20"/>
                <w:highlight w:val="none"/>
                <w:lang w:val="en-US" w:eastAsia="zh-CN"/>
              </w:rPr>
              <w:t>和填埋</w:t>
            </w:r>
            <w:r>
              <w:rPr>
                <w:rFonts w:hint="default" w:ascii="Times New Roman" w:hAnsi="Times New Roman" w:cs="Times New Roman"/>
                <w:color w:val="auto"/>
                <w:szCs w:val="20"/>
                <w:highlight w:val="none"/>
              </w:rPr>
              <w:t>污染控制标准》(GB18599-20</w:t>
            </w:r>
            <w:r>
              <w:rPr>
                <w:rFonts w:hint="default" w:ascii="Times New Roman" w:hAnsi="Times New Roman" w:cs="Times New Roman"/>
                <w:color w:val="auto"/>
                <w:szCs w:val="20"/>
                <w:highlight w:val="none"/>
                <w:lang w:val="en-US" w:eastAsia="zh-CN"/>
              </w:rPr>
              <w:t>20</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中的相关要求</w:t>
            </w:r>
            <w:r>
              <w:rPr>
                <w:rFonts w:hint="eastAsia" w:cs="Times New Roman"/>
                <w:color w:val="auto"/>
                <w:szCs w:val="20"/>
                <w:highlight w:val="none"/>
                <w:lang w:val="en-US" w:eastAsia="zh-CN"/>
              </w:rPr>
              <w:t>整改，可参照一般固体废物贮存间进行整改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4</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现有危险废物贮存间废气未进行收集，设置净化装置</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根据</w:t>
            </w:r>
            <w:r>
              <w:rPr>
                <w:rFonts w:hint="default"/>
                <w:color w:val="auto"/>
                <w:szCs w:val="20"/>
                <w:highlight w:val="none"/>
                <w:lang w:val="en-US" w:eastAsia="zh-CN"/>
              </w:rPr>
              <w:t>《危险废物贮存污染控制标准》(GB18597-2001)及</w:t>
            </w:r>
            <w:r>
              <w:rPr>
                <w:rFonts w:hint="eastAsia"/>
                <w:color w:val="auto"/>
                <w:szCs w:val="20"/>
                <w:highlight w:val="none"/>
                <w:lang w:val="en-US" w:eastAsia="zh-CN"/>
              </w:rPr>
              <w:t>其</w:t>
            </w:r>
            <w:r>
              <w:rPr>
                <w:rFonts w:hint="default"/>
                <w:color w:val="auto"/>
                <w:szCs w:val="20"/>
                <w:highlight w:val="none"/>
                <w:lang w:val="en-US" w:eastAsia="zh-CN"/>
              </w:rPr>
              <w:t>修改单</w:t>
            </w:r>
            <w:r>
              <w:rPr>
                <w:rFonts w:hint="eastAsia"/>
                <w:color w:val="auto"/>
                <w:szCs w:val="20"/>
                <w:highlight w:val="none"/>
                <w:lang w:val="en-US" w:eastAsia="zh-CN"/>
              </w:rPr>
              <w:t>要求，危险废物贮存间应设置废气收集净化装置，建设单位可采用“活性炭吸附装置+15 m高排气筒”的废气处理设施，活性炭更换频次为1年/次，更换下来的废活性炭属于危险废物（废物代码：HW49 900-039-49），应委托有资质单位进行安全处置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5</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未按自行监测要求开展天燃气锅炉废气自行监测</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应按排污许可证及自行监测方案要求开展天然气锅炉废气自行监测。其中，监测频次NO</w:t>
            </w:r>
            <w:r>
              <w:rPr>
                <w:rFonts w:hint="eastAsia"/>
                <w:i/>
                <w:iCs/>
                <w:color w:val="auto"/>
                <w:szCs w:val="20"/>
                <w:highlight w:val="none"/>
                <w:vertAlign w:val="subscript"/>
                <w:lang w:val="en-US" w:eastAsia="zh-CN"/>
              </w:rPr>
              <w:t>X</w:t>
            </w:r>
            <w:r>
              <w:rPr>
                <w:rFonts w:hint="eastAsia"/>
                <w:color w:val="auto"/>
                <w:szCs w:val="20"/>
                <w:highlight w:val="none"/>
                <w:lang w:val="en-US" w:eastAsia="zh-CN"/>
              </w:rPr>
              <w:t>为1次/月，颗粒物、二氧化硫、林格曼黑度为1次/年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6</w:t>
            </w:r>
          </w:p>
        </w:tc>
        <w:tc>
          <w:tcPr>
            <w:tcW w:w="3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现有工程纺丝生产线废气收集设施故障，废气无法引入废气治理设施进行处理</w:t>
            </w:r>
          </w:p>
        </w:tc>
        <w:tc>
          <w:tcPr>
            <w:tcW w:w="515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建设单位应加强对环保设施的管理，定期检查、维护，保证其正常运行，杜绝非正常排放和事故排放。</w:t>
            </w:r>
          </w:p>
        </w:tc>
      </w:tr>
    </w:tbl>
    <w:p>
      <w:pPr>
        <w:pStyle w:val="3"/>
        <w:numPr>
          <w:ilvl w:val="1"/>
          <w:numId w:val="3"/>
        </w:numPr>
        <w:bidi w:val="0"/>
        <w:rPr>
          <w:rFonts w:hint="default"/>
          <w:color w:val="auto"/>
          <w:lang w:val="en-US" w:eastAsia="zh-CN"/>
        </w:rPr>
      </w:pPr>
      <w:bookmarkStart w:id="227" w:name="_Toc19501"/>
      <w:bookmarkStart w:id="228" w:name="_Toc16390"/>
      <w:r>
        <w:rPr>
          <w:rFonts w:hint="eastAsia"/>
          <w:color w:val="auto"/>
          <w:lang w:val="en-US" w:eastAsia="zh-CN"/>
        </w:rPr>
        <w:t>现有工程拟实施的“以新带老”措施</w:t>
      </w:r>
      <w:bookmarkEnd w:id="227"/>
      <w:bookmarkEnd w:id="228"/>
    </w:p>
    <w:p>
      <w:pPr>
        <w:bidi w:val="0"/>
        <w:rPr>
          <w:rFonts w:hint="eastAsia" w:cs="Times New Roman"/>
          <w:color w:val="auto"/>
          <w:highlight w:val="none"/>
          <w:lang w:val="en-US" w:eastAsia="zh-CN"/>
        </w:rPr>
      </w:pPr>
      <w:r>
        <w:rPr>
          <w:rFonts w:hint="eastAsia" w:cs="Times New Roman"/>
          <w:color w:val="auto"/>
          <w:highlight w:val="none"/>
          <w:lang w:val="en-US" w:eastAsia="zh-CN"/>
        </w:rPr>
        <w:t>项目现有工程危险废物贮存间废气未进行收集，设置净化装置，</w:t>
      </w:r>
      <w:r>
        <w:rPr>
          <w:rFonts w:hint="eastAsia"/>
          <w:color w:val="auto"/>
          <w:szCs w:val="20"/>
          <w:highlight w:val="none"/>
          <w:lang w:val="en-US" w:eastAsia="zh-CN"/>
        </w:rPr>
        <w:t>根据</w:t>
      </w:r>
      <w:r>
        <w:rPr>
          <w:rFonts w:hint="default"/>
          <w:color w:val="auto"/>
          <w:szCs w:val="20"/>
          <w:highlight w:val="none"/>
          <w:lang w:val="en-US" w:eastAsia="zh-CN"/>
        </w:rPr>
        <w:t>《危险废物贮存污染控制标准》(GB18597-2001)及</w:t>
      </w:r>
      <w:r>
        <w:rPr>
          <w:rFonts w:hint="eastAsia"/>
          <w:color w:val="auto"/>
          <w:szCs w:val="20"/>
          <w:highlight w:val="none"/>
          <w:lang w:val="en-US" w:eastAsia="zh-CN"/>
        </w:rPr>
        <w:t>其</w:t>
      </w:r>
      <w:r>
        <w:rPr>
          <w:rFonts w:hint="default"/>
          <w:color w:val="auto"/>
          <w:szCs w:val="20"/>
          <w:highlight w:val="none"/>
          <w:lang w:val="en-US" w:eastAsia="zh-CN"/>
        </w:rPr>
        <w:t>修改单</w:t>
      </w:r>
      <w:r>
        <w:rPr>
          <w:rFonts w:hint="eastAsia"/>
          <w:color w:val="auto"/>
          <w:szCs w:val="20"/>
          <w:highlight w:val="none"/>
          <w:lang w:val="en-US" w:eastAsia="zh-CN"/>
        </w:rPr>
        <w:t>要求，危险废物贮存间应设置废气收集净化装置</w:t>
      </w:r>
      <w:r>
        <w:rPr>
          <w:rFonts w:hint="eastAsia" w:cs="Times New Roman"/>
          <w:color w:val="auto"/>
          <w:highlight w:val="none"/>
          <w:lang w:val="en-US" w:eastAsia="zh-CN"/>
        </w:rPr>
        <w:t>。</w:t>
      </w:r>
      <w:r>
        <w:rPr>
          <w:rFonts w:hint="eastAsia" w:cs="Times New Roman"/>
          <w:color w:val="auto"/>
          <w:highlight w:val="none"/>
          <w:lang w:val="en-US" w:eastAsia="zh-CN"/>
        </w:rPr>
        <w:t>因此，建设单位拟对现有工程危险废物贮存间新增废气收集净化设施，采用“活性炭吸附装置+15 m高排气筒”（风机风量1000 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/h，排气筒内径0.20 m）废气治理设施，危险废物贮存间采用密闭、微负压设计。</w:t>
      </w:r>
    </w:p>
    <w:p>
      <w:pPr>
        <w:bidi w:val="0"/>
        <w:rPr>
          <w:rFonts w:hint="eastAsia" w:cs="Times New Roman"/>
          <w:color w:val="auto"/>
          <w:highlight w:val="none"/>
          <w:lang w:val="en-US" w:eastAsia="zh-CN"/>
        </w:rPr>
      </w:pPr>
      <w:r>
        <w:rPr>
          <w:rFonts w:hint="eastAsia" w:cs="Times New Roman"/>
          <w:color w:val="auto"/>
          <w:highlight w:val="none"/>
          <w:lang w:val="en-US" w:eastAsia="zh-CN"/>
        </w:rPr>
        <w:t>“以新带老”措施实施后，主要削减非甲烷总烃的排放量和新增定期更换下来的少量废活性炭，源强分析详见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_Ref26023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表2.11-1</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_Ref26026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表2.11-2</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bidi w:val="0"/>
        <w:rPr>
          <w:rFonts w:hint="default"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color w:val="auto"/>
          <w:lang w:val="en-US" w:eastAsia="zh-CN"/>
        </w:rPr>
      </w:pPr>
      <w:bookmarkStart w:id="229" w:name="_Ref26023"/>
      <w:r>
        <w:rPr>
          <w:rFonts w:hint="eastAsia"/>
          <w:color w:val="auto"/>
          <w:lang w:val="en-US" w:eastAsia="zh-CN"/>
        </w:rPr>
        <w:t>危险废物贮存间废气产排放情况</w:t>
      </w:r>
      <w:bookmarkEnd w:id="229"/>
    </w:p>
    <w:p>
      <w:pPr>
        <w:pStyle w:val="24"/>
        <w:numPr>
          <w:ilvl w:val="6"/>
          <w:numId w:val="3"/>
        </w:numPr>
        <w:tabs>
          <w:tab w:val="left" w:pos="420"/>
        </w:tabs>
        <w:bidi w:val="0"/>
        <w:rPr>
          <w:rFonts w:hint="default" w:cs="Times New Roman"/>
          <w:color w:val="auto"/>
          <w:highlight w:val="none"/>
          <w:lang w:val="en-US" w:eastAsia="zh-CN"/>
        </w:rPr>
      </w:pPr>
      <w:bookmarkStart w:id="230" w:name="_Ref26026"/>
      <w:r>
        <w:rPr>
          <w:rFonts w:hint="eastAsia"/>
          <w:color w:val="auto"/>
          <w:lang w:val="en-US" w:eastAsia="zh-CN"/>
        </w:rPr>
        <w:t>固体废物源强核算</w:t>
      </w:r>
      <w:bookmarkEnd w:id="230"/>
    </w:p>
    <w:p>
      <w:pPr>
        <w:rPr>
          <w:rFonts w:hint="eastAsia" w:cs="Times New Roman"/>
          <w:color w:val="auto"/>
          <w:highlight w:val="none"/>
          <w:lang w:val="en-US" w:eastAsia="zh-CN"/>
        </w:rPr>
      </w:pPr>
      <w:r>
        <w:rPr>
          <w:rFonts w:hint="eastAsia" w:cs="Times New Roman"/>
          <w:color w:val="auto"/>
          <w:highlight w:val="none"/>
          <w:lang w:val="en-US" w:eastAsia="zh-CN"/>
        </w:rPr>
        <w:t>“以新带老”措施实施后，现有工程废水、废气、固体废物排放量统计详见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_Ref26500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表2.11-3</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rPr>
          <w:rFonts w:hint="eastAsia"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eastAsia"/>
          <w:color w:val="auto"/>
          <w:lang w:val="en-US" w:eastAsia="zh-CN"/>
        </w:rPr>
      </w:pPr>
      <w:bookmarkStart w:id="231" w:name="_Ref26500"/>
      <w:bookmarkEnd w:id="231"/>
      <w:r>
        <w:rPr>
          <w:rFonts w:hint="eastAsia"/>
          <w:color w:val="auto"/>
          <w:lang w:val="en-US" w:eastAsia="zh-CN"/>
        </w:rPr>
        <w:t>“以新带老”后现有工程污染物排放情况一览表</w:t>
      </w:r>
    </w:p>
    <w:p>
      <w:pPr>
        <w:rPr>
          <w:rFonts w:hint="eastAsia"/>
          <w:color w:val="auto"/>
          <w:lang w:val="en-US" w:eastAsia="zh-CN"/>
        </w:rPr>
      </w:pPr>
    </w:p>
    <w:p>
      <w:pPr>
        <w:rPr>
          <w:rFonts w:hint="default"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
        <w:numPr>
          <w:ilvl w:val="0"/>
          <w:numId w:val="3"/>
        </w:numPr>
        <w:bidi w:val="0"/>
        <w:rPr>
          <w:rFonts w:hint="default" w:ascii="Times New Roman" w:hAnsi="Times New Roman" w:cs="Times New Roman"/>
          <w:color w:val="auto"/>
          <w:highlight w:val="none"/>
          <w:lang w:val="en-US" w:eastAsia="zh-CN"/>
        </w:rPr>
      </w:pPr>
      <w:bookmarkStart w:id="232" w:name="_Toc32434"/>
      <w:bookmarkStart w:id="233" w:name="_Toc5728"/>
      <w:bookmarkStart w:id="234" w:name="_Toc17821"/>
      <w:bookmarkStart w:id="235" w:name="_Toc17794"/>
      <w:r>
        <w:rPr>
          <w:rFonts w:hint="default" w:ascii="Times New Roman" w:hAnsi="Times New Roman" w:cs="Times New Roman"/>
          <w:color w:val="auto"/>
          <w:highlight w:val="none"/>
          <w:lang w:val="en-US" w:eastAsia="zh-CN"/>
        </w:rPr>
        <w:t>扩建工程分析</w:t>
      </w:r>
      <w:bookmarkEnd w:id="232"/>
      <w:bookmarkEnd w:id="233"/>
      <w:bookmarkEnd w:id="234"/>
      <w:bookmarkEnd w:id="235"/>
    </w:p>
    <w:p>
      <w:pPr>
        <w:pStyle w:val="3"/>
        <w:numPr>
          <w:ilvl w:val="1"/>
          <w:numId w:val="3"/>
        </w:numPr>
        <w:bidi w:val="0"/>
        <w:rPr>
          <w:rFonts w:hint="default" w:ascii="Times New Roman" w:hAnsi="Times New Roman" w:cs="Times New Roman"/>
          <w:color w:val="auto"/>
          <w:highlight w:val="none"/>
          <w:lang w:val="en-US" w:eastAsia="zh-CN"/>
        </w:rPr>
      </w:pPr>
      <w:bookmarkStart w:id="236" w:name="_Toc629"/>
      <w:bookmarkStart w:id="237" w:name="_Toc9406"/>
      <w:bookmarkStart w:id="238" w:name="_Toc527"/>
      <w:bookmarkStart w:id="239" w:name="_Toc4068"/>
      <w:bookmarkStart w:id="240" w:name="_Toc6787"/>
      <w:bookmarkStart w:id="241" w:name="_Toc27622"/>
      <w:bookmarkStart w:id="242" w:name="_Toc22404"/>
      <w:bookmarkStart w:id="243" w:name="_Toc20598"/>
      <w:bookmarkStart w:id="244" w:name="_Toc6371"/>
      <w:r>
        <w:rPr>
          <w:rFonts w:hint="default" w:ascii="Times New Roman" w:hAnsi="Times New Roman" w:cs="Times New Roman"/>
          <w:color w:val="auto"/>
          <w:highlight w:val="none"/>
          <w:lang w:val="en-US" w:eastAsia="zh-CN"/>
        </w:rPr>
        <w:t>项目工程概况</w:t>
      </w:r>
      <w:bookmarkEnd w:id="236"/>
      <w:bookmarkEnd w:id="237"/>
      <w:bookmarkEnd w:id="238"/>
      <w:bookmarkEnd w:id="239"/>
      <w:bookmarkEnd w:id="240"/>
      <w:bookmarkEnd w:id="241"/>
      <w:bookmarkEnd w:id="242"/>
      <w:bookmarkEnd w:id="243"/>
      <w:bookmarkEnd w:id="244"/>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245" w:name="_Toc12859"/>
      <w:bookmarkStart w:id="246" w:name="_Toc19080"/>
      <w:bookmarkStart w:id="247" w:name="_Toc32175"/>
      <w:bookmarkStart w:id="248" w:name="_Toc26118"/>
      <w:bookmarkStart w:id="249" w:name="_Toc10503"/>
      <w:r>
        <w:rPr>
          <w:rFonts w:hint="default" w:ascii="Times New Roman" w:hAnsi="Times New Roman" w:cs="Times New Roman"/>
          <w:color w:val="auto"/>
          <w:highlight w:val="none"/>
          <w:lang w:val="en-US" w:eastAsia="zh-CN"/>
        </w:rPr>
        <w:t>项目概况</w:t>
      </w:r>
      <w:bookmarkEnd w:id="245"/>
      <w:bookmarkEnd w:id="246"/>
      <w:bookmarkEnd w:id="247"/>
      <w:bookmarkEnd w:id="248"/>
      <w:bookmarkEnd w:id="249"/>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（1）项目名称：年产5万吨PET再生纤维生产线项目；</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（2）建设单位：福建闽宏纤维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（3）建设地点：福建省宁德市霞浦县牙城镇工业园1号地块</w:t>
      </w:r>
      <w:r>
        <w:rPr>
          <w:rFonts w:hint="eastAsia" w:cs="Times New Roman"/>
          <w:color w:val="auto"/>
          <w:highlight w:val="none"/>
          <w:lang w:val="en-US" w:eastAsia="zh-CN"/>
        </w:rPr>
        <w:t>（新增地块，与现有工程无依托关系）</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（4）建设性质：扩建；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（5）工程投资：总投资15000万元人民币，其中土建投资4500万元，设备投资7500万元，其他投资3000万元；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（6）国民经济行业类别：C4420非金属废料和碎屑加工处理、C2822涤纶纤维制造；</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（7）建设规模：项目征地面积22772.5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（合34.159亩），建设综合厂房、前纺楼、后纺楼、锅炉房、宿舍楼、研发楼以及配套环保设施等，总建筑面积29093.67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w:t>
      </w:r>
      <w:r>
        <w:rPr>
          <w:rFonts w:hint="eastAsia" w:cs="Times New Roman"/>
          <w:color w:val="auto"/>
          <w:highlight w:val="none"/>
          <w:vertAlign w:val="baseline"/>
          <w:lang w:val="en-US" w:eastAsia="zh-CN"/>
        </w:rPr>
        <w:t>总计容面积36483.81 m</w:t>
      </w:r>
      <w:r>
        <w:rPr>
          <w:rFonts w:hint="eastAsia" w:cs="Times New Roman"/>
          <w:color w:val="auto"/>
          <w:highlight w:val="none"/>
          <w:vertAlign w:val="superscript"/>
          <w:lang w:val="en-US" w:eastAsia="zh-CN"/>
        </w:rPr>
        <w:t>2</w:t>
      </w:r>
      <w:r>
        <w:rPr>
          <w:rFonts w:hint="eastAsia" w:cs="Times New Roman"/>
          <w:color w:val="auto"/>
          <w:highlight w:val="none"/>
          <w:vertAlign w:val="baseline"/>
          <w:lang w:val="en-US" w:eastAsia="zh-CN"/>
        </w:rPr>
        <w:t>（计容面积与备案表不一致，主要因备案表申请时间比霞浦县自然资源局的城市规划审批早，因此以霞浦县自然资源局的城市规划审批图件为主，详见附图8），</w:t>
      </w:r>
      <w:r>
        <w:rPr>
          <w:rFonts w:hint="default" w:ascii="Times New Roman" w:hAnsi="Times New Roman" w:cs="Times New Roman"/>
          <w:color w:val="auto"/>
          <w:highlight w:val="none"/>
          <w:lang w:val="en-US" w:eastAsia="zh-CN"/>
        </w:rPr>
        <w:t>建设2条PET再生纤维生产线，单条设计产能2.5万吨/年；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（8）设计产能：年产5万吨PET再生纤维；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（9）职工人数：项目拟用职工200人，其中100人在厂食宿，100不在厂食宿</w:t>
      </w:r>
      <w:r>
        <w:rPr>
          <w:rFonts w:hint="eastAsia"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（10）工作制度：年生产330天，每天24 h连续生产，采用3班制，每班8 h；</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（11）建设周期：24个月。</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生产规模及产品方案</w:t>
      </w:r>
    </w:p>
    <w:p>
      <w:pP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本项目产品主要为高性能涤纶（PET）纤维，项目生产规模及产品方案见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_Ref21559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；根据本项目可行性研究报告，项目产品质量标准详见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_Ref21820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eastAsia="zh-CN"/>
        </w:rPr>
        <w:t>。</w:t>
      </w:r>
    </w:p>
    <w:p>
      <w:pPr>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val="en-US" w:eastAsia="zh-CN"/>
        </w:rPr>
      </w:pP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250" w:name="_Ref21559"/>
      <w:r>
        <w:rPr>
          <w:rFonts w:hint="default" w:ascii="Times New Roman" w:hAnsi="Times New Roman" w:cs="Times New Roman"/>
          <w:color w:val="auto"/>
          <w:highlight w:val="none"/>
          <w:lang w:val="en-US" w:eastAsia="zh-CN"/>
        </w:rPr>
        <w:t>项目生产规模及产品方案</w:t>
      </w:r>
      <w:bookmarkEnd w:id="250"/>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51" w:name="_Ref21820"/>
      <w:r>
        <w:rPr>
          <w:rFonts w:hint="default" w:ascii="Times New Roman" w:hAnsi="Times New Roman" w:cs="Times New Roman"/>
          <w:color w:val="auto"/>
          <w:highlight w:val="none"/>
          <w:lang w:val="en-US" w:eastAsia="zh-CN"/>
        </w:rPr>
        <w:t>PET纤维质量标准</w:t>
      </w:r>
      <w:bookmarkEnd w:id="251"/>
    </w:p>
    <w:tbl>
      <w:tblPr>
        <w:tblStyle w:val="18"/>
        <w:tblW w:w="928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3057"/>
        <w:gridCol w:w="1972"/>
        <w:gridCol w:w="30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单位</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高强棉型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纤度</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dtex</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纤度偏差</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断裂强度</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CN/DTEX</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10%定伸长强度</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CN/DTEX</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断裂伸长</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收缩率</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卷曲数</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N/25mm</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卷曲稳定性</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卷曲率</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纤维长度</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mm</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长度偏差</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超长纤维</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13</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比电阻</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cm</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14</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含水率</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上油率</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16</w:t>
            </w:r>
          </w:p>
        </w:tc>
        <w:tc>
          <w:tcPr>
            <w:tcW w:w="305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成品产率</w:t>
            </w:r>
          </w:p>
        </w:tc>
        <w:tc>
          <w:tcPr>
            <w:tcW w:w="197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305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96</w:t>
            </w:r>
          </w:p>
        </w:tc>
      </w:tr>
    </w:tbl>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252" w:name="_Toc32395"/>
      <w:bookmarkStart w:id="253" w:name="_Toc25638"/>
      <w:bookmarkStart w:id="254" w:name="_Toc10834"/>
      <w:bookmarkStart w:id="255" w:name="_Toc19387"/>
      <w:bookmarkStart w:id="256" w:name="_Toc11723"/>
      <w:r>
        <w:rPr>
          <w:rFonts w:hint="default" w:ascii="Times New Roman" w:hAnsi="Times New Roman" w:cs="Times New Roman"/>
          <w:color w:val="auto"/>
          <w:highlight w:val="none"/>
          <w:lang w:val="en-US" w:eastAsia="zh-CN"/>
        </w:rPr>
        <w:t>主要经济技术指标</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本项目位于福建省宁德市霞浦县牙城镇工业园1号地块，总征地面积22772.5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（合34.159亩），总建筑面积29093.67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。项目地块主要经济技术指标详见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_Ref16739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表3.1-3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，主体工程明细详见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_Ref16785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表3.1-4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257" w:name="_Ref16739"/>
      <w:r>
        <w:rPr>
          <w:rFonts w:hint="default" w:ascii="Times New Roman" w:hAnsi="Times New Roman" w:cs="Times New Roman"/>
          <w:color w:val="auto"/>
          <w:highlight w:val="none"/>
          <w:lang w:val="en-US" w:eastAsia="zh-CN"/>
        </w:rPr>
        <w:t>主要经济技术指标</w:t>
      </w:r>
      <w:bookmarkEnd w:id="257"/>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258" w:name="_Ref16785"/>
      <w:r>
        <w:rPr>
          <w:rFonts w:hint="default" w:ascii="Times New Roman" w:hAnsi="Times New Roman" w:cs="Times New Roman"/>
          <w:color w:val="auto"/>
          <w:highlight w:val="none"/>
          <w:lang w:val="en-US" w:eastAsia="zh-CN"/>
        </w:rPr>
        <w:t>主体工程明细一览表</w:t>
      </w:r>
      <w:bookmarkEnd w:id="258"/>
    </w:p>
    <w:bookmarkEnd w:id="252"/>
    <w:bookmarkEnd w:id="253"/>
    <w:bookmarkEnd w:id="254"/>
    <w:bookmarkEnd w:id="255"/>
    <w:bookmarkEnd w:id="256"/>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建设内容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lang w:eastAsia="zh-CN"/>
        </w:rPr>
        <w:t>项目由主体工程、辅助工程、公用工程、环保工程等组成，</w:t>
      </w:r>
      <w:r>
        <w:rPr>
          <w:rFonts w:hint="default" w:ascii="Times New Roman" w:hAnsi="Times New Roman" w:cs="Times New Roman"/>
          <w:color w:val="auto"/>
          <w:highlight w:val="none"/>
          <w:lang w:val="en-US" w:eastAsia="zh-CN"/>
        </w:rPr>
        <w:t>具体建设内容见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_Ref22574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表3.1-5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利用新增地块进行</w:t>
      </w:r>
      <w:r>
        <w:rPr>
          <w:rFonts w:hint="default" w:ascii="Times New Roman" w:hAnsi="Times New Roman" w:cs="Times New Roman"/>
          <w:color w:val="auto"/>
          <w:highlight w:val="none"/>
          <w:lang w:val="en-US" w:eastAsia="zh-CN"/>
        </w:rPr>
        <w:t>扩建</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与现有工程无依托关系。</w:t>
      </w: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259" w:name="_Ref22574"/>
      <w:r>
        <w:rPr>
          <w:rFonts w:hint="default" w:ascii="Times New Roman" w:hAnsi="Times New Roman" w:cs="Times New Roman"/>
          <w:color w:val="auto"/>
          <w:highlight w:val="none"/>
          <w:lang w:val="en-US" w:eastAsia="zh-CN"/>
        </w:rPr>
        <w:t>项目工程组成表</w:t>
      </w:r>
      <w:bookmarkEnd w:id="259"/>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260" w:name="_Toc3303"/>
      <w:bookmarkStart w:id="261" w:name="_Toc13392"/>
      <w:bookmarkStart w:id="262" w:name="_Toc9428"/>
      <w:bookmarkStart w:id="263" w:name="_Toc18959"/>
      <w:bookmarkStart w:id="264" w:name="_Toc28084"/>
      <w:r>
        <w:rPr>
          <w:rFonts w:hint="default" w:ascii="Times New Roman" w:hAnsi="Times New Roman" w:cs="Times New Roman"/>
          <w:color w:val="auto"/>
          <w:highlight w:val="none"/>
          <w:lang w:val="en-US" w:eastAsia="zh-CN"/>
        </w:rPr>
        <w:t>公用工程</w:t>
      </w:r>
      <w:bookmarkEnd w:id="260"/>
      <w:bookmarkEnd w:id="261"/>
      <w:bookmarkEnd w:id="262"/>
      <w:bookmarkEnd w:id="263"/>
      <w:bookmarkEnd w:id="264"/>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（1）给排水情况</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①给水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生活用水由牙城镇统一供水管网系统供水，远期主要由乌岐山水厂供水，生活给水管在园区内成环布置，管径DN150~DN200；生产用水由东澳水厂引入，管网在园区内成环布置，管径DN150~DN250。生活用水与工业用水管网区分，水厂采用重力供水方式为厂区供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②排水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本项目厂区排水实行雨污分流制。</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雨水：厂区建设雨水收集管道，雨水经厂区的雨水管网收集后纳入厂区西南侧和南侧园区雨水主干管，最终就近排入排洪沟或水体。</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水：项目外排废水主要为生产废水和生活污水，生产废水经厂内自建的污水处理站处理达标后，排入厂区南侧园区污水主干管，纳入工业园区南侧的牙城镇污水处理厂深度处理，尾水排入东澳水库3#滞洪区；生活污水经化粪池处理后排入厂区南侧园区污水主干管，最终汇入牙城镇污水处理厂深度处理，尾水排入东澳水库3#滞洪区。</w:t>
      </w:r>
    </w:p>
    <w:p>
      <w:pPr>
        <w:spacing w:line="360" w:lineRule="auto"/>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（2）电力</w:t>
      </w:r>
    </w:p>
    <w:p>
      <w:pPr>
        <w:ind w:firstLine="48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根据《宁德市霞浦县牙城镇东洋工业园控制性详细规划环境影响报告书》，近期园区周边的用电仍由35千伏牙城变提供。远期，规划在园区外西北侧新建一座220千伏牙城变，规划容量2×240 MVA，届时，园区10 kV电源主要由220 kV牙城变供电。本</w:t>
      </w:r>
      <w:r>
        <w:rPr>
          <w:rFonts w:hint="default" w:ascii="Times New Roman" w:hAnsi="Times New Roman" w:eastAsia="宋体" w:cs="Times New Roman"/>
          <w:color w:val="auto"/>
          <w:highlight w:val="none"/>
          <w:lang w:val="en-US" w:eastAsia="zh-CN"/>
        </w:rPr>
        <w:t>项目</w:t>
      </w:r>
      <w:r>
        <w:rPr>
          <w:rFonts w:hint="default" w:ascii="Times New Roman" w:hAnsi="Times New Roman" w:cs="Times New Roman"/>
          <w:color w:val="auto"/>
          <w:highlight w:val="none"/>
          <w:lang w:val="en-US" w:eastAsia="zh-CN"/>
        </w:rPr>
        <w:t>建成后，</w:t>
      </w:r>
      <w:r>
        <w:rPr>
          <w:rFonts w:hint="default" w:ascii="Times New Roman" w:hAnsi="Times New Roman" w:eastAsia="宋体" w:cs="Times New Roman"/>
          <w:color w:val="auto"/>
          <w:highlight w:val="none"/>
          <w:lang w:val="en-US" w:eastAsia="zh-CN"/>
        </w:rPr>
        <w:t>生产过程耗电量</w:t>
      </w:r>
      <w:r>
        <w:rPr>
          <w:rFonts w:hint="default" w:ascii="Times New Roman" w:hAnsi="Times New Roman" w:cs="Times New Roman"/>
          <w:color w:val="auto"/>
          <w:highlight w:val="none"/>
          <w:lang w:val="en-US" w:eastAsia="zh-CN"/>
        </w:rPr>
        <w:t>约</w:t>
      </w:r>
      <w:r>
        <w:rPr>
          <w:rFonts w:hint="default" w:ascii="Times New Roman" w:hAnsi="Times New Roman" w:eastAsia="宋体" w:cs="Times New Roman"/>
          <w:color w:val="auto"/>
          <w:highlight w:val="none"/>
          <w:lang w:val="en-US" w:eastAsia="zh-CN"/>
        </w:rPr>
        <w:t>为</w:t>
      </w:r>
      <w:r>
        <w:rPr>
          <w:rFonts w:hint="default" w:ascii="Times New Roman" w:hAnsi="Times New Roman" w:cs="Times New Roman"/>
          <w:color w:val="auto"/>
          <w:highlight w:val="none"/>
          <w:lang w:val="en-US" w:eastAsia="zh-CN"/>
        </w:rPr>
        <w:t>2080</w:t>
      </w:r>
      <w:r>
        <w:rPr>
          <w:rFonts w:hint="default" w:ascii="Times New Roman" w:hAnsi="Times New Roman" w:eastAsia="宋体" w:cs="Times New Roman"/>
          <w:color w:val="auto"/>
          <w:highlight w:val="none"/>
          <w:lang w:val="en-US" w:eastAsia="zh-CN"/>
        </w:rPr>
        <w:t>万</w:t>
      </w:r>
      <w:r>
        <w:rPr>
          <w:rFonts w:hint="default" w:ascii="Times New Roman" w:hAnsi="Times New Roman" w:eastAsia="宋体" w:cs="Times New Roman"/>
          <w:color w:val="auto"/>
          <w:szCs w:val="21"/>
          <w:highlight w:val="none"/>
        </w:rPr>
        <w:t>kWh</w:t>
      </w:r>
      <w:r>
        <w:rPr>
          <w:rFonts w:hint="default" w:ascii="Times New Roman" w:hAnsi="Times New Roman" w:eastAsia="宋体" w:cs="Times New Roman"/>
          <w:color w:val="auto"/>
          <w:szCs w:val="21"/>
          <w:highlight w:val="none"/>
          <w:lang w:val="en-US" w:eastAsia="zh-CN"/>
        </w:rPr>
        <w:t>/a。</w:t>
      </w:r>
    </w:p>
    <w:p>
      <w:pPr>
        <w:ind w:firstLine="48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（3）供热</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设置有</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台</w:t>
      </w:r>
      <w:r>
        <w:rPr>
          <w:rFonts w:hint="eastAsia" w:cs="Times New Roman"/>
          <w:color w:val="auto"/>
          <w:highlight w:val="none"/>
          <w:lang w:val="en-US" w:eastAsia="zh-CN"/>
        </w:rPr>
        <w:t>天然气</w:t>
      </w:r>
      <w:r>
        <w:rPr>
          <w:rFonts w:hint="default" w:ascii="Times New Roman" w:hAnsi="Times New Roman" w:cs="Times New Roman"/>
          <w:color w:val="auto"/>
          <w:highlight w:val="none"/>
          <w:lang w:val="en-US" w:eastAsia="zh-CN"/>
        </w:rPr>
        <w:t>锅炉，</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用1备（其中1台</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t/h正常使用，1台6 t/h为备用），生产用热为饱和蒸汽，利用蒸汽对水浴槽及松弛热定型加热</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（4）供气</w:t>
      </w:r>
    </w:p>
    <w:p>
      <w:pPr>
        <w:ind w:firstLine="48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highlight w:val="none"/>
          <w:lang w:val="en-US" w:eastAsia="zh-CN"/>
        </w:rPr>
        <w:t>本项目锅炉以天然气作为燃料，共设有</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台锅炉，</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用1备（其中1台</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t/h正常使用，1台6 t/h为备用），根据建设单位提供的锅炉设计参数，额定蒸发量为</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t/h锅炉的天然气消耗量为</w:t>
      </w:r>
      <w:r>
        <w:rPr>
          <w:rFonts w:hint="eastAsia" w:cs="Times New Roman"/>
          <w:color w:val="auto"/>
          <w:highlight w:val="none"/>
          <w:lang w:val="en-US" w:eastAsia="zh-CN"/>
        </w:rPr>
        <w:t>608</w:t>
      </w:r>
      <w:r>
        <w:rPr>
          <w:rFonts w:hint="default" w:ascii="Times New Roman" w:hAnsi="Times New Roman" w:cs="Times New Roman"/>
          <w:color w:val="auto"/>
          <w:highlight w:val="none"/>
          <w:lang w:val="en-US" w:eastAsia="zh-CN"/>
        </w:rPr>
        <w:t xml:space="preserve"> Nm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/h，本项目锅炉年运行7920 h，则天然气消耗量约为</w:t>
      </w:r>
      <w:r>
        <w:rPr>
          <w:rFonts w:hint="eastAsia" w:cs="Times New Roman"/>
          <w:color w:val="auto"/>
          <w:highlight w:val="none"/>
          <w:lang w:val="en-US" w:eastAsia="zh-CN"/>
        </w:rPr>
        <w:t>481.536</w:t>
      </w:r>
      <w:r>
        <w:rPr>
          <w:rFonts w:hint="default" w:ascii="Times New Roman" w:hAnsi="Times New Roman" w:cs="Times New Roman"/>
          <w:color w:val="auto"/>
          <w:highlight w:val="none"/>
          <w:lang w:val="en-US" w:eastAsia="zh-CN"/>
        </w:rPr>
        <w:t>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szCs w:val="21"/>
          <w:highlight w:val="none"/>
          <w:lang w:val="en-US" w:eastAsia="zh-CN"/>
        </w:rPr>
        <w:t>项目天然气由园区集中供气，园区天然气由霞浦新奥燃气有限公司供应，</w:t>
      </w:r>
      <w:r>
        <w:rPr>
          <w:rFonts w:hint="eastAsia" w:cs="Times New Roman"/>
          <w:color w:val="auto"/>
          <w:szCs w:val="21"/>
          <w:highlight w:val="none"/>
          <w:lang w:val="en-US" w:eastAsia="zh-CN"/>
        </w:rPr>
        <w:t>该公司</w:t>
      </w:r>
      <w:r>
        <w:rPr>
          <w:rFonts w:hint="default" w:ascii="Times New Roman" w:hAnsi="Times New Roman" w:cs="Times New Roman"/>
          <w:color w:val="auto"/>
          <w:szCs w:val="21"/>
          <w:highlight w:val="none"/>
          <w:lang w:val="en-US" w:eastAsia="zh-CN"/>
        </w:rPr>
        <w:t>设有2座60 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vertAlign w:val="baseline"/>
          <w:lang w:val="en-US" w:eastAsia="zh-CN"/>
        </w:rPr>
        <w:t xml:space="preserve"> </w:t>
      </w:r>
      <w:r>
        <w:rPr>
          <w:rFonts w:hint="default" w:ascii="Times New Roman" w:hAnsi="Times New Roman" w:cs="Times New Roman"/>
          <w:color w:val="auto"/>
          <w:szCs w:val="21"/>
          <w:highlight w:val="none"/>
          <w:lang w:val="en-US" w:eastAsia="zh-CN"/>
        </w:rPr>
        <w:t>LNG立式储罐，高峰小时气化能力为3000标准立方米。</w:t>
      </w:r>
      <w:r>
        <w:rPr>
          <w:rFonts w:hint="eastAsia" w:cs="Times New Roman"/>
          <w:color w:val="auto"/>
          <w:szCs w:val="21"/>
          <w:highlight w:val="none"/>
          <w:lang w:val="en-US" w:eastAsia="zh-CN"/>
        </w:rPr>
        <w:t>根据建设单位供述，目前，园区内天然气主干管均已敷设完成，届时，本项目所需天然气可由厂区东侧燃气管网接入。</w:t>
      </w:r>
    </w:p>
    <w:p>
      <w:pPr>
        <w:pStyle w:val="3"/>
        <w:numPr>
          <w:ilvl w:val="1"/>
          <w:numId w:val="3"/>
        </w:numPr>
        <w:tabs>
          <w:tab w:val="clear" w:pos="420"/>
        </w:tabs>
        <w:bidi w:val="0"/>
        <w:rPr>
          <w:rFonts w:hint="default" w:ascii="Times New Roman" w:hAnsi="Times New Roman" w:cs="Times New Roman"/>
          <w:color w:val="auto"/>
          <w:highlight w:val="none"/>
          <w:lang w:val="en-US" w:eastAsia="zh-CN"/>
        </w:rPr>
      </w:pPr>
      <w:bookmarkStart w:id="265" w:name="_Toc13025"/>
      <w:bookmarkStart w:id="266" w:name="_Toc26793"/>
      <w:bookmarkStart w:id="267" w:name="_Toc13229"/>
      <w:bookmarkStart w:id="268" w:name="_Toc25173"/>
      <w:bookmarkStart w:id="269" w:name="_Toc17844"/>
      <w:bookmarkStart w:id="270" w:name="_Toc18878"/>
      <w:bookmarkStart w:id="271" w:name="_Toc25612"/>
      <w:bookmarkStart w:id="272" w:name="_Toc31487"/>
      <w:bookmarkStart w:id="273" w:name="_Toc9727"/>
      <w:r>
        <w:rPr>
          <w:rFonts w:hint="default" w:ascii="Times New Roman" w:hAnsi="Times New Roman" w:cs="Times New Roman"/>
          <w:color w:val="auto"/>
          <w:highlight w:val="none"/>
          <w:lang w:val="en-US" w:eastAsia="zh-CN"/>
        </w:rPr>
        <w:t>主要原辅材料及</w:t>
      </w:r>
      <w:bookmarkEnd w:id="265"/>
      <w:r>
        <w:rPr>
          <w:rFonts w:hint="default" w:ascii="Times New Roman" w:hAnsi="Times New Roman" w:cs="Times New Roman"/>
          <w:color w:val="auto"/>
          <w:highlight w:val="none"/>
          <w:lang w:val="en-US" w:eastAsia="zh-CN"/>
        </w:rPr>
        <w:t>生产设备</w:t>
      </w:r>
      <w:bookmarkEnd w:id="266"/>
      <w:bookmarkEnd w:id="267"/>
      <w:bookmarkEnd w:id="268"/>
      <w:bookmarkEnd w:id="269"/>
      <w:bookmarkEnd w:id="270"/>
      <w:bookmarkEnd w:id="271"/>
      <w:bookmarkEnd w:id="272"/>
      <w:bookmarkEnd w:id="273"/>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274" w:name="_Toc12820"/>
      <w:bookmarkStart w:id="275" w:name="_Toc24872"/>
      <w:bookmarkStart w:id="276" w:name="_Toc23066"/>
      <w:bookmarkStart w:id="277" w:name="_Toc3785"/>
      <w:r>
        <w:rPr>
          <w:rFonts w:hint="default" w:ascii="Times New Roman" w:hAnsi="Times New Roman" w:cs="Times New Roman"/>
          <w:color w:val="auto"/>
          <w:highlight w:val="none"/>
          <w:lang w:val="en-US" w:eastAsia="zh-CN"/>
        </w:rPr>
        <w:t>主要原辅材料</w:t>
      </w:r>
      <w:bookmarkEnd w:id="274"/>
      <w:bookmarkEnd w:id="275"/>
      <w:bookmarkEnd w:id="276"/>
      <w:bookmarkEnd w:id="277"/>
      <w:r>
        <w:rPr>
          <w:rFonts w:hint="default" w:ascii="Times New Roman" w:hAnsi="Times New Roman" w:cs="Times New Roman"/>
          <w:color w:val="auto"/>
          <w:highlight w:val="none"/>
          <w:lang w:val="en-US" w:eastAsia="zh-CN"/>
        </w:rPr>
        <w:t>及能源消耗</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（1）主要原辅材料及能源消耗</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项目主要原辅材料及能源使用情况见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_Ref29360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表3.2-1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278" w:name="_Ref29360"/>
      <w:r>
        <w:rPr>
          <w:rFonts w:hint="default" w:ascii="Times New Roman" w:hAnsi="Times New Roman" w:cs="Times New Roman"/>
          <w:color w:val="auto"/>
          <w:highlight w:val="none"/>
          <w:lang w:val="en-US" w:eastAsia="zh-CN"/>
        </w:rPr>
        <w:t>项目主要原辅材料及能源使用情况一览表</w:t>
      </w:r>
      <w:bookmarkEnd w:id="278"/>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（2）主要原辅材料性质</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项目主要原辅材料理化性质见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_Ref31643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表3.2-3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279" w:name="_Toc21506"/>
      <w:bookmarkStart w:id="280" w:name="_Toc20891"/>
      <w:bookmarkStart w:id="281" w:name="_Toc24736"/>
      <w:bookmarkStart w:id="282" w:name="_Toc20951"/>
      <w:bookmarkStart w:id="283" w:name="_Toc2722"/>
      <w:r>
        <w:rPr>
          <w:rFonts w:hint="default" w:ascii="Times New Roman" w:hAnsi="Times New Roman" w:cs="Times New Roman"/>
          <w:color w:val="auto"/>
          <w:highlight w:val="none"/>
          <w:lang w:val="en-US" w:eastAsia="zh-CN"/>
        </w:rPr>
        <w:t>生产设备</w:t>
      </w:r>
      <w:bookmarkEnd w:id="279"/>
      <w:bookmarkEnd w:id="280"/>
      <w:bookmarkEnd w:id="281"/>
      <w:bookmarkEnd w:id="282"/>
      <w:bookmarkEnd w:id="283"/>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项目主要生产设备见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_Ref31927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表3.2-2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284" w:name="_Ref31927"/>
      <w:r>
        <w:rPr>
          <w:rFonts w:hint="default" w:ascii="Times New Roman" w:hAnsi="Times New Roman" w:cs="Times New Roman"/>
          <w:color w:val="auto"/>
          <w:highlight w:val="none"/>
          <w:lang w:val="en-US" w:eastAsia="zh-CN"/>
        </w:rPr>
        <w:t>项目主要生产设备一览表</w:t>
      </w:r>
      <w:bookmarkEnd w:id="284"/>
    </w:p>
    <w:p>
      <w:pPr>
        <w:bidi w:val="0"/>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285" w:name="_Ref31643"/>
      <w:r>
        <w:rPr>
          <w:rFonts w:hint="default" w:ascii="Times New Roman" w:hAnsi="Times New Roman" w:cs="Times New Roman"/>
          <w:color w:val="auto"/>
          <w:highlight w:val="none"/>
          <w:lang w:val="en-US" w:eastAsia="zh-CN"/>
        </w:rPr>
        <w:t>项目主要原辅材料性质一览表</w:t>
      </w:r>
      <w:bookmarkEnd w:id="285"/>
    </w:p>
    <w:p>
      <w:pPr>
        <w:pStyle w:val="3"/>
        <w:numPr>
          <w:ilvl w:val="1"/>
          <w:numId w:val="3"/>
        </w:numPr>
        <w:tabs>
          <w:tab w:val="clear" w:pos="420"/>
        </w:tabs>
        <w:bidi w:val="0"/>
        <w:rPr>
          <w:rFonts w:hint="default" w:ascii="Times New Roman" w:hAnsi="Times New Roman" w:cs="Times New Roman"/>
          <w:color w:val="auto"/>
          <w:highlight w:val="none"/>
          <w:lang w:val="en-US" w:eastAsia="zh-CN"/>
        </w:rPr>
      </w:pPr>
      <w:bookmarkStart w:id="286" w:name="_Toc18579"/>
      <w:bookmarkStart w:id="287" w:name="_Toc30580"/>
      <w:bookmarkStart w:id="288" w:name="_Toc23485"/>
      <w:bookmarkStart w:id="289" w:name="_Toc11012"/>
      <w:bookmarkStart w:id="290" w:name="_Toc22736"/>
      <w:bookmarkStart w:id="291" w:name="_Toc8349"/>
      <w:bookmarkStart w:id="292" w:name="_Toc22698"/>
      <w:bookmarkStart w:id="293" w:name="_Toc1378"/>
      <w:bookmarkStart w:id="294" w:name="_Toc4307"/>
      <w:r>
        <w:rPr>
          <w:rFonts w:hint="default" w:ascii="Times New Roman" w:hAnsi="Times New Roman" w:cs="Times New Roman"/>
          <w:color w:val="auto"/>
          <w:highlight w:val="none"/>
          <w:lang w:val="en-US" w:eastAsia="zh-CN"/>
        </w:rPr>
        <w:t>项目平面布置分析</w:t>
      </w:r>
      <w:bookmarkEnd w:id="286"/>
      <w:bookmarkEnd w:id="287"/>
      <w:bookmarkEnd w:id="288"/>
      <w:bookmarkEnd w:id="289"/>
      <w:bookmarkEnd w:id="290"/>
      <w:bookmarkEnd w:id="291"/>
      <w:bookmarkEnd w:id="292"/>
      <w:bookmarkEnd w:id="293"/>
      <w:bookmarkEnd w:id="294"/>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295" w:name="_Toc3064"/>
      <w:bookmarkStart w:id="296" w:name="_Toc7834"/>
      <w:bookmarkStart w:id="297" w:name="_Toc19272"/>
      <w:bookmarkStart w:id="298" w:name="_Toc189"/>
      <w:bookmarkStart w:id="299" w:name="_Toc10517"/>
      <w:r>
        <w:rPr>
          <w:rFonts w:hint="default" w:ascii="Times New Roman" w:hAnsi="Times New Roman" w:cs="Times New Roman"/>
          <w:color w:val="auto"/>
          <w:highlight w:val="none"/>
          <w:lang w:val="en-US" w:eastAsia="zh-CN"/>
        </w:rPr>
        <w:t>项目平面布置</w:t>
      </w:r>
      <w:bookmarkEnd w:id="295"/>
      <w:bookmarkEnd w:id="296"/>
      <w:bookmarkEnd w:id="297"/>
      <w:bookmarkEnd w:id="298"/>
      <w:bookmarkEnd w:id="299"/>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lang w:eastAsia="zh-CN"/>
        </w:rPr>
        <w:t>项目位于</w:t>
      </w:r>
      <w:r>
        <w:rPr>
          <w:rFonts w:hint="default" w:ascii="Times New Roman" w:hAnsi="Times New Roman" w:cs="Times New Roman"/>
          <w:color w:val="auto"/>
          <w:highlight w:val="none"/>
          <w:lang w:val="en-US" w:eastAsia="zh-CN"/>
        </w:rPr>
        <w:t>福建省宁德市霞浦县牙城镇工业园1号地块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征地面积22772.5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highlight w:val="none"/>
          <w:lang w:val="en-US" w:eastAsia="zh-CN"/>
        </w:rPr>
        <w:t>总建筑面积29093.67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。地块呈梯形</w:t>
      </w:r>
      <w:r>
        <w:rPr>
          <w:rFonts w:hint="default" w:ascii="Times New Roman" w:hAnsi="Times New Roman" w:cs="Times New Roman"/>
          <w:color w:val="auto"/>
          <w:highlight w:val="none"/>
          <w:lang w:val="en-US" w:eastAsia="zh-CN"/>
        </w:rPr>
        <w:t>，北侧长，南侧短，后纺楼位于地块北侧，东侧由北向南依次为前纺楼、维修厂房、锅炉房、研发楼，综合厂房位于地块中部，宿舍楼位于地块南侧。项目</w:t>
      </w:r>
      <w:r>
        <w:rPr>
          <w:rFonts w:hint="default" w:ascii="Times New Roman" w:hAnsi="Times New Roman" w:cs="Times New Roman"/>
          <w:b w:val="0"/>
          <w:bCs w:val="0"/>
          <w:color w:val="auto"/>
          <w:highlight w:val="none"/>
          <w:lang w:val="en-US" w:eastAsia="zh-CN"/>
        </w:rPr>
        <w:t>总平面布置图详见</w:t>
      </w:r>
      <w:r>
        <w:rPr>
          <w:rFonts w:hint="default" w:ascii="Times New Roman" w:hAnsi="Times New Roman" w:cs="Times New Roman"/>
          <w:b w:val="0"/>
          <w:bCs w:val="0"/>
          <w:color w:val="auto"/>
          <w:highlight w:val="none"/>
          <w:lang w:val="en-US" w:eastAsia="zh-CN"/>
        </w:rPr>
        <w:fldChar w:fldCharType="begin"/>
      </w:r>
      <w:r>
        <w:rPr>
          <w:rFonts w:hint="default" w:ascii="Times New Roman" w:hAnsi="Times New Roman" w:cs="Times New Roman"/>
          <w:b w:val="0"/>
          <w:bCs w:val="0"/>
          <w:color w:val="auto"/>
          <w:highlight w:val="none"/>
          <w:lang w:val="en-US" w:eastAsia="zh-CN"/>
        </w:rPr>
        <w:instrText xml:space="preserve"> REF _Ref3339 \n \h </w:instrText>
      </w:r>
      <w:r>
        <w:rPr>
          <w:rFonts w:hint="default" w:ascii="Times New Roman" w:hAnsi="Times New Roman" w:cs="Times New Roman"/>
          <w:b w:val="0"/>
          <w:bCs w:val="0"/>
          <w:color w:val="auto"/>
          <w:highlight w:val="none"/>
          <w:lang w:val="en-US" w:eastAsia="zh-CN"/>
        </w:rPr>
        <w:fldChar w:fldCharType="separate"/>
      </w:r>
      <w:r>
        <w:rPr>
          <w:rFonts w:hint="default" w:ascii="Times New Roman" w:hAnsi="Times New Roman" w:cs="Times New Roman"/>
          <w:b w:val="0"/>
          <w:bCs w:val="0"/>
          <w:color w:val="auto"/>
          <w:highlight w:val="none"/>
          <w:lang w:val="en-US" w:eastAsia="zh-CN"/>
        </w:rPr>
        <w:t>图3.3-1</w:t>
      </w:r>
      <w:r>
        <w:rPr>
          <w:rFonts w:hint="default" w:ascii="Times New Roman" w:hAnsi="Times New Roman" w:cs="Times New Roman"/>
          <w:b w:val="0"/>
          <w:bCs w:val="0"/>
          <w:color w:val="auto"/>
          <w:highlight w:val="none"/>
          <w:lang w:val="en-US" w:eastAsia="zh-CN"/>
        </w:rPr>
        <w:fldChar w:fldCharType="end"/>
      </w:r>
      <w:r>
        <w:rPr>
          <w:rFonts w:hint="default" w:ascii="Times New Roman" w:hAnsi="Times New Roman" w:cs="Times New Roman"/>
          <w:b w:val="0"/>
          <w:bCs w:val="0"/>
          <w:color w:val="auto"/>
          <w:highlight w:val="none"/>
          <w:lang w:val="en-US" w:eastAsia="zh-CN"/>
        </w:rPr>
        <w:t>，雨污水管线图详见</w:t>
      </w:r>
      <w:r>
        <w:rPr>
          <w:rFonts w:hint="default" w:ascii="Times New Roman" w:hAnsi="Times New Roman" w:cs="Times New Roman"/>
          <w:b w:val="0"/>
          <w:bCs w:val="0"/>
          <w:color w:val="auto"/>
          <w:highlight w:val="none"/>
          <w:lang w:val="en-US" w:eastAsia="zh-CN"/>
        </w:rPr>
        <w:fldChar w:fldCharType="begin"/>
      </w:r>
      <w:r>
        <w:rPr>
          <w:rFonts w:hint="default" w:ascii="Times New Roman" w:hAnsi="Times New Roman" w:cs="Times New Roman"/>
          <w:b w:val="0"/>
          <w:bCs w:val="0"/>
          <w:color w:val="auto"/>
          <w:highlight w:val="none"/>
          <w:lang w:val="en-US" w:eastAsia="zh-CN"/>
        </w:rPr>
        <w:instrText xml:space="preserve"> REF _Ref3381 \n \h </w:instrText>
      </w:r>
      <w:r>
        <w:rPr>
          <w:rFonts w:hint="default" w:ascii="Times New Roman" w:hAnsi="Times New Roman" w:cs="Times New Roman"/>
          <w:b w:val="0"/>
          <w:bCs w:val="0"/>
          <w:color w:val="auto"/>
          <w:highlight w:val="none"/>
          <w:lang w:val="en-US" w:eastAsia="zh-CN"/>
        </w:rPr>
        <w:fldChar w:fldCharType="separate"/>
      </w:r>
      <w:r>
        <w:rPr>
          <w:rFonts w:hint="default" w:ascii="Times New Roman" w:hAnsi="Times New Roman" w:cs="Times New Roman"/>
          <w:b w:val="0"/>
          <w:bCs w:val="0"/>
          <w:color w:val="auto"/>
          <w:highlight w:val="none"/>
          <w:lang w:val="en-US" w:eastAsia="zh-CN"/>
        </w:rPr>
        <w:t>图3.3-2</w:t>
      </w:r>
      <w:r>
        <w:rPr>
          <w:rFonts w:hint="default" w:ascii="Times New Roman" w:hAnsi="Times New Roman" w:cs="Times New Roman"/>
          <w:b w:val="0"/>
          <w:bCs w:val="0"/>
          <w:color w:val="auto"/>
          <w:highlight w:val="none"/>
          <w:lang w:val="en-US" w:eastAsia="zh-CN"/>
        </w:rPr>
        <w:fldChar w:fldCharType="end"/>
      </w:r>
      <w:r>
        <w:rPr>
          <w:rFonts w:hint="default" w:ascii="Times New Roman" w:hAnsi="Times New Roman" w:cs="Times New Roman"/>
          <w:b w:val="0"/>
          <w:bCs w:val="0"/>
          <w:color w:val="auto"/>
          <w:highlight w:val="none"/>
          <w:lang w:val="en-US" w:eastAsia="zh-CN"/>
        </w:rPr>
        <w:t>。</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00" w:name="_Toc13447"/>
      <w:bookmarkStart w:id="301" w:name="_Toc13331"/>
      <w:bookmarkStart w:id="302" w:name="_Toc7212"/>
      <w:bookmarkStart w:id="303" w:name="_Toc16943"/>
      <w:bookmarkStart w:id="304" w:name="_Toc5144"/>
      <w:r>
        <w:rPr>
          <w:rFonts w:hint="default" w:ascii="Times New Roman" w:hAnsi="Times New Roman" w:cs="Times New Roman"/>
          <w:color w:val="auto"/>
          <w:highlight w:val="none"/>
          <w:lang w:val="en-US" w:eastAsia="zh-CN"/>
        </w:rPr>
        <w:t>项目平面布置合理性分析</w:t>
      </w:r>
      <w:bookmarkEnd w:id="300"/>
      <w:bookmarkEnd w:id="301"/>
      <w:bookmarkEnd w:id="302"/>
      <w:bookmarkEnd w:id="303"/>
      <w:bookmarkEnd w:id="304"/>
    </w:p>
    <w:p>
      <w:pP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总平面布置遵循原则：确保建（构）筑物布置满足生产、物流要求，符合安全、防火、环保要求，减少建筑物工程投资，布置力求紧凑、合理、节约用地。厂房内各功能区之间相对独立，并且有明显的界限和标志。项目平面布置合理性分析如下：</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（1）项目功能分区较为明确，工艺流程畅通，布置紧凑，线路简短便捷，厂区平面布置充分考虑到项目工艺特点，考虑到安全距离和消防需要，各功能区之间留有足够的安全距离，避免相互影响。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研发楼、宿舍楼布置在地块南侧，位于常年主导风向上风向，生产装置集中布置在地块中部和北部，有利于降低污染物排放对人员的影响。各生产环节连接紧凑，物料输送距离相对较短，便于节能降耗，减少物料流失，提高生产效率。危险废物贮存间、一般工业固体废物贮存间位于项目位于综合厂房西侧，靠近厂区出口，便于及时转运处置；生活垃圾收集点靠近研发楼和宿舍楼，有利于生产和办公、生活分开管理。</w:t>
      </w:r>
    </w:p>
    <w:p>
      <w:pPr>
        <w:bidi w:val="0"/>
        <w:rPr>
          <w:rFonts w:hint="default" w:ascii="Times New Roman" w:hAnsi="Times New Roman" w:cs="Times New Roman"/>
          <w:color w:val="auto"/>
          <w:sz w:val="24"/>
          <w:highlight w:val="none"/>
          <w:lang w:eastAsia="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sz w:val="24"/>
          <w:highlight w:val="none"/>
          <w:lang w:eastAsia="zh-CN"/>
        </w:rPr>
        <w:t>根据现场勘查，项目</w:t>
      </w:r>
      <w:r>
        <w:rPr>
          <w:rFonts w:hint="default" w:ascii="Times New Roman" w:hAnsi="Times New Roman" w:cs="Times New Roman"/>
          <w:color w:val="auto"/>
          <w:sz w:val="24"/>
          <w:highlight w:val="none"/>
          <w:lang w:val="en-US" w:eastAsia="zh-CN"/>
        </w:rPr>
        <w:t>地块</w:t>
      </w:r>
      <w:r>
        <w:rPr>
          <w:rFonts w:hint="default" w:ascii="Times New Roman" w:hAnsi="Times New Roman" w:cs="Times New Roman"/>
          <w:color w:val="auto"/>
          <w:sz w:val="24"/>
          <w:highlight w:val="none"/>
        </w:rPr>
        <w:t>周边</w:t>
      </w:r>
      <w:r>
        <w:rPr>
          <w:rFonts w:hint="default" w:ascii="Times New Roman" w:hAnsi="Times New Roman" w:cs="Times New Roman"/>
          <w:color w:val="auto"/>
          <w:sz w:val="24"/>
          <w:highlight w:val="none"/>
          <w:lang w:val="en-US" w:eastAsia="zh-CN"/>
        </w:rPr>
        <w:t>最</w:t>
      </w:r>
      <w:r>
        <w:rPr>
          <w:rFonts w:hint="default" w:ascii="Times New Roman" w:hAnsi="Times New Roman" w:cs="Times New Roman"/>
          <w:color w:val="auto"/>
          <w:sz w:val="24"/>
          <w:highlight w:val="none"/>
        </w:rPr>
        <w:t>近的环境敏感目标为</w:t>
      </w:r>
      <w:r>
        <w:rPr>
          <w:rFonts w:hint="default" w:ascii="Times New Roman" w:hAnsi="Times New Roman" w:cs="Times New Roman"/>
          <w:color w:val="auto"/>
          <w:sz w:val="24"/>
          <w:highlight w:val="none"/>
          <w:lang w:val="en-US" w:eastAsia="zh-CN"/>
        </w:rPr>
        <w:t>地块南侧的一层村，位于主导风向上风向，</w:t>
      </w:r>
      <w:r>
        <w:rPr>
          <w:rFonts w:hint="default" w:ascii="Times New Roman" w:hAnsi="Times New Roman" w:cs="Times New Roman"/>
          <w:color w:val="auto"/>
          <w:sz w:val="24"/>
          <w:highlight w:val="none"/>
        </w:rPr>
        <w:t>距离厂界</w:t>
      </w:r>
      <w:r>
        <w:rPr>
          <w:rFonts w:hint="default" w:ascii="Times New Roman" w:hAnsi="Times New Roman" w:cs="Times New Roman"/>
          <w:color w:val="auto"/>
          <w:sz w:val="24"/>
          <w:highlight w:val="none"/>
          <w:lang w:val="en-US" w:eastAsia="zh-CN"/>
        </w:rPr>
        <w:t>35 m。本项目主要大气、噪声污染源布置在地块北侧，远离敏感目标，同时通过采取有效的废气治理设施和噪声防治措施后可大大降低污染物的排放量和排放浓度</w:t>
      </w:r>
      <w:r>
        <w:rPr>
          <w:rFonts w:hint="default" w:ascii="Times New Roman" w:hAnsi="Times New Roman" w:cs="Times New Roman"/>
          <w:color w:val="auto"/>
          <w:sz w:val="24"/>
          <w:highlight w:val="none"/>
          <w:lang w:eastAsia="zh-CN"/>
        </w:rPr>
        <w:t>。因此，</w:t>
      </w:r>
      <w:r>
        <w:rPr>
          <w:rFonts w:hint="default" w:ascii="Times New Roman" w:hAnsi="Times New Roman" w:cs="Times New Roman"/>
          <w:color w:val="auto"/>
          <w:sz w:val="24"/>
          <w:highlight w:val="none"/>
          <w:lang w:val="en-US" w:eastAsia="zh-CN"/>
        </w:rPr>
        <w:t>本项目建设</w:t>
      </w:r>
      <w:r>
        <w:rPr>
          <w:rFonts w:hint="default" w:ascii="Times New Roman" w:hAnsi="Times New Roman" w:cs="Times New Roman"/>
          <w:color w:val="auto"/>
          <w:sz w:val="24"/>
          <w:highlight w:val="none"/>
        </w:rPr>
        <w:t>对周边环境敏感目标的影响较小</w:t>
      </w:r>
      <w:r>
        <w:rPr>
          <w:rFonts w:hint="default" w:ascii="Times New Roman" w:hAnsi="Times New Roman" w:cs="Times New Roman"/>
          <w:color w:val="auto"/>
          <w:sz w:val="24"/>
          <w:highlight w:val="none"/>
          <w:lang w:eastAsia="zh-CN"/>
        </w:rPr>
        <w:t>。</w:t>
      </w:r>
    </w:p>
    <w:p>
      <w:pPr>
        <w:rPr>
          <w:rFonts w:hint="default" w:ascii="Times New Roman" w:hAnsi="Times New Roman" w:cs="Times New Roman"/>
          <w:color w:val="auto"/>
          <w:sz w:val="24"/>
          <w:highlight w:val="none"/>
          <w:lang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sz w:val="24"/>
          <w:highlight w:val="none"/>
          <w:lang w:eastAsia="zh-CN"/>
        </w:rPr>
        <w:t>综上所述，</w:t>
      </w: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lang w:eastAsia="zh-CN"/>
        </w:rPr>
        <w:t>厂区平面布置基本合理可行。</w:t>
      </w:r>
      <w:bookmarkStart w:id="305" w:name="_Toc27242"/>
    </w:p>
    <w:p>
      <w:pPr>
        <w:pStyle w:val="22"/>
        <w:numPr>
          <w:ilvl w:val="7"/>
          <w:numId w:val="0"/>
        </w:numPr>
        <w:bidi w:val="0"/>
        <w:ind w:leftChars="0"/>
        <w:jc w:val="center"/>
        <w:rPr>
          <w:rFonts w:hint="default" w:ascii="Times New Roman" w:hAnsi="Times New Roman" w:cs="Times New Roman"/>
          <w:color w:val="auto"/>
          <w:highlight w:val="none"/>
          <w:lang w:eastAsia="zh-CN"/>
        </w:rPr>
      </w:pPr>
    </w:p>
    <w:p>
      <w:pPr>
        <w:pStyle w:val="22"/>
        <w:numPr>
          <w:ilvl w:val="7"/>
          <w:numId w:val="3"/>
        </w:numPr>
        <w:bidi w:val="0"/>
        <w:ind w:left="0" w:leftChars="0" w:firstLine="0" w:firstLineChars="0"/>
        <w:rPr>
          <w:rFonts w:hint="default" w:ascii="Times New Roman" w:hAnsi="Times New Roman" w:cs="Times New Roman"/>
          <w:color w:val="auto"/>
          <w:highlight w:val="none"/>
          <w:lang w:val="en-US" w:eastAsia="zh-CN"/>
        </w:rPr>
      </w:pPr>
      <w:bookmarkStart w:id="306" w:name="_Ref3339"/>
      <w:r>
        <w:rPr>
          <w:rFonts w:hint="default" w:ascii="Times New Roman" w:hAnsi="Times New Roman" w:cs="Times New Roman"/>
          <w:color w:val="auto"/>
          <w:highlight w:val="none"/>
          <w:lang w:val="en-US" w:eastAsia="zh-CN"/>
        </w:rPr>
        <w:t>项目总平面布置图</w:t>
      </w:r>
      <w:bookmarkEnd w:id="306"/>
    </w:p>
    <w:p>
      <w:pPr>
        <w:bidi w:val="0"/>
        <w:ind w:left="0" w:leftChars="0" w:firstLine="0" w:firstLineChars="0"/>
        <w:rPr>
          <w:rFonts w:hint="default" w:ascii="Times New Roman" w:hAnsi="Times New Roman" w:cs="Times New Roman"/>
          <w:color w:val="auto"/>
          <w:highlight w:val="none"/>
          <w:lang w:val="en-US" w:eastAsia="zh-CN"/>
        </w:rPr>
      </w:pPr>
    </w:p>
    <w:p>
      <w:pPr>
        <w:pStyle w:val="22"/>
        <w:numPr>
          <w:ilvl w:val="7"/>
          <w:numId w:val="3"/>
        </w:numPr>
        <w:bidi w:val="0"/>
        <w:ind w:left="0" w:leftChars="0" w:firstLine="0" w:firstLineChars="0"/>
        <w:rPr>
          <w:rFonts w:hint="default" w:ascii="Times New Roman" w:hAnsi="Times New Roman" w:cs="Times New Roman"/>
          <w:color w:val="auto"/>
          <w:highlight w:val="none"/>
          <w:lang w:val="en-US" w:eastAsia="zh-CN"/>
        </w:rPr>
      </w:pPr>
      <w:bookmarkStart w:id="307" w:name="_Ref3381"/>
      <w:r>
        <w:rPr>
          <w:rFonts w:hint="default" w:ascii="Times New Roman" w:hAnsi="Times New Roman" w:cs="Times New Roman"/>
          <w:color w:val="auto"/>
          <w:highlight w:val="none"/>
          <w:lang w:val="en-US" w:eastAsia="zh-CN"/>
        </w:rPr>
        <w:t>项目雨污水管网图</w:t>
      </w:r>
      <w:bookmarkEnd w:id="307"/>
    </w:p>
    <w:p>
      <w:pPr>
        <w:rPr>
          <w:rFonts w:hint="default" w:ascii="Times New Roman" w:hAnsi="Times New Roman" w:cs="Times New Roman"/>
          <w:color w:val="auto"/>
          <w:sz w:val="24"/>
          <w:highlight w:val="none"/>
          <w:lang w:eastAsia="zh-CN"/>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3"/>
        <w:numPr>
          <w:ilvl w:val="1"/>
          <w:numId w:val="3"/>
        </w:numPr>
        <w:bidi w:val="0"/>
        <w:rPr>
          <w:rFonts w:hint="default" w:ascii="Times New Roman" w:hAnsi="Times New Roman" w:cs="Times New Roman"/>
          <w:color w:val="auto"/>
          <w:highlight w:val="none"/>
          <w:lang w:val="en-US" w:eastAsia="zh-CN"/>
        </w:rPr>
      </w:pPr>
      <w:bookmarkStart w:id="308" w:name="_Toc19963"/>
      <w:bookmarkStart w:id="309" w:name="_Toc12346"/>
      <w:bookmarkStart w:id="310" w:name="_Toc9507"/>
      <w:bookmarkStart w:id="311" w:name="_Toc15369"/>
      <w:bookmarkStart w:id="312" w:name="_Toc30255"/>
      <w:bookmarkStart w:id="313" w:name="_Toc11265"/>
      <w:bookmarkStart w:id="314" w:name="_Toc9260"/>
      <w:bookmarkStart w:id="315" w:name="_Toc28560"/>
      <w:r>
        <w:rPr>
          <w:rFonts w:hint="default" w:ascii="Times New Roman" w:hAnsi="Times New Roman" w:cs="Times New Roman"/>
          <w:color w:val="auto"/>
          <w:highlight w:val="none"/>
          <w:lang w:val="en-US" w:eastAsia="zh-CN"/>
        </w:rPr>
        <w:t>生产工艺及产污环节分析</w:t>
      </w:r>
      <w:bookmarkEnd w:id="305"/>
      <w:bookmarkEnd w:id="308"/>
      <w:bookmarkEnd w:id="309"/>
      <w:bookmarkEnd w:id="310"/>
      <w:bookmarkEnd w:id="311"/>
      <w:bookmarkEnd w:id="312"/>
      <w:bookmarkEnd w:id="313"/>
      <w:bookmarkEnd w:id="314"/>
      <w:bookmarkEnd w:id="315"/>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本项目生产是利用回收的涤纶纺织下脚料通过摩擦造粒生产涤纶粒子，而后经前纺、后纺加工形成高性能再生涤纶（PET）纤维。项目共建设2条PET再生纤维生产线，</w:t>
      </w:r>
      <w:r>
        <w:rPr>
          <w:rFonts w:hint="eastAsia" w:cs="Times New Roman"/>
          <w:color w:val="auto"/>
          <w:highlight w:val="none"/>
          <w:lang w:val="en-US" w:eastAsia="zh-CN"/>
        </w:rPr>
        <w:t>采用连续进料，</w:t>
      </w:r>
      <w:r>
        <w:rPr>
          <w:rFonts w:hint="default" w:ascii="Times New Roman" w:hAnsi="Times New Roman" w:cs="Times New Roman"/>
          <w:color w:val="auto"/>
          <w:highlight w:val="none"/>
          <w:lang w:val="en-US" w:eastAsia="zh-CN"/>
        </w:rPr>
        <w:t>主要包括：造粒生产工艺、前纺生产工艺和后纺生产工艺等。具体分析如下：</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造粒生产工艺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（1）拆料筛选工序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通过人工或自动设备将不同颜色、不同种类的</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lang w:val="en-US" w:eastAsia="zh-CN"/>
        </w:rPr>
        <w:t>进行分拣，该过程有少量粉尘</w:t>
      </w:r>
      <w:r>
        <w:rPr>
          <w:rFonts w:hint="default" w:ascii="Times New Roman" w:hAnsi="Times New Roman" w:cs="Times New Roman"/>
          <w:color w:val="auto"/>
          <w:sz w:val="24"/>
          <w:szCs w:val="24"/>
          <w:highlight w:val="none"/>
          <w:lang w:val="en-US" w:eastAsia="zh-CN"/>
        </w:rPr>
        <w:t>产生，主要为涤纶织物下脚料抖动及拆</w:t>
      </w:r>
      <w:r>
        <w:rPr>
          <w:rFonts w:hint="default" w:ascii="Times New Roman" w:hAnsi="Times New Roman" w:cs="Times New Roman"/>
          <w:color w:val="auto"/>
          <w:highlight w:val="none"/>
          <w:lang w:val="en-US" w:eastAsia="zh-CN"/>
        </w:rPr>
        <w:t>包过程产生粉尘G1，该过程粉尘可通过车间洒水降尘，主要为无组织排放，筛选出杂质S1。</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（2）破碎</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经过筛选后的原料以及回用的废熔块、废丝经粉碎机破碎，便于后续摩擦造粒和挤压熔融，破碎过程会产生粉尘G2和噪声N。</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（3）摩擦造粒</w:t>
      </w:r>
    </w:p>
    <w:p>
      <w:pP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通过摩擦机把</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sz w:val="24"/>
          <w:highlight w:val="none"/>
        </w:rPr>
        <w:t>加</w:t>
      </w:r>
      <w:r>
        <w:rPr>
          <w:rFonts w:hint="default" w:ascii="Times New Roman" w:hAnsi="Times New Roman" w:cs="Times New Roman"/>
          <w:color w:val="auto"/>
          <w:sz w:val="24"/>
          <w:highlight w:val="none"/>
          <w:lang w:val="en-US" w:eastAsia="zh-CN"/>
        </w:rPr>
        <w:t>工</w:t>
      </w:r>
      <w:r>
        <w:rPr>
          <w:rFonts w:hint="default" w:ascii="Times New Roman" w:hAnsi="Times New Roman" w:cs="Times New Roman"/>
          <w:color w:val="auto"/>
          <w:sz w:val="24"/>
          <w:highlight w:val="none"/>
        </w:rPr>
        <w:t>到</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20</w:t>
      </w:r>
      <w:r>
        <w:rPr>
          <w:rFonts w:hint="default" w:ascii="Times New Roman" w:hAnsi="Times New Roman" w:cs="Times New Roman"/>
          <w:color w:val="auto"/>
          <w:sz w:val="24"/>
          <w:highlight w:val="none"/>
        </w:rPr>
        <w:t>℃，使原料部分熔融、结粒</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制得涤纶粒子</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该过程会产生</w:t>
      </w:r>
      <w:r>
        <w:rPr>
          <w:rFonts w:hint="default" w:ascii="Times New Roman" w:hAnsi="Times New Roman" w:cs="Times New Roman"/>
          <w:color w:val="auto"/>
          <w:sz w:val="24"/>
          <w:highlight w:val="none"/>
        </w:rPr>
        <w:t>有机废气</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主要是PET加热过程表面的杂质分解出少量有机气体（非甲烷总烃）</w:t>
      </w:r>
      <w:r>
        <w:rPr>
          <w:rFonts w:hint="default" w:ascii="Times New Roman" w:hAnsi="Times New Roman" w:cs="Times New Roman"/>
          <w:color w:val="auto"/>
          <w:sz w:val="24"/>
          <w:highlight w:val="none"/>
          <w:lang w:val="en-US" w:eastAsia="zh-CN"/>
        </w:rPr>
        <w:t>G3，以及机台运行噪声N。</w:t>
      </w:r>
    </w:p>
    <w:p>
      <w:pPr>
        <w:ind w:left="0" w:leftChars="0" w:firstLine="0" w:firstLineChars="0"/>
        <w:jc w:val="center"/>
        <w:rPr>
          <w:rFonts w:hint="default" w:ascii="Times New Roman" w:hAnsi="Times New Roman" w:cs="Times New Roman"/>
          <w:color w:val="auto"/>
          <w:sz w:val="24"/>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造粒生产工艺流程及产污环节示意图</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前纺生产工艺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将涤纶粒子经挤压熔融、过滤、真空增粘后进入计量泵，再将物料压入纺丝组件进行喷丝，制得熔体细流后通过风冷、卷绕形成原丝。</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（1）挤压熔融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粒状原料由喂入机陆续进入密闭式螺杆挤压机,，螺杆挤压机采用电加热，加热温度控制在240~270 ℃，原料在该条件下，由固态逐渐转变为粘流态，粘流态的聚酯大分子在螺杆的推进和螺杆出口的阻力作用下，熔体均匀混合，且压力增高，将熔体挤出。螺杆挤压机为密闭设备，仅在阀门或管道接口处有极少量有机废气泄漏呈无组织排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（2）粗过滤</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经挤压出的粘流态物质进入过滤器过滤，去除部分杂质和未熔透的凝胶粒子，提高产品质量，此过程会产生废熔块S2，废熔块回用于破碎工序。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（3）真空增粘</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粗过滤后的粘流态物质进入反应釜进行抽真空增粘，反应釜采用电加热，温度控制在260~280℃。此过程降低了物料中水的沸点，使水汽化成水蒸气，原料中含有的乙二醇等醇类物质也随之被蒸出，附着在水蒸气表面，一并被抽出，产生</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S3和非甲烷总烃G4。</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（4）精过滤</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经反应釜增粘后的物料通过组件中多层滤网过滤，进一步去除杂质和未熔透的凝胶粒子，得到几乎无任何杂质的纯净PET粘流态物料后进入纺丝箱体。过滤过程产生废熔块S2。</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（5）纺丝</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纺丝组件由喷丝板、分配板等组成。粘流态物料通过组件保温炉保温，计量后由分配板均匀分布在喷丝板上，经喷丝板的细孔被挤出形成熔体细流，此过程会产生非甲烷总烃G5和噪声N。</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（6）冷却（风冷）、卷绕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从喷丝板喷出的熔体细流通过环吹风的冷却后进入卷绕工段。通过上油盘的给水和上油进行初步成型，使纺丝下来的丝束含湿度与空气达到平衡；促进丝束内部六方晶系生成以增强产品的物理性能；同时减少丝束间摩擦力，消除静电，然后通过牵引机将各分散的丝束集中送入盛丝桶中。上油过程中滴落下来的纺丝油剂直接回用于生产，油剂循环使用，不外排；废丝S4回用于破碎工序；环吹风冷却系统运行产生噪声N。</w:t>
      </w:r>
    </w:p>
    <w:p>
      <w:pPr>
        <w:rPr>
          <w:rFonts w:hint="default" w:ascii="Times New Roman" w:hAnsi="Times New Roman" w:cs="Times New Roman"/>
          <w:color w:val="auto"/>
          <w:highlight w:val="none"/>
          <w:lang w:val="en-US" w:eastAsia="zh-CN"/>
        </w:rPr>
      </w:pPr>
    </w:p>
    <w:p>
      <w:pPr>
        <w:ind w:left="0" w:leftChars="0" w:firstLine="0" w:firstLineChars="0"/>
        <w:jc w:val="center"/>
        <w:rPr>
          <w:rFonts w:hint="default" w:ascii="Times New Roman" w:hAnsi="Times New Roman" w:cs="Times New Roman"/>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前纺生产工艺流程及产污环节示意图</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后纺生产工艺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后纺主要是将落入盛丝桶内的原丝集束后进行浸油、牵伸，再通过卷曲、松弛热定型和切断后达到所需的产品规格。</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（1）集束</w:t>
      </w:r>
    </w:p>
    <w:p>
      <w:pPr>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将若干盛丝桶的丝束通过导丝架、导丝环合并成为一定粗细的、张力均匀的丝束，然后牵至牵伸工序</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（2）浸油、牵伸、水浴</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牵伸的作用是将丝束进一步拉长，丝束内部结构发生剧烈的物理反应，使晶体沿拉伸方向有规律的排列，使不稳定的晶格变成稳定的晶体，极大的改善了丝束的物理性能，形成了丝束的二次成型。丝束经浸油槽</w:t>
      </w:r>
      <w:r>
        <w:rPr>
          <w:rFonts w:hint="eastAsia" w:cs="Times New Roman"/>
          <w:color w:val="auto"/>
          <w:highlight w:val="none"/>
          <w:lang w:val="en-US" w:eastAsia="zh-CN"/>
        </w:rPr>
        <w:t>（常温，纺丝油剂常温下基本不挥发）</w:t>
      </w:r>
      <w:r>
        <w:rPr>
          <w:rFonts w:hint="default" w:ascii="Times New Roman" w:hAnsi="Times New Roman" w:cs="Times New Roman"/>
          <w:color w:val="auto"/>
          <w:highlight w:val="none"/>
          <w:lang w:val="en-US" w:eastAsia="zh-CN"/>
        </w:rPr>
        <w:t>后通过一道牵伸机在水浴中牵伸，水浴温度为60~70 ℃，而后丝束进入二道牵伸机，在蒸汽箱预热，预热温度为90~120℃，然后进入三道牵伸机。丝束经过三道牵伸机后，经过迭丝机，再进入小蒸汽箱，进一步预热定型，预热温度为70~90 ℃。此过程因油剂挥发产生非甲烷总烃、浸油槽油剂循环使用，定期倒槽产生浸油槽废液S5、以及水浴槽定期排放的废水W1。</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（3）卷曲</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二次定型后的纤维经过卷曲机冲压以达到所需的弯曲度。</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（4）上油、松弛热定型</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经卷曲后的纤维再次上油，而后均匀铺至热定型机内，松弛热定型温度为70~120 ℃，使得纤维得到干燥定型。该工段油剂受热会产生有机废气G8，上油过程中滴落下来的纺丝油剂直接回用于生产，油剂循环使用，不外排。</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（5）切断、打包</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干燥定型后的丝束经过曳引张力机，在均匀张力下喂入切断机中，</w:t>
      </w:r>
      <w:r>
        <w:rPr>
          <w:rFonts w:hint="default" w:ascii="Times New Roman" w:hAnsi="Times New Roman" w:cs="Times New Roman"/>
          <w:color w:val="auto"/>
          <w:highlight w:val="none"/>
        </w:rPr>
        <w:t>将丝束按照不同的要求切成不同规格的短丝，并送入打包机中打成一定规定尺寸形状的成品</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打包入库。</w:t>
      </w:r>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后纺生产工艺流程及产污环节示意图</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辅助设备工艺说明</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（1）纺丝油剂调配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油剂经计量后送入油剂混合槽，调配成浓油，一部分用自来水稀释搅拌调配成后，送入后加工成品油剂高位槽。另一部分浓油再经稀释调配成稀油分别送入纺丝油剂高位槽和后纺牵伸油高位槽。调配为间隙方式。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（2）除盐水系统工艺</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天然气锅炉</w:t>
      </w:r>
      <w:r>
        <w:rPr>
          <w:rFonts w:hint="default" w:ascii="Times New Roman" w:hAnsi="Times New Roman" w:cs="Times New Roman"/>
          <w:color w:val="auto"/>
          <w:highlight w:val="none"/>
        </w:rPr>
        <w:t>所</w:t>
      </w:r>
      <w:r>
        <w:rPr>
          <w:rFonts w:hint="default" w:ascii="Times New Roman" w:hAnsi="Times New Roman" w:cs="Times New Roman"/>
          <w:color w:val="auto"/>
          <w:highlight w:val="none"/>
          <w:lang w:val="en-US" w:eastAsia="zh-CN"/>
        </w:rPr>
        <w:t>需</w:t>
      </w:r>
      <w:r>
        <w:rPr>
          <w:rFonts w:hint="default" w:ascii="Times New Roman" w:hAnsi="Times New Roman" w:cs="Times New Roman"/>
          <w:color w:val="auto"/>
          <w:highlight w:val="none"/>
        </w:rPr>
        <w:t>除盐水由配套的除盐水装置提供，采用“钠（Na）型离子交换法”工艺处理，所用交换剂为钠（Na）型阳离子交换剂。当原水经过钠型离子交换剂时，水中的Ca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等阳离子与交换剂中的Na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进行交换，降低了水的硬度，使水质得到软化、除碱和除盐，故这种方法又称为钠离子交换软化法。</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离子交换剂可以循环使用，当其吸附能力达到饱和（即软水出水硬度超过水质标准）时，需要用再生溶液对离子交换剂进行再生（或还原）。再生后的离子交换剂可重复使用，交换后的再生液主要含有CaCl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、MgCl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等可溶性盐类。</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（3）组件煅烧清洗工艺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纺丝组件采用“真空煅烧+高压冲洗”清洗工艺。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真空煅烧炉主要由真空炉膛、废料收集罐、水喷淋洗涤器、真空泵、炉盖启闭密封装置以及为其服务的温度控制系统等构成。真空清洗是利用化纤聚合物通常在300℃左右可溶化、高于300℃隔绝空气可裂解焦化、高于450℃在空气中可完全氧化的特点，先把工件加热到约300℃使工件表面上数量较多的高分子聚合物溶化流淌到下部的废料收集容器内。这时，将炉温升高到500℃左右，并打开进气阀，通入少量空气使剩余的聚合物充分氧化，生成二氧化碳和水蒸气和极少量的非甲烷总烃，在真空泵的抽吸下利用水喷淋装置净化预处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水喷淋洗涤器喷淋洗涤后，再经真空泵汽水分离器的上部将废气引入废气净化装置处理后，排入大气中；下部废水直接排向废水池，整个工作过程中没有污染气体、烟雾和灰分排在室内，即使排出室外的气体也只是少量的二氧化碳等无害物质，大部分灰分由水排出。该过程产生的污染物主要为真空炉煅烧废渣S7和废水W2和废气G11。</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扩建工程</w:t>
      </w:r>
      <w:r>
        <w:rPr>
          <w:rFonts w:hint="default" w:ascii="Times New Roman" w:hAnsi="Times New Roman" w:cs="Times New Roman"/>
          <w:color w:val="auto"/>
          <w:highlight w:val="none"/>
          <w:lang w:val="en-US" w:eastAsia="zh-CN"/>
        </w:rPr>
        <w:t>总工艺流程</w:t>
      </w:r>
    </w:p>
    <w:p>
      <w:pP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扩建工程</w:t>
      </w:r>
      <w:r>
        <w:rPr>
          <w:rFonts w:hint="default" w:ascii="Times New Roman" w:hAnsi="Times New Roman" w:cs="Times New Roman"/>
          <w:color w:val="auto"/>
          <w:highlight w:val="none"/>
          <w:lang w:val="en-US" w:eastAsia="zh-CN"/>
        </w:rPr>
        <w:t>总工艺流程及产污环节见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_Ref9047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图3.4-4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bidi w:val="0"/>
        <w:ind w:left="0" w:leftChars="0" w:firstLine="0" w:firstLineChars="0"/>
        <w:rPr>
          <w:rFonts w:hint="default" w:ascii="Times New Roman" w:hAnsi="Times New Roman" w:cs="Times New Roman"/>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bookmarkStart w:id="316" w:name="_Ref9047"/>
      <w:r>
        <w:rPr>
          <w:rFonts w:hint="eastAsia" w:cs="Times New Roman"/>
          <w:color w:val="auto"/>
          <w:highlight w:val="none"/>
          <w:lang w:val="en-US" w:eastAsia="zh-CN"/>
        </w:rPr>
        <w:t>扩建工程</w:t>
      </w:r>
      <w:r>
        <w:rPr>
          <w:rFonts w:hint="default" w:ascii="Times New Roman" w:hAnsi="Times New Roman" w:cs="Times New Roman"/>
          <w:color w:val="auto"/>
          <w:highlight w:val="none"/>
          <w:lang w:val="en-US" w:eastAsia="zh-CN"/>
        </w:rPr>
        <w:t>总工艺流程及产污环节示意图</w:t>
      </w:r>
      <w:bookmarkEnd w:id="316"/>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17" w:name="_Toc17548"/>
      <w:bookmarkStart w:id="318" w:name="_Toc12370"/>
      <w:bookmarkStart w:id="319" w:name="_Toc30205"/>
      <w:bookmarkStart w:id="320" w:name="_Toc2471"/>
      <w:bookmarkStart w:id="321" w:name="_Toc23170"/>
      <w:r>
        <w:rPr>
          <w:rFonts w:hint="default" w:ascii="Times New Roman" w:hAnsi="Times New Roman" w:cs="Times New Roman"/>
          <w:color w:val="auto"/>
          <w:highlight w:val="none"/>
          <w:lang w:val="en-US" w:eastAsia="zh-CN"/>
        </w:rPr>
        <w:t>产污环节汇总</w:t>
      </w:r>
      <w:bookmarkEnd w:id="317"/>
      <w:bookmarkEnd w:id="318"/>
      <w:bookmarkEnd w:id="319"/>
      <w:bookmarkEnd w:id="320"/>
      <w:bookmarkEnd w:id="321"/>
    </w:p>
    <w:p>
      <w:pPr>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本项目产污环节汇总详见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_Ref28149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表3.4-2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22" w:name="_Ref28149"/>
      <w:r>
        <w:rPr>
          <w:rFonts w:hint="default" w:ascii="Times New Roman" w:hAnsi="Times New Roman" w:cs="Times New Roman"/>
          <w:color w:val="auto"/>
          <w:highlight w:val="none"/>
          <w:lang w:val="en-US" w:eastAsia="zh-CN"/>
        </w:rPr>
        <w:t>本项目产污环节一览表</w:t>
      </w:r>
      <w:bookmarkEnd w:id="322"/>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022"/>
        <w:gridCol w:w="1729"/>
        <w:gridCol w:w="2015"/>
        <w:gridCol w:w="2312"/>
        <w:gridCol w:w="1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污染类别</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编号</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污染物源</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产污节点</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污染因子</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排放规律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szCs w:val="20"/>
                <w:highlight w:val="none"/>
                <w:lang w:val="en-US" w:eastAsia="zh-CN"/>
              </w:rPr>
              <w:t>废水</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W1</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水浴槽废水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水浴</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COD、BOD</w:t>
            </w:r>
            <w:r>
              <w:rPr>
                <w:rFonts w:hint="eastAsia"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、SS、石油类等</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W2</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组件清洗废水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组件清洗</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COD、BOD</w:t>
            </w:r>
            <w:r>
              <w:rPr>
                <w:rFonts w:hint="eastAsia"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、SS、石油类</w:t>
            </w:r>
            <w:r>
              <w:rPr>
                <w:rFonts w:hint="eastAsia" w:cs="Times New Roman"/>
                <w:color w:val="auto"/>
                <w:sz w:val="21"/>
                <w:szCs w:val="21"/>
                <w:highlight w:val="none"/>
                <w:lang w:val="en-US" w:eastAsia="zh-CN"/>
              </w:rPr>
              <w:t>、锑</w:t>
            </w:r>
            <w:r>
              <w:rPr>
                <w:rFonts w:hint="default" w:ascii="Times New Roman" w:hAnsi="Times New Roman" w:cs="Times New Roman"/>
                <w:color w:val="auto"/>
                <w:sz w:val="21"/>
                <w:szCs w:val="21"/>
                <w:highlight w:val="none"/>
                <w:lang w:val="en-US" w:eastAsia="zh-CN"/>
              </w:rPr>
              <w:t>等</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W3</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喷淋废水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废气治理设施</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COD、SS</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W4</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地面冲洗废水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地面冲洗</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COD、SS</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W5</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水环真空泵废水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罗茨</w:t>
            </w:r>
            <w:r>
              <w:rPr>
                <w:rFonts w:hint="default" w:ascii="Times New Roman" w:hAnsi="Times New Roman" w:cs="Times New Roman"/>
                <w:color w:val="auto"/>
                <w:szCs w:val="20"/>
                <w:highlight w:val="none"/>
                <w:lang w:val="en-US" w:eastAsia="zh-CN"/>
              </w:rPr>
              <w:t>水环真空泵</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COD、SS</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W6</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初期雨水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COD、SS等</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w:t>
            </w:r>
            <w:r>
              <w:rPr>
                <w:rFonts w:hint="eastAsia" w:cs="Times New Roman"/>
                <w:color w:val="auto"/>
                <w:szCs w:val="20"/>
                <w:highlight w:val="none"/>
                <w:lang w:val="en-US" w:eastAsia="zh-CN"/>
              </w:rPr>
              <w:t>7</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生活污水</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职工日常生活</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COD、氨氮</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废气</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G1</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拆包筛选废气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拆包、筛选</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粉尘</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G2</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破碎废气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破碎</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粉尘</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G3</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摩擦造粒废气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摩擦造粒</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非甲烷总烃、颗粒物</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G4</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真空增粘废气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反应釜</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w:t>
            </w:r>
            <w:r>
              <w:rPr>
                <w:rFonts w:hint="eastAsia" w:cs="Times New Roman"/>
                <w:color w:val="auto"/>
                <w:kern w:val="2"/>
                <w:sz w:val="21"/>
                <w:szCs w:val="22"/>
                <w:highlight w:val="none"/>
                <w:lang w:val="en-US" w:eastAsia="zh-CN" w:bidi="ar-SA"/>
              </w:rPr>
              <w:t>、乙醛</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G5</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纺丝废气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纺丝</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G6</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牵伸废气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二</w:t>
            </w:r>
            <w:r>
              <w:rPr>
                <w:rFonts w:hint="default" w:ascii="Times New Roman" w:hAnsi="Times New Roman" w:eastAsia="宋体" w:cs="Times New Roman"/>
                <w:color w:val="auto"/>
                <w:kern w:val="2"/>
                <w:sz w:val="21"/>
                <w:szCs w:val="22"/>
                <w:highlight w:val="none"/>
                <w:lang w:val="en-US" w:eastAsia="zh-CN" w:bidi="ar-SA"/>
              </w:rPr>
              <w:t>道牵伸</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G7</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水浴废气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水浴</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G8</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热定型废气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预热定型、松弛热定型</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G9</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锅炉废气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天然气燃烧</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颗粒物、SO</w:t>
            </w:r>
            <w:r>
              <w:rPr>
                <w:rFonts w:hint="default" w:ascii="Times New Roman" w:hAnsi="Times New Roman" w:eastAsia="宋体" w:cs="Times New Roman"/>
                <w:color w:val="auto"/>
                <w:kern w:val="2"/>
                <w:sz w:val="21"/>
                <w:szCs w:val="22"/>
                <w:highlight w:val="none"/>
                <w:vertAlign w:val="subscript"/>
                <w:lang w:val="en-US" w:eastAsia="zh-CN" w:bidi="ar-SA"/>
              </w:rPr>
              <w:t>2</w:t>
            </w:r>
            <w:r>
              <w:rPr>
                <w:rFonts w:hint="default" w:ascii="Times New Roman" w:hAnsi="Times New Roman" w:eastAsia="宋体" w:cs="Times New Roman"/>
                <w:color w:val="auto"/>
                <w:kern w:val="2"/>
                <w:sz w:val="21"/>
                <w:szCs w:val="22"/>
                <w:highlight w:val="none"/>
                <w:lang w:val="en-US" w:eastAsia="zh-CN" w:bidi="ar-SA"/>
              </w:rPr>
              <w:t>、NO</w:t>
            </w:r>
            <w:r>
              <w:rPr>
                <w:rFonts w:hint="default" w:ascii="Times New Roman" w:hAnsi="Times New Roman" w:eastAsia="宋体" w:cs="Times New Roman"/>
                <w:i/>
                <w:iCs/>
                <w:color w:val="auto"/>
                <w:kern w:val="2"/>
                <w:sz w:val="21"/>
                <w:szCs w:val="22"/>
                <w:highlight w:val="none"/>
                <w:vertAlign w:val="subscript"/>
                <w:lang w:val="en-US" w:eastAsia="zh-CN" w:bidi="ar-SA"/>
              </w:rPr>
              <w:t>X</w:t>
            </w:r>
            <w:r>
              <w:rPr>
                <w:rFonts w:hint="default" w:ascii="Times New Roman" w:hAnsi="Times New Roman" w:eastAsia="宋体" w:cs="Times New Roman"/>
                <w:color w:val="auto"/>
                <w:kern w:val="2"/>
                <w:sz w:val="21"/>
                <w:szCs w:val="22"/>
                <w:highlight w:val="none"/>
                <w:lang w:val="en-US" w:eastAsia="zh-CN" w:bidi="ar-SA"/>
              </w:rPr>
              <w:t>、烟气黑度</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G10</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污水处理站</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水解酸化池、A/O池等</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NH</w:t>
            </w:r>
            <w:r>
              <w:rPr>
                <w:rFonts w:hint="default" w:ascii="Times New Roman" w:hAnsi="Times New Roman" w:eastAsia="宋体" w:cs="Times New Roman"/>
                <w:color w:val="auto"/>
                <w:kern w:val="2"/>
                <w:sz w:val="21"/>
                <w:szCs w:val="22"/>
                <w:highlight w:val="none"/>
                <w:vertAlign w:val="subscript"/>
                <w:lang w:val="en-US" w:eastAsia="zh-CN" w:bidi="ar-SA"/>
              </w:rPr>
              <w:t>3</w:t>
            </w:r>
            <w:r>
              <w:rPr>
                <w:rFonts w:hint="default" w:ascii="Times New Roman" w:hAnsi="Times New Roman" w:eastAsia="宋体" w:cs="Times New Roman"/>
                <w:color w:val="auto"/>
                <w:kern w:val="2"/>
                <w:sz w:val="21"/>
                <w:szCs w:val="22"/>
                <w:highlight w:val="none"/>
                <w:lang w:val="en-US" w:eastAsia="zh-CN" w:bidi="ar-SA"/>
              </w:rPr>
              <w:t>、H</w:t>
            </w:r>
            <w:r>
              <w:rPr>
                <w:rFonts w:hint="default" w:ascii="Times New Roman" w:hAnsi="Times New Roman" w:eastAsia="宋体" w:cs="Times New Roman"/>
                <w:color w:val="auto"/>
                <w:kern w:val="2"/>
                <w:sz w:val="21"/>
                <w:szCs w:val="22"/>
                <w:highlight w:val="none"/>
                <w:vertAlign w:val="subscript"/>
                <w:lang w:val="en-US" w:eastAsia="zh-CN" w:bidi="ar-SA"/>
              </w:rPr>
              <w:t>2</w:t>
            </w:r>
            <w:r>
              <w:rPr>
                <w:rFonts w:hint="default" w:ascii="Times New Roman" w:hAnsi="Times New Roman" w:eastAsia="宋体" w:cs="Times New Roman"/>
                <w:color w:val="auto"/>
                <w:kern w:val="2"/>
                <w:sz w:val="21"/>
                <w:szCs w:val="22"/>
                <w:highlight w:val="none"/>
                <w:lang w:val="en-US" w:eastAsia="zh-CN" w:bidi="ar-SA"/>
              </w:rPr>
              <w:t>S、臭气浓度</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G11</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真空煅烧废气</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真空煅烧炉</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非甲烷总烃</w:t>
            </w:r>
            <w:r>
              <w:rPr>
                <w:rFonts w:hint="eastAsia" w:cs="Times New Roman"/>
                <w:color w:val="auto"/>
                <w:kern w:val="2"/>
                <w:sz w:val="21"/>
                <w:szCs w:val="22"/>
                <w:highlight w:val="none"/>
                <w:lang w:val="en-US" w:eastAsia="zh-CN" w:bidi="ar-SA"/>
              </w:rPr>
              <w:t>、乙醛</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G12</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食堂</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灶台烹饪</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油烟</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噪声</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噪声</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泵、机械设备等</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等效连续A声级</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固体废物</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S1</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杂质</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筛选</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杂质</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S2</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废熔块</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粗过滤、精过滤</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杂质、凝胶粒子</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S3</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真空废液</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摩擦造粒、</w:t>
            </w:r>
            <w:r>
              <w:rPr>
                <w:rFonts w:hint="default" w:ascii="Times New Roman" w:hAnsi="Times New Roman" w:eastAsia="宋体" w:cs="Times New Roman"/>
                <w:color w:val="auto"/>
                <w:kern w:val="2"/>
                <w:sz w:val="21"/>
                <w:szCs w:val="22"/>
                <w:highlight w:val="none"/>
                <w:lang w:val="en-US" w:eastAsia="zh-CN" w:bidi="ar-SA"/>
              </w:rPr>
              <w:t>反应釜</w:t>
            </w:r>
            <w:r>
              <w:rPr>
                <w:rFonts w:hint="eastAsia" w:cs="Times New Roman"/>
                <w:color w:val="auto"/>
                <w:kern w:val="2"/>
                <w:sz w:val="21"/>
                <w:szCs w:val="22"/>
                <w:highlight w:val="none"/>
                <w:lang w:val="en-US" w:eastAsia="zh-CN" w:bidi="ar-SA"/>
              </w:rPr>
              <w:t>、纺丝、废气治理设施（静电油烟吸附）</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非甲烷总烃、</w:t>
            </w:r>
            <w:r>
              <w:rPr>
                <w:rFonts w:hint="default" w:ascii="Times New Roman" w:hAnsi="Times New Roman" w:eastAsia="宋体" w:cs="Times New Roman"/>
                <w:color w:val="auto"/>
                <w:kern w:val="2"/>
                <w:sz w:val="21"/>
                <w:szCs w:val="22"/>
                <w:highlight w:val="none"/>
                <w:lang w:val="en-US" w:eastAsia="zh-CN" w:bidi="ar-SA"/>
              </w:rPr>
              <w:t>焦油等</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S4</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废丝</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卷绕</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PET纤维</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S5</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浸油槽废液</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浸油</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油、水混合物</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S6</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煅烧废渣</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组件煅烧</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真空煅烧废渣</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S7</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废过滤网</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粗过滤、精过滤</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废过滤网、PET</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S8</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废机油</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维修厂房</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废矿物油</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Cs w:val="20"/>
                <w:highlight w:val="none"/>
                <w:lang w:val="en-US" w:eastAsia="zh-CN"/>
              </w:rPr>
              <w:t>S9</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废机械零部件</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维修厂房</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零部件</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Cs w:val="20"/>
                <w:highlight w:val="none"/>
                <w:lang w:val="en-US" w:eastAsia="zh-CN"/>
              </w:rPr>
              <w:t>S10</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废包装袋</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原料外包装</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废包装袋</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 w:val="21"/>
                <w:szCs w:val="22"/>
                <w:highlight w:val="none"/>
                <w:lang w:val="en-US" w:eastAsia="zh-CN"/>
              </w:rPr>
              <w:t>S11</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废油剂空桶</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纺丝油剂包装桶</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废油剂空桶</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 xml:space="preserve">间歇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 w:val="21"/>
                <w:szCs w:val="22"/>
                <w:highlight w:val="none"/>
                <w:lang w:val="en-US" w:eastAsia="zh-CN"/>
              </w:rPr>
              <w:t>S12</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污泥</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污水处理站</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污泥</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 xml:space="preserve">间歇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 w:val="21"/>
                <w:szCs w:val="22"/>
                <w:highlight w:val="none"/>
                <w:lang w:val="en-US" w:eastAsia="zh-CN"/>
              </w:rPr>
              <w:t>S13</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布袋粉尘</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废气治理设施</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PET</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 w:val="21"/>
                <w:szCs w:val="22"/>
                <w:highlight w:val="none"/>
                <w:lang w:val="en-US" w:eastAsia="zh-CN"/>
              </w:rPr>
              <w:t>S14</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含油抹布</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机械维修</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矿物油</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 xml:space="preserve">间歇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eastAsia" w:cs="Times New Roman"/>
                <w:color w:val="auto"/>
                <w:sz w:val="21"/>
                <w:szCs w:val="22"/>
                <w:highlight w:val="none"/>
                <w:lang w:val="en-US" w:eastAsia="zh-CN"/>
              </w:rPr>
              <w:t>S15</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废布袋</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废气治理设施</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kern w:val="2"/>
                <w:sz w:val="21"/>
                <w:szCs w:val="22"/>
                <w:highlight w:val="none"/>
                <w:lang w:val="en-US" w:eastAsia="zh-CN" w:bidi="ar-SA"/>
              </w:rPr>
              <w:t>非甲烷总烃</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2"/>
                <w:highlight w:val="none"/>
                <w:lang w:val="en-US" w:eastAsia="zh-CN"/>
              </w:rPr>
            </w:pPr>
            <w:r>
              <w:rPr>
                <w:rFonts w:hint="default" w:ascii="Times New Roman" w:hAnsi="Times New Roman" w:cs="Times New Roman"/>
                <w:color w:val="auto"/>
                <w:sz w:val="21"/>
                <w:szCs w:val="22"/>
                <w:highlight w:val="none"/>
                <w:lang w:val="en-US" w:eastAsia="zh-CN"/>
              </w:rPr>
              <w:t>S1</w:t>
            </w:r>
            <w:r>
              <w:rPr>
                <w:rFonts w:hint="eastAsia" w:cs="Times New Roman"/>
                <w:color w:val="auto"/>
                <w:sz w:val="21"/>
                <w:szCs w:val="22"/>
                <w:highlight w:val="none"/>
                <w:lang w:val="en-US" w:eastAsia="zh-CN"/>
              </w:rPr>
              <w:t>6</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废纺丝油剂</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废气治理设施（静电油烟吸附）</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纺丝油剂</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2"/>
                <w:highlight w:val="none"/>
                <w:lang w:val="en-US" w:eastAsia="zh-CN"/>
              </w:rPr>
            </w:pPr>
            <w:r>
              <w:rPr>
                <w:rFonts w:hint="eastAsia" w:cs="Times New Roman"/>
                <w:color w:val="auto"/>
                <w:sz w:val="21"/>
                <w:szCs w:val="22"/>
                <w:highlight w:val="none"/>
                <w:lang w:val="en-US" w:eastAsia="zh-CN"/>
              </w:rPr>
              <w:t>S17</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废活性炭</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废气治理设施（活性炭吸附装置）</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非甲烷总烃</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cs="Times New Roman"/>
                <w:color w:val="auto"/>
                <w:sz w:val="21"/>
                <w:szCs w:val="22"/>
                <w:highlight w:val="none"/>
                <w:lang w:val="en-US" w:eastAsia="zh-CN"/>
              </w:rPr>
            </w:pPr>
            <w:r>
              <w:rPr>
                <w:rFonts w:hint="default" w:ascii="Times New Roman" w:hAnsi="Times New Roman" w:cs="Times New Roman"/>
                <w:color w:val="auto"/>
                <w:sz w:val="21"/>
                <w:szCs w:val="22"/>
                <w:highlight w:val="none"/>
                <w:lang w:val="en-US" w:eastAsia="zh-CN"/>
              </w:rPr>
              <w:t>S1</w:t>
            </w:r>
            <w:r>
              <w:rPr>
                <w:rFonts w:hint="eastAsia" w:cs="Times New Roman"/>
                <w:color w:val="auto"/>
                <w:sz w:val="21"/>
                <w:szCs w:val="22"/>
                <w:highlight w:val="none"/>
                <w:lang w:val="en-US" w:eastAsia="zh-CN"/>
              </w:rPr>
              <w:t>8</w:t>
            </w:r>
          </w:p>
        </w:tc>
        <w:tc>
          <w:tcPr>
            <w:tcW w:w="17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生活垃圾</w:t>
            </w:r>
          </w:p>
        </w:tc>
        <w:tc>
          <w:tcPr>
            <w:tcW w:w="20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职工日常生活</w:t>
            </w:r>
          </w:p>
        </w:tc>
        <w:tc>
          <w:tcPr>
            <w:tcW w:w="231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果皮、纸屑等</w:t>
            </w:r>
          </w:p>
        </w:tc>
        <w:tc>
          <w:tcPr>
            <w:tcW w:w="11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间歇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1" w:type="dxa"/>
            <w:gridSpan w:val="6"/>
            <w:tcBorders>
              <w:tl2br w:val="nil"/>
              <w:tr2bl w:val="nil"/>
            </w:tcBorders>
            <w:vAlign w:val="center"/>
          </w:tcPr>
          <w:p>
            <w:pPr>
              <w:pStyle w:val="21"/>
              <w:keepNext w:val="0"/>
              <w:keepLines w:val="0"/>
              <w:widowControl w:val="0"/>
              <w:suppressLineNumbers w:val="0"/>
              <w:bidi w:val="0"/>
              <w:spacing w:before="0" w:beforeAutospacing="0" w:after="0" w:afterAutospacing="0" w:line="240" w:lineRule="auto"/>
              <w:ind w:left="0" w:right="0"/>
              <w:jc w:val="both"/>
              <w:rPr>
                <w:rFonts w:hint="default" w:ascii="Times New Roman" w:hAnsi="Times New Roman" w:cs="Times New Roman"/>
                <w:color w:val="auto"/>
                <w:szCs w:val="20"/>
                <w:highlight w:val="none"/>
                <w:lang w:val="en-US" w:eastAsia="zh-CN"/>
              </w:rPr>
            </w:pPr>
            <w:bookmarkStart w:id="323" w:name="_Toc14749"/>
            <w:bookmarkStart w:id="324" w:name="_Toc20380"/>
            <w:bookmarkStart w:id="325" w:name="_Toc17232"/>
            <w:bookmarkStart w:id="326" w:name="_Toc17462"/>
            <w:bookmarkStart w:id="327" w:name="_Toc16694"/>
            <w:bookmarkStart w:id="328" w:name="_Toc3047"/>
            <w:bookmarkStart w:id="329" w:name="_Toc20040"/>
            <w:r>
              <w:rPr>
                <w:rFonts w:hint="eastAsia" w:cs="Times New Roman"/>
                <w:color w:val="auto"/>
                <w:szCs w:val="20"/>
                <w:highlight w:val="none"/>
                <w:lang w:val="en-US" w:eastAsia="zh-CN"/>
              </w:rPr>
              <w:t>注：根据建设单位提供资料，研发室位于研发楼3 F，研发室主要进行产品（PET再生纤维）的性能检测，检测过程不使用化学试剂和对产品加热，故研发室基本无废水、废气、固体废物产生。</w:t>
            </w:r>
          </w:p>
        </w:tc>
      </w:tr>
    </w:tbl>
    <w:p>
      <w:pPr>
        <w:pStyle w:val="3"/>
        <w:numPr>
          <w:ilvl w:val="1"/>
          <w:numId w:val="3"/>
        </w:numPr>
        <w:tabs>
          <w:tab w:val="clear" w:pos="420"/>
        </w:tabs>
        <w:bidi w:val="0"/>
        <w:rPr>
          <w:rFonts w:hint="default" w:ascii="Times New Roman" w:hAnsi="Times New Roman" w:cs="Times New Roman"/>
          <w:color w:val="auto"/>
          <w:highlight w:val="none"/>
          <w:lang w:val="en-US" w:eastAsia="zh-CN"/>
        </w:rPr>
      </w:pPr>
      <w:bookmarkStart w:id="330" w:name="_Toc15255"/>
      <w:bookmarkStart w:id="331" w:name="_Toc30790"/>
      <w:r>
        <w:rPr>
          <w:rFonts w:hint="default" w:ascii="Times New Roman" w:hAnsi="Times New Roman" w:cs="Times New Roman"/>
          <w:color w:val="auto"/>
          <w:highlight w:val="none"/>
          <w:lang w:val="en-US" w:eastAsia="zh-CN"/>
        </w:rPr>
        <w:t>水平衡和物料平衡</w:t>
      </w:r>
      <w:bookmarkEnd w:id="323"/>
      <w:bookmarkEnd w:id="324"/>
      <w:bookmarkEnd w:id="325"/>
      <w:bookmarkEnd w:id="326"/>
      <w:bookmarkEnd w:id="327"/>
      <w:bookmarkEnd w:id="328"/>
      <w:bookmarkEnd w:id="329"/>
      <w:bookmarkEnd w:id="330"/>
      <w:bookmarkEnd w:id="331"/>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32" w:name="_Toc29672"/>
      <w:bookmarkStart w:id="333" w:name="_Toc28002"/>
      <w:bookmarkStart w:id="334" w:name="_Ref32407"/>
      <w:bookmarkStart w:id="335" w:name="_Toc25177"/>
      <w:bookmarkStart w:id="336" w:name="_Toc18045"/>
      <w:bookmarkStart w:id="337" w:name="_Toc8517"/>
      <w:r>
        <w:rPr>
          <w:rFonts w:hint="default" w:ascii="Times New Roman" w:hAnsi="Times New Roman" w:cs="Times New Roman"/>
          <w:color w:val="auto"/>
          <w:highlight w:val="none"/>
          <w:lang w:val="en-US" w:eastAsia="zh-CN"/>
        </w:rPr>
        <w:t>水平衡分析</w:t>
      </w:r>
      <w:bookmarkEnd w:id="332"/>
      <w:bookmarkEnd w:id="333"/>
      <w:bookmarkEnd w:id="334"/>
      <w:bookmarkEnd w:id="335"/>
      <w:bookmarkEnd w:id="336"/>
      <w:bookmarkEnd w:id="337"/>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本项目用水主要由</w:t>
      </w:r>
      <w:r>
        <w:rPr>
          <w:rFonts w:hint="default" w:ascii="Times New Roman" w:hAnsi="Times New Roman" w:cs="Times New Roman"/>
          <w:color w:val="auto"/>
          <w:highlight w:val="none"/>
          <w:lang w:val="en-US" w:eastAsia="zh-CN"/>
        </w:rPr>
        <w:t>牙城镇工业园</w:t>
      </w:r>
      <w:r>
        <w:rPr>
          <w:rFonts w:hint="default" w:ascii="Times New Roman" w:hAnsi="Times New Roman" w:cs="Times New Roman"/>
          <w:color w:val="auto"/>
          <w:highlight w:val="none"/>
        </w:rPr>
        <w:t>提供，运营期主要用水包括</w:t>
      </w:r>
      <w:r>
        <w:rPr>
          <w:rFonts w:hint="default" w:ascii="Times New Roman" w:hAnsi="Times New Roman" w:cs="Times New Roman"/>
          <w:color w:val="auto"/>
          <w:highlight w:val="none"/>
          <w:lang w:val="en-US" w:eastAsia="zh-CN"/>
        </w:rPr>
        <w:t>纺丝油剂配液用水、循环冷却用水、水浴槽用水、组件清洗用水、车间地面冲洗用水、喷淋塔用水、锅炉用水、</w:t>
      </w:r>
      <w:r>
        <w:rPr>
          <w:rFonts w:hint="eastAsia" w:cs="Times New Roman"/>
          <w:color w:val="auto"/>
          <w:highlight w:val="none"/>
          <w:lang w:val="en-US" w:eastAsia="zh-CN"/>
        </w:rPr>
        <w:t>水环真空泵用水、摩擦造粒冷却用水</w:t>
      </w:r>
      <w:r>
        <w:rPr>
          <w:rFonts w:hint="default" w:ascii="Times New Roman" w:hAnsi="Times New Roman" w:cs="Times New Roman"/>
          <w:color w:val="auto"/>
          <w:highlight w:val="none"/>
        </w:rPr>
        <w:t>和生活用水。</w:t>
      </w:r>
      <w:r>
        <w:rPr>
          <w:rFonts w:hint="default" w:ascii="Times New Roman" w:hAnsi="Times New Roman" w:cs="Times New Roman"/>
          <w:color w:val="auto"/>
          <w:highlight w:val="none"/>
          <w:lang w:val="en-US" w:eastAsia="zh-CN"/>
        </w:rPr>
        <w:t>具体用水、排水情况分析如下：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纺丝油剂配液用水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纺丝油剂使用过程需加水进行调配使用，根据建设单位提供资料，纺丝油剂与水的配比约为1：100，项目纺丝油剂年用量约为40 t，则纺丝油剂配液用水量为12.12 t/d（4000 t/a）。</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2</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循环冷却用水</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highlight w:val="none"/>
          <w:lang w:val="en-US" w:eastAsia="zh-CN"/>
        </w:rPr>
        <w:t>项目在挤压熔融、牵伸等过程中为了保证机械设备的良好运转，需对设备进行冷却，冷却水循环使用不外排，需定期补充因蒸发损耗的用水，补充量约为2 t/d（660 t/a）。</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（3）水浴槽用水</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本项目原丝在水浴槽中进行拉伸，水浴槽内的水会因原丝带出和蒸发损耗，需进行补充，补充量约为2 t/d（660 t/a）；水浴槽水循环使用，定期排放，排放频次为1</w:t>
      </w:r>
      <w:r>
        <w:rPr>
          <w:rFonts w:hint="eastAsia" w:cs="Times New Roman"/>
          <w:color w:val="auto"/>
          <w:kern w:val="0"/>
          <w:highlight w:val="none"/>
          <w:lang w:val="en-US" w:eastAsia="zh-CN"/>
        </w:rPr>
        <w:t>次</w:t>
      </w:r>
      <w:r>
        <w:rPr>
          <w:rFonts w:hint="default" w:ascii="Times New Roman" w:hAnsi="Times New Roman" w:cs="Times New Roman"/>
          <w:color w:val="auto"/>
          <w:kern w:val="0"/>
          <w:highlight w:val="none"/>
          <w:lang w:val="en-US" w:eastAsia="zh-CN"/>
        </w:rPr>
        <w:t>/</w:t>
      </w:r>
      <w:r>
        <w:rPr>
          <w:rFonts w:hint="eastAsia" w:cs="Times New Roman"/>
          <w:color w:val="auto"/>
          <w:kern w:val="0"/>
          <w:highlight w:val="none"/>
          <w:lang w:val="en-US" w:eastAsia="zh-CN"/>
        </w:rPr>
        <w:t>月</w:t>
      </w:r>
      <w:r>
        <w:rPr>
          <w:rFonts w:hint="default" w:ascii="Times New Roman" w:hAnsi="Times New Roman" w:cs="Times New Roman"/>
          <w:color w:val="auto"/>
          <w:kern w:val="0"/>
          <w:highlight w:val="none"/>
          <w:lang w:val="en-US" w:eastAsia="zh-CN"/>
        </w:rPr>
        <w:t>，根据建设单位提供资料，项目共设2个水浴槽（内径尺寸为2 m×1 m×0.5 m，有效容积按80%计），一年工作330天约排放11次，则水浴槽废水排放量为1.6 t/次（17.6 t/a）。</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（4）组件清洗用水</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根据建设单位提供资料，</w:t>
      </w:r>
      <w:r>
        <w:rPr>
          <w:rFonts w:hint="eastAsia" w:cs="Times New Roman"/>
          <w:color w:val="auto"/>
          <w:kern w:val="0"/>
          <w:highlight w:val="none"/>
          <w:lang w:val="en-US" w:eastAsia="zh-CN"/>
        </w:rPr>
        <w:t>纺丝组件每天清洗，</w:t>
      </w:r>
      <w:r>
        <w:rPr>
          <w:rFonts w:hint="default" w:ascii="Times New Roman" w:hAnsi="Times New Roman" w:cs="Times New Roman"/>
          <w:color w:val="auto"/>
          <w:kern w:val="0"/>
          <w:highlight w:val="none"/>
          <w:lang w:val="en-US" w:eastAsia="zh-CN"/>
        </w:rPr>
        <w:t>用水量约为6.6 t/d（2178 t/a）除盐浓水回用量为</w:t>
      </w:r>
      <w:r>
        <w:rPr>
          <w:rFonts w:hint="default" w:ascii="Times New Roman" w:hAnsi="Times New Roman" w:cs="Times New Roman"/>
          <w:color w:val="auto"/>
          <w:highlight w:val="none"/>
          <w:lang w:val="en-US" w:eastAsia="zh-CN"/>
        </w:rPr>
        <w:t>1.29 t/d（424.29 t/a）</w:t>
      </w:r>
      <w:r>
        <w:rPr>
          <w:rFonts w:hint="default" w:ascii="Times New Roman" w:hAnsi="Times New Roman" w:cs="Times New Roman"/>
          <w:color w:val="auto"/>
          <w:kern w:val="0"/>
          <w:highlight w:val="none"/>
          <w:lang w:val="en-US" w:eastAsia="zh-CN"/>
        </w:rPr>
        <w:t>，则新鲜水用量为</w:t>
      </w:r>
      <w:r>
        <w:rPr>
          <w:rFonts w:hint="default" w:ascii="Times New Roman" w:hAnsi="Times New Roman" w:cs="Times New Roman"/>
          <w:color w:val="auto"/>
          <w:highlight w:val="none"/>
          <w:lang w:val="en-US" w:eastAsia="zh-CN"/>
        </w:rPr>
        <w:t>5.31 t/d（1752.3 t/a），</w:t>
      </w:r>
      <w:r>
        <w:rPr>
          <w:rFonts w:hint="default" w:ascii="Times New Roman" w:hAnsi="Times New Roman" w:cs="Times New Roman"/>
          <w:color w:val="auto"/>
          <w:kern w:val="0"/>
          <w:highlight w:val="none"/>
          <w:lang w:val="en-US" w:eastAsia="zh-CN"/>
        </w:rPr>
        <w:t>废水收集率按0.7计，则组件清洗废水排放量为4.62 t/d（1524.6 t/a）。</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0"/>
          <w:highlight w:val="none"/>
          <w:lang w:val="en-US" w:eastAsia="zh-CN"/>
        </w:rPr>
        <w:t>（5）</w:t>
      </w:r>
      <w:r>
        <w:rPr>
          <w:rFonts w:hint="default" w:ascii="Times New Roman" w:hAnsi="Times New Roman" w:cs="Times New Roman"/>
          <w:color w:val="auto"/>
          <w:highlight w:val="none"/>
          <w:lang w:val="en-US" w:eastAsia="zh-CN"/>
        </w:rPr>
        <w:t>车间地面冲洗用水</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本项目生产车间地面正常情况下仅用拖把拖洗，拖洗频率为</w:t>
      </w:r>
      <w:r>
        <w:rPr>
          <w:rFonts w:hint="eastAsia" w:cs="Times New Roman"/>
          <w:color w:val="auto"/>
          <w:highlight w:val="none"/>
          <w:lang w:val="en-US" w:eastAsia="zh-CN"/>
        </w:rPr>
        <w:t>1次/2个月</w:t>
      </w:r>
      <w:r>
        <w:rPr>
          <w:rFonts w:hint="default" w:ascii="Times New Roman" w:hAnsi="Times New Roman" w:cs="Times New Roman"/>
          <w:color w:val="auto"/>
          <w:highlight w:val="none"/>
          <w:lang w:val="en-US" w:eastAsia="zh-CN"/>
        </w:rPr>
        <w:t>，项目车间地面冲洗废水按2 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·次。本项目前纺楼（11268.8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），后纺楼（3142.62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），则新鲜水用量28.82 t/次（158.53 t/a），排放系数按0.9计，则车间地面冲洗废水排放量为25.94 t/次（142.67 t/a）。</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（6）喷淋塔用水</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项目喷淋塔水循环使用，定期排放，排放频率为</w:t>
      </w:r>
      <w:r>
        <w:rPr>
          <w:rFonts w:hint="eastAsia" w:cs="Times New Roman"/>
          <w:color w:val="auto"/>
          <w:highlight w:val="none"/>
          <w:lang w:val="en-US" w:eastAsia="zh-CN"/>
        </w:rPr>
        <w:t>1次/2个月</w:t>
      </w:r>
      <w:r>
        <w:rPr>
          <w:rFonts w:hint="default" w:ascii="Times New Roman" w:hAnsi="Times New Roman" w:cs="Times New Roman"/>
          <w:color w:val="auto"/>
          <w:highlight w:val="none"/>
          <w:lang w:val="en-US" w:eastAsia="zh-CN"/>
        </w:rPr>
        <w:t>，喷淋塔用水量为1.5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，补水量为0.03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/h，一年工作330天，每天24 h，则喷淋塔新鲜水用量为245.85 t/a，喷淋废水排放量为1.5 t/次（8.25 t/a）。</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（7）锅炉用水</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根据建设单位提供资料，锅炉制备蒸汽过程中水量会损耗，需定期加入除盐水进行补充，平均加入除盐水为900 t/a（3 t/d），软水制备比例为1:0.7，则锅炉新鲜水用量为4.29 t/d（1414.29 t/a），含盐浓水产生量为1.29 t/d（424.29 t/a），该部分含盐浓水回用于组件清洗，不外排。</w:t>
      </w:r>
    </w:p>
    <w:p>
      <w:pPr>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（8）水环真空泵用水</w:t>
      </w:r>
    </w:p>
    <w:p>
      <w:pPr>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本项目真空系统采用</w:t>
      </w:r>
      <w:r>
        <w:rPr>
          <w:rFonts w:hint="eastAsia" w:cs="Times New Roman"/>
          <w:color w:val="auto"/>
          <w:szCs w:val="20"/>
          <w:highlight w:val="none"/>
          <w:lang w:val="en-US" w:eastAsia="zh-CN"/>
        </w:rPr>
        <w:t>罗茨</w:t>
      </w:r>
      <w:r>
        <w:rPr>
          <w:rFonts w:hint="default" w:ascii="Times New Roman" w:hAnsi="Times New Roman" w:cs="Times New Roman"/>
          <w:color w:val="auto"/>
          <w:szCs w:val="20"/>
          <w:highlight w:val="none"/>
          <w:lang w:val="en-US" w:eastAsia="zh-CN"/>
        </w:rPr>
        <w:t>水环真空泵</w:t>
      </w:r>
      <w:r>
        <w:rPr>
          <w:rFonts w:hint="eastAsia" w:cs="Times New Roman"/>
          <w:color w:val="auto"/>
          <w:szCs w:val="20"/>
          <w:highlight w:val="none"/>
          <w:lang w:val="en-US" w:eastAsia="zh-CN"/>
        </w:rPr>
        <w:t>，循环水需定期更换，根据建设单位提供资料，更换频次约为7天排放一次，一次补充水量约为5.0 t，一年工作330天约排放47次，即年用水量约为235 t/a，损耗系数取0.9，则真空泵废水排放量为4.5 t/次（211.5 t/a）。</w:t>
      </w:r>
    </w:p>
    <w:p>
      <w:pPr>
        <w:ind w:firstLine="480"/>
        <w:rPr>
          <w:rFonts w:hint="default" w:ascii="Times New Roman" w:hAnsi="Times New Roman"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9</w:t>
      </w:r>
      <w:r>
        <w:rPr>
          <w:rFonts w:hint="eastAsia" w:cs="Times New Roman"/>
          <w:color w:val="auto"/>
          <w:highlight w:val="none"/>
          <w:lang w:eastAsia="zh-CN"/>
        </w:rPr>
        <w:t>）</w:t>
      </w:r>
      <w:r>
        <w:rPr>
          <w:rFonts w:hint="eastAsia" w:cs="Times New Roman"/>
          <w:color w:val="auto"/>
          <w:highlight w:val="none"/>
          <w:lang w:val="en-US" w:eastAsia="zh-CN"/>
        </w:rPr>
        <w:t>摩擦造粒冷却用水</w:t>
      </w:r>
    </w:p>
    <w:p>
      <w:pPr>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根据建设单位提供资料，造粒冷却用水主要用于原料急冷，平均单台摩擦机用水量约为0.15 t/d，扩建工程共设置10台摩擦机，则造粒冷却用水量为1.5 t/d（495 t/a），该部分水直接在摩擦机上汽化形成水蒸气、挥发。</w:t>
      </w:r>
    </w:p>
    <w:p>
      <w:pPr>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10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生活用水</w:t>
      </w:r>
    </w:p>
    <w:p>
      <w:pP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highlight w:val="none"/>
          <w:lang w:val="en-US" w:eastAsia="zh-CN"/>
        </w:rPr>
        <w:t>本项目拟用职工200人，其中，</w:t>
      </w:r>
      <w:r>
        <w:rPr>
          <w:rFonts w:hint="default" w:ascii="Times New Roman" w:hAnsi="Times New Roman" w:cs="Times New Roman"/>
          <w:color w:val="auto"/>
          <w:sz w:val="24"/>
          <w:szCs w:val="24"/>
          <w:highlight w:val="none"/>
          <w:lang w:val="en-US" w:eastAsia="zh-CN"/>
        </w:rPr>
        <w:t>100人在厂食宿，100人不在厂食宿</w:t>
      </w:r>
      <w:r>
        <w:rPr>
          <w:rFonts w:hint="default" w:ascii="Times New Roman" w:hAnsi="Times New Roman" w:cs="Times New Roman"/>
          <w:color w:val="auto"/>
          <w:highlight w:val="none"/>
          <w:lang w:val="en-US" w:eastAsia="zh-CN"/>
        </w:rPr>
        <w:t>，项目年工作330天，</w:t>
      </w:r>
      <w:r>
        <w:rPr>
          <w:rFonts w:hint="default" w:ascii="Times New Roman" w:hAnsi="Times New Roman" w:cs="Times New Roman"/>
          <w:color w:val="auto"/>
          <w:highlight w:val="none"/>
        </w:rPr>
        <w:t>参照</w:t>
      </w:r>
      <w:r>
        <w:rPr>
          <w:rFonts w:hint="default" w:ascii="Times New Roman" w:hAnsi="Times New Roman" w:cs="Times New Roman"/>
          <w:color w:val="auto"/>
          <w:highlight w:val="none"/>
          <w:lang w:val="en-US" w:eastAsia="zh-CN"/>
        </w:rPr>
        <w:t>福建省地方标准</w:t>
      </w:r>
      <w:r>
        <w:rPr>
          <w:rFonts w:hint="default" w:ascii="Times New Roman" w:hAnsi="Times New Roman" w:cs="Times New Roman"/>
          <w:color w:val="auto"/>
          <w:highlight w:val="none"/>
        </w:rPr>
        <w:t>《行业用水定额》</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DB35/T772-201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住厂职工的生活用水定额按</w:t>
      </w:r>
      <w:r>
        <w:rPr>
          <w:rFonts w:hint="default" w:ascii="Times New Roman" w:hAnsi="Times New Roman" w:cs="Times New Roman"/>
          <w:color w:val="auto"/>
          <w:sz w:val="24"/>
          <w:highlight w:val="none"/>
          <w:u w:val="none"/>
        </w:rPr>
        <w:t>1</w:t>
      </w:r>
      <w:r>
        <w:rPr>
          <w:rFonts w:hint="default" w:ascii="Times New Roman" w:hAnsi="Times New Roman" w:cs="Times New Roman"/>
          <w:color w:val="auto"/>
          <w:sz w:val="24"/>
          <w:highlight w:val="none"/>
          <w:u w:val="none"/>
          <w:lang w:val="en-US" w:eastAsia="zh-CN"/>
        </w:rPr>
        <w:t>5</w:t>
      </w:r>
      <w:r>
        <w:rPr>
          <w:rFonts w:hint="default" w:ascii="Times New Roman" w:hAnsi="Times New Roman" w:cs="Times New Roman"/>
          <w:color w:val="auto"/>
          <w:sz w:val="24"/>
          <w:highlight w:val="none"/>
          <w:u w:val="none"/>
        </w:rPr>
        <w:t>0</w:t>
      </w:r>
      <w:r>
        <w:rPr>
          <w:rFonts w:hint="default" w:ascii="Times New Roman" w:hAnsi="Times New Roman" w:cs="Times New Roman"/>
          <w:color w:val="auto"/>
          <w:sz w:val="24"/>
          <w:highlight w:val="none"/>
          <w:u w:val="none"/>
          <w:lang w:val="en-US" w:eastAsia="zh-CN"/>
        </w:rPr>
        <w:t xml:space="preserve"> </w:t>
      </w:r>
      <w:r>
        <w:rPr>
          <w:rFonts w:hint="default" w:ascii="Times New Roman" w:hAnsi="Times New Roman" w:cs="Times New Roman"/>
          <w:color w:val="auto"/>
          <w:sz w:val="24"/>
          <w:highlight w:val="none"/>
          <w:u w:val="none"/>
        </w:rPr>
        <w:t>L/</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p·d</w:t>
      </w:r>
      <w:r>
        <w:rPr>
          <w:rFonts w:hint="default" w:ascii="Times New Roman" w:hAnsi="Times New Roman" w:cs="Times New Roman"/>
          <w:color w:val="auto"/>
          <w:sz w:val="24"/>
          <w:highlight w:val="none"/>
          <w:u w:val="none"/>
          <w:lang w:eastAsia="zh-CN"/>
        </w:rPr>
        <w:t>），不住厂职工</w:t>
      </w:r>
      <w:r>
        <w:rPr>
          <w:rFonts w:hint="default" w:ascii="Times New Roman" w:hAnsi="Times New Roman" w:cs="Times New Roman"/>
          <w:color w:val="auto"/>
          <w:highlight w:val="none"/>
          <w:lang w:val="en-US" w:eastAsia="zh-CN"/>
        </w:rPr>
        <w:t>的生活用水定额按</w:t>
      </w:r>
      <w:r>
        <w:rPr>
          <w:rFonts w:hint="default" w:ascii="Times New Roman" w:hAnsi="Times New Roman" w:cs="Times New Roman"/>
          <w:color w:val="auto"/>
          <w:sz w:val="24"/>
          <w:highlight w:val="none"/>
          <w:u w:val="none"/>
          <w:lang w:val="en-US" w:eastAsia="zh-CN"/>
        </w:rPr>
        <w:t>5</w:t>
      </w:r>
      <w:r>
        <w:rPr>
          <w:rFonts w:hint="default" w:ascii="Times New Roman" w:hAnsi="Times New Roman" w:cs="Times New Roman"/>
          <w:color w:val="auto"/>
          <w:sz w:val="24"/>
          <w:highlight w:val="none"/>
          <w:u w:val="none"/>
        </w:rPr>
        <w:t>0</w:t>
      </w:r>
      <w:r>
        <w:rPr>
          <w:rFonts w:hint="default" w:ascii="Times New Roman" w:hAnsi="Times New Roman" w:cs="Times New Roman"/>
          <w:color w:val="auto"/>
          <w:sz w:val="24"/>
          <w:highlight w:val="none"/>
          <w:u w:val="none"/>
          <w:lang w:val="en-US" w:eastAsia="zh-CN"/>
        </w:rPr>
        <w:t xml:space="preserve"> </w:t>
      </w:r>
      <w:r>
        <w:rPr>
          <w:rFonts w:hint="default" w:ascii="Times New Roman" w:hAnsi="Times New Roman" w:cs="Times New Roman"/>
          <w:color w:val="auto"/>
          <w:sz w:val="24"/>
          <w:highlight w:val="none"/>
          <w:u w:val="none"/>
        </w:rPr>
        <w:t>L/</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lang w:val="en-US" w:eastAsia="zh-CN"/>
        </w:rPr>
        <w:t>p·d</w:t>
      </w:r>
      <w:r>
        <w:rPr>
          <w:rFonts w:hint="default" w:ascii="Times New Roman" w:hAnsi="Times New Roman" w:cs="Times New Roman"/>
          <w:color w:val="auto"/>
          <w:sz w:val="24"/>
          <w:highlight w:val="none"/>
          <w:u w:val="none"/>
          <w:lang w:eastAsia="zh-CN"/>
        </w:rPr>
        <w:t>），则项目</w:t>
      </w:r>
      <w:r>
        <w:rPr>
          <w:rFonts w:hint="default" w:ascii="Times New Roman" w:hAnsi="Times New Roman" w:cs="Times New Roman"/>
          <w:color w:val="auto"/>
          <w:sz w:val="24"/>
          <w:highlight w:val="none"/>
          <w:u w:val="none"/>
          <w:lang w:val="en-US" w:eastAsia="zh-CN"/>
        </w:rPr>
        <w:t>生活</w:t>
      </w:r>
      <w:r>
        <w:rPr>
          <w:rFonts w:hint="default" w:ascii="Times New Roman" w:hAnsi="Times New Roman" w:cs="Times New Roman"/>
          <w:color w:val="auto"/>
          <w:sz w:val="24"/>
          <w:highlight w:val="none"/>
          <w:u w:val="none"/>
          <w:lang w:eastAsia="zh-CN"/>
        </w:rPr>
        <w:t>用水量为</w:t>
      </w:r>
      <w:r>
        <w:rPr>
          <w:rFonts w:hint="default" w:ascii="Times New Roman" w:hAnsi="Times New Roman" w:cs="Times New Roman"/>
          <w:color w:val="auto"/>
          <w:sz w:val="24"/>
          <w:highlight w:val="none"/>
          <w:u w:val="none"/>
          <w:lang w:val="en-US" w:eastAsia="zh-CN"/>
        </w:rPr>
        <w:t>20 t/d（6600 t/a），生活污水排放系数取0.8，则生活污水排放量为16 t/d（5280 t/a）。</w:t>
      </w:r>
    </w:p>
    <w:p>
      <w:p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总体用水情况及排放量详见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_Ref10442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，全厂水</w:t>
      </w:r>
      <w:r>
        <w:rPr>
          <w:rFonts w:hint="default" w:ascii="Times New Roman" w:hAnsi="Times New Roman" w:cs="Times New Roman"/>
          <w:color w:val="auto"/>
          <w:highlight w:val="none"/>
        </w:rPr>
        <w:t>平衡图</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_Ref10491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图3.5-1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38" w:name="_Ref10442"/>
      <w:r>
        <w:rPr>
          <w:rFonts w:hint="default" w:ascii="Times New Roman" w:hAnsi="Times New Roman" w:cs="Times New Roman"/>
          <w:color w:val="auto"/>
          <w:highlight w:val="none"/>
          <w:lang w:val="en-US" w:eastAsia="zh-CN"/>
        </w:rPr>
        <w:t>扩建工程用水情况及排放量统计表</w:t>
      </w:r>
      <w:bookmarkEnd w:id="338"/>
    </w:p>
    <w:p>
      <w:pPr>
        <w:bidi w:val="0"/>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bidi w:val="0"/>
        <w:ind w:left="0" w:leftChars="0" w:firstLine="0" w:firstLineChars="0"/>
        <w:jc w:val="center"/>
        <w:rPr>
          <w:rFonts w:hint="eastAsia" w:ascii="Times New Roman" w:hAnsi="Times New Roman" w:eastAsia="宋体" w:cs="Times New Roman"/>
          <w:color w:val="auto"/>
          <w:highlight w:val="none"/>
          <w:lang w:val="en-US" w:eastAsia="zh-CN"/>
        </w:rPr>
      </w:pPr>
    </w:p>
    <w:p>
      <w:pPr>
        <w:pStyle w:val="22"/>
        <w:numPr>
          <w:ilvl w:val="7"/>
          <w:numId w:val="3"/>
        </w:numPr>
        <w:bidi w:val="0"/>
        <w:ind w:left="0" w:leftChars="0" w:firstLine="0" w:firstLineChars="0"/>
        <w:rPr>
          <w:rFonts w:hint="default" w:ascii="Times New Roman" w:hAnsi="Times New Roman" w:cs="Times New Roman"/>
          <w:color w:val="auto"/>
          <w:highlight w:val="none"/>
          <w:lang w:val="en-US" w:eastAsia="zh-CN"/>
        </w:rPr>
      </w:pPr>
      <w:bookmarkStart w:id="339" w:name="_Ref10491"/>
      <w:r>
        <w:rPr>
          <w:rFonts w:hint="default" w:ascii="Times New Roman" w:hAnsi="Times New Roman" w:cs="Times New Roman"/>
          <w:color w:val="auto"/>
          <w:highlight w:val="none"/>
          <w:lang w:val="en-US" w:eastAsia="zh-CN"/>
        </w:rPr>
        <w:t>扩建工程水平衡图  单位：t/a</w:t>
      </w:r>
      <w:bookmarkEnd w:id="339"/>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40" w:name="_Toc3686"/>
      <w:bookmarkStart w:id="341" w:name="_Toc14575"/>
      <w:bookmarkStart w:id="342" w:name="_Toc4586"/>
      <w:bookmarkStart w:id="343" w:name="_Toc6842"/>
      <w:bookmarkStart w:id="344" w:name="_Toc3560"/>
      <w:r>
        <w:rPr>
          <w:rFonts w:hint="default" w:ascii="Times New Roman" w:hAnsi="Times New Roman" w:cs="Times New Roman"/>
          <w:color w:val="auto"/>
          <w:highlight w:val="none"/>
          <w:lang w:val="en-US" w:eastAsia="zh-CN"/>
        </w:rPr>
        <w:t>物料平衡分析</w:t>
      </w:r>
      <w:bookmarkEnd w:id="340"/>
      <w:bookmarkEnd w:id="341"/>
      <w:bookmarkEnd w:id="342"/>
      <w:bookmarkEnd w:id="343"/>
      <w:bookmarkEnd w:id="344"/>
    </w:p>
    <w:p>
      <w:pPr>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（1）项目物料平衡见表2.5-1。</w:t>
      </w: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项目物料平衡表</w:t>
      </w:r>
    </w:p>
    <w:p>
      <w:pPr>
        <w:bidi w:val="0"/>
        <w:rPr>
          <w:rFonts w:hint="default" w:ascii="Times New Roman" w:hAnsi="Times New Roman" w:cs="Times New Roman"/>
          <w:color w:val="auto"/>
          <w:highlight w:val="none"/>
          <w:lang w:val="en-US" w:eastAsia="zh-CN"/>
        </w:rPr>
      </w:pPr>
      <w:bookmarkStart w:id="345" w:name="_Toc27344"/>
      <w:bookmarkStart w:id="346" w:name="_Toc24702"/>
      <w:bookmarkStart w:id="347" w:name="_Toc21016"/>
      <w:bookmarkStart w:id="348" w:name="_Toc11019"/>
      <w:bookmarkStart w:id="349" w:name="_Toc12489"/>
      <w:r>
        <w:rPr>
          <w:rFonts w:hint="default" w:ascii="Times New Roman" w:hAnsi="Times New Roman" w:cs="Times New Roman"/>
          <w:color w:val="auto"/>
          <w:highlight w:val="none"/>
          <w:lang w:val="en-US" w:eastAsia="zh-CN"/>
        </w:rPr>
        <w:t>（2）油剂平衡</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项目纺丝油剂大部分都进入产品，还有一部分在使用过程中以滴漏、废气逸散</w:t>
      </w:r>
      <w:r>
        <w:rPr>
          <w:rFonts w:hint="eastAsia" w:cs="Times New Roman"/>
          <w:color w:val="auto"/>
          <w:highlight w:val="none"/>
          <w:lang w:val="en-US" w:eastAsia="zh-CN"/>
        </w:rPr>
        <w:t>等</w:t>
      </w:r>
      <w:r>
        <w:rPr>
          <w:rFonts w:hint="default" w:ascii="Times New Roman" w:hAnsi="Times New Roman" w:cs="Times New Roman"/>
          <w:color w:val="auto"/>
          <w:highlight w:val="none"/>
          <w:lang w:val="en-US" w:eastAsia="zh-CN"/>
        </w:rPr>
        <w:t>方式产生损耗，其平衡分析图如下：</w:t>
      </w:r>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油剂平衡图  单位 t/a</w:t>
      </w:r>
    </w:p>
    <w:p>
      <w:pPr>
        <w:pStyle w:val="3"/>
        <w:numPr>
          <w:ilvl w:val="1"/>
          <w:numId w:val="3"/>
        </w:numPr>
        <w:tabs>
          <w:tab w:val="clear" w:pos="420"/>
        </w:tabs>
        <w:bidi w:val="0"/>
        <w:rPr>
          <w:rFonts w:hint="default" w:ascii="Times New Roman" w:hAnsi="Times New Roman" w:cs="Times New Roman"/>
          <w:color w:val="auto"/>
          <w:highlight w:val="none"/>
          <w:lang w:val="en-US" w:eastAsia="zh-CN"/>
        </w:rPr>
      </w:pPr>
      <w:bookmarkStart w:id="350" w:name="_Toc14110"/>
      <w:bookmarkStart w:id="351" w:name="_Toc25401"/>
      <w:bookmarkStart w:id="352" w:name="_Toc5197"/>
      <w:bookmarkStart w:id="353" w:name="_Toc18413"/>
      <w:r>
        <w:rPr>
          <w:rFonts w:hint="default" w:ascii="Times New Roman" w:hAnsi="Times New Roman" w:cs="Times New Roman"/>
          <w:color w:val="auto"/>
          <w:highlight w:val="none"/>
          <w:lang w:val="en-US" w:eastAsia="zh-CN"/>
        </w:rPr>
        <w:t>污染源强分析</w:t>
      </w:r>
      <w:bookmarkEnd w:id="345"/>
      <w:bookmarkEnd w:id="346"/>
      <w:bookmarkEnd w:id="347"/>
      <w:bookmarkEnd w:id="348"/>
      <w:bookmarkEnd w:id="349"/>
      <w:bookmarkEnd w:id="350"/>
      <w:bookmarkEnd w:id="351"/>
      <w:bookmarkEnd w:id="352"/>
      <w:bookmarkEnd w:id="353"/>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54" w:name="_Toc10814"/>
      <w:bookmarkStart w:id="355" w:name="_Toc18428"/>
      <w:bookmarkStart w:id="356" w:name="_Toc93"/>
      <w:bookmarkStart w:id="357" w:name="_Toc23337"/>
      <w:bookmarkStart w:id="358" w:name="_Toc26684"/>
      <w:r>
        <w:rPr>
          <w:rFonts w:hint="default" w:ascii="Times New Roman" w:hAnsi="Times New Roman" w:cs="Times New Roman"/>
          <w:color w:val="auto"/>
          <w:highlight w:val="none"/>
          <w:lang w:val="en-US" w:eastAsia="zh-CN"/>
        </w:rPr>
        <w:t>施工期污染源强分析</w:t>
      </w:r>
      <w:bookmarkEnd w:id="354"/>
      <w:bookmarkEnd w:id="355"/>
      <w:bookmarkEnd w:id="356"/>
      <w:bookmarkEnd w:id="357"/>
      <w:bookmarkEnd w:id="358"/>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与现有工程无依托关系，利用新增地块进行工程建设。工程施工期间产生的污染物主要有施工人员生活污水和施工生产废水，施工材料装卸、堆存和运输过程产生的施工扬尘，伴随施工器械运转产生的施工噪声和施工固体废物。</w:t>
      </w:r>
      <w:bookmarkStart w:id="359" w:name="_Toc681"/>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施工期水污染源分析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（1）施工生产废水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工程施工期间生产废水主要来自施工机械和设备保养和清洗环节。以施工高峰期每日冲洗两次，单次冲洗水量为1.0 t计算，机械设备冲洗日产生废水为2.0 t/d，此类废水主要含悬浮物和石油类污染物。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工程施工场地设置两级隔油沉淀池，利用斜板隔油沉淀对其废水进行处理，根据经验，悬浮物去除率可达90~95%，石油去除率为70~80%，以此估算，工程施工高峰期生产污水污染物产生及排放情况见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_Ref6928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rPr>
      </w:pPr>
      <w:bookmarkStart w:id="360" w:name="_Ref6928"/>
      <w:r>
        <w:rPr>
          <w:rFonts w:hint="default" w:ascii="Times New Roman" w:hAnsi="Times New Roman" w:cs="Times New Roman"/>
          <w:color w:val="auto"/>
          <w:highlight w:val="none"/>
        </w:rPr>
        <w:t>施工期生产废水污染物产排情况一览表</w:t>
      </w:r>
      <w:bookmarkEnd w:id="360"/>
    </w:p>
    <w:tbl>
      <w:tblPr>
        <w:tblStyle w:val="17"/>
        <w:tblW w:w="928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32"/>
        <w:gridCol w:w="1180"/>
        <w:gridCol w:w="1096"/>
        <w:gridCol w:w="1568"/>
        <w:gridCol w:w="1572"/>
        <w:gridCol w:w="1568"/>
        <w:gridCol w:w="156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732" w:type="dxa"/>
            <w:vMerge w:val="restart"/>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180" w:type="dxa"/>
            <w:vMerge w:val="restart"/>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污水量</w:t>
            </w:r>
          </w:p>
        </w:tc>
        <w:tc>
          <w:tcPr>
            <w:tcW w:w="1096" w:type="dxa"/>
            <w:vMerge w:val="restart"/>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140" w:type="dxa"/>
            <w:gridSpan w:val="2"/>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产生</w:t>
            </w:r>
          </w:p>
        </w:tc>
        <w:tc>
          <w:tcPr>
            <w:tcW w:w="3136" w:type="dxa"/>
            <w:gridSpan w:val="2"/>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732"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c>
          <w:tcPr>
            <w:tcW w:w="118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c>
          <w:tcPr>
            <w:tcW w:w="1096"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157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数量(kg/d)</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数量(kg/d)</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3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180" w:type="dxa"/>
            <w:vMerge w:val="restart"/>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t/d</w:t>
            </w:r>
          </w:p>
        </w:tc>
        <w:tc>
          <w:tcPr>
            <w:tcW w:w="1096"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1000</w:t>
            </w:r>
          </w:p>
        </w:tc>
        <w:tc>
          <w:tcPr>
            <w:tcW w:w="157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3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18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c>
          <w:tcPr>
            <w:tcW w:w="1096"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石油类</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57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0.04</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56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0.010</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（2）生活污水</w:t>
      </w:r>
    </w:p>
    <w:p>
      <w:pPr>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本工程施工高峰人数可达30人，根据《福建省地方标准行业用水定额》（GB35/T772-2018），施工人员生活用水标准取50 L/（p·d），污水排放系数取0.8，则本项目施工人员生活用水量约为1.5 t/d，生活污水排放量约1.2 t/d。施工人员均聘用当地居民，无需设置施工营地，生活污水纳入当地污水处理系统。参考《给排水设计手册》（第五册 城镇排水）典型生活污水水质示例，本环评项目施工期生活污水中主要污染指标浓度取值为COD：400 mg/L、BOD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：220 mg/L、SS：200 mg/L、氨氮：35 mg/L，则</w:t>
      </w:r>
      <w:r>
        <w:rPr>
          <w:rFonts w:hint="default" w:ascii="Times New Roman" w:hAnsi="Times New Roman" w:cs="Times New Roman"/>
          <w:color w:val="auto"/>
          <w:sz w:val="24"/>
          <w:szCs w:val="24"/>
          <w:highlight w:val="none"/>
          <w:lang w:val="en-US" w:eastAsia="zh-CN"/>
        </w:rPr>
        <w:t>施工期生活污水污染物产生量见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_Ref7699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表3.6-2</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61" w:name="_Ref7699"/>
      <w:r>
        <w:rPr>
          <w:rFonts w:hint="default" w:ascii="Times New Roman" w:hAnsi="Times New Roman" w:cs="Times New Roman"/>
          <w:color w:val="auto"/>
          <w:highlight w:val="none"/>
          <w:lang w:val="en-US" w:eastAsia="zh-CN"/>
        </w:rPr>
        <w:t>施工期生活污水产生量</w:t>
      </w:r>
      <w:bookmarkEnd w:id="361"/>
    </w:p>
    <w:tbl>
      <w:tblPr>
        <w:tblStyle w:val="18"/>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291"/>
        <w:gridCol w:w="1438"/>
        <w:gridCol w:w="1438"/>
        <w:gridCol w:w="1438"/>
        <w:gridCol w:w="1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31"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类别</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COD</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BOD</w:t>
            </w:r>
            <w:r>
              <w:rPr>
                <w:rFonts w:hint="default" w:ascii="Times New Roman" w:hAnsi="Times New Roman" w:cs="Times New Roman"/>
                <w:color w:val="auto"/>
                <w:szCs w:val="20"/>
                <w:highlight w:val="none"/>
                <w:vertAlign w:val="subscript"/>
                <w:lang w:val="en-US" w:eastAsia="zh-CN"/>
              </w:rPr>
              <w:t>5</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SS</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生活污水（1.2 t/d）</w:t>
            </w:r>
          </w:p>
        </w:tc>
        <w:tc>
          <w:tcPr>
            <w:tcW w:w="229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原始浓度（mg/L）</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220</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200</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p>
        </w:tc>
        <w:tc>
          <w:tcPr>
            <w:tcW w:w="229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污染物产生量（kg/d）</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0.480</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0.264</w:t>
            </w:r>
          </w:p>
        </w:tc>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0.240</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0.042</w:t>
            </w:r>
          </w:p>
        </w:tc>
      </w:tr>
    </w:tbl>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施工期废气污染源分析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施工过程中废气主要是汽车运输等施工活动过程中产生的扬尘和各类施工机械产生的燃油废气，主要污染物有TSP、THC、SO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、CO及NO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等。</w:t>
      </w:r>
    </w:p>
    <w:p>
      <w:pPr>
        <w:bidi w:val="0"/>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（1）施工扬尘</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扬尘主要有砂土等建筑材料运输过程和堆放场地的扬尘，以及施工场地的扬尘等。扬尘产生量与砂土的粒度及湿度、风况、装卸、施工作业方式和施工管理水平等因素密切相关，难以定量估算。但就正常情况而言，扬尘量与砂土的粒度、湿度成反比，而与地面风速及地面扬尘启动风速的三次方成正比。</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扬尘源的高度一般较低，颗粒也较大，以瞬间源为主，因此污染扩散距离不远且危害时间短，其影响范围一般可控制在施工场地附近。但是在大风、天气干燥，尤其是秋冬少雨季节的气象条件下，施工场地的地面扬尘短期内可能对周边区域产生较大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（2）车辆设备尾气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施工过程中所需要的各类推土机、运输车等，这些车辆设备基本以柴油为燃料，所排放的发动机尾气中主要含烟尘、烃类、CO等空气污染物。其中，烟尘浓度60-80 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，THC（总烃）浓度为80-100 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项目施工期大气污染物排放情况见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_Ref10308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rPr>
      </w:pPr>
      <w:bookmarkStart w:id="362" w:name="_Ref10308"/>
      <w:r>
        <w:rPr>
          <w:rFonts w:hint="default" w:ascii="Times New Roman" w:hAnsi="Times New Roman" w:cs="Times New Roman"/>
          <w:color w:val="auto"/>
          <w:highlight w:val="none"/>
        </w:rPr>
        <w:t>项目施工期大气污染物排放情况一览表</w:t>
      </w:r>
      <w:bookmarkEnd w:id="362"/>
    </w:p>
    <w:tbl>
      <w:tblPr>
        <w:tblStyle w:val="17"/>
        <w:tblW w:w="928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2856"/>
        <w:gridCol w:w="1529"/>
        <w:gridCol w:w="2085"/>
        <w:gridCol w:w="2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28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废气种类</w:t>
            </w:r>
          </w:p>
        </w:tc>
        <w:tc>
          <w:tcPr>
            <w:tcW w:w="152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主要污染物</w:t>
            </w:r>
          </w:p>
        </w:tc>
        <w:tc>
          <w:tcPr>
            <w:tcW w:w="2085"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排放浓度(mg/m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tc>
        <w:tc>
          <w:tcPr>
            <w:tcW w:w="205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8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施工作业扬尘</w:t>
            </w:r>
          </w:p>
        </w:tc>
        <w:tc>
          <w:tcPr>
            <w:tcW w:w="152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TSP</w:t>
            </w:r>
          </w:p>
        </w:tc>
        <w:tc>
          <w:tcPr>
            <w:tcW w:w="2085"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1.5-3.0</w:t>
            </w:r>
          </w:p>
        </w:tc>
        <w:tc>
          <w:tcPr>
            <w:tcW w:w="205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低空无组织排放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1"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2856"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车辆设备、发动机尾气</w:t>
            </w:r>
          </w:p>
        </w:tc>
        <w:tc>
          <w:tcPr>
            <w:tcW w:w="152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烟尘</w:t>
            </w:r>
          </w:p>
        </w:tc>
        <w:tc>
          <w:tcPr>
            <w:tcW w:w="2085"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60-80</w:t>
            </w:r>
          </w:p>
        </w:tc>
        <w:tc>
          <w:tcPr>
            <w:tcW w:w="2053" w:type="dxa"/>
            <w:vMerge w:val="restart"/>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低空移动排放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1" w:type="dxa"/>
            <w:vMerge w:val="continue"/>
            <w:vAlign w:val="center"/>
          </w:tcPr>
          <w:p>
            <w:pPr>
              <w:pStyle w:val="21"/>
              <w:bidi w:val="0"/>
              <w:rPr>
                <w:rFonts w:hint="default" w:ascii="Times New Roman" w:hAnsi="Times New Roman" w:cs="Times New Roman"/>
                <w:color w:val="auto"/>
                <w:highlight w:val="none"/>
              </w:rPr>
            </w:pPr>
          </w:p>
        </w:tc>
        <w:tc>
          <w:tcPr>
            <w:tcW w:w="2856" w:type="dxa"/>
            <w:vMerge w:val="continue"/>
            <w:vAlign w:val="center"/>
          </w:tcPr>
          <w:p>
            <w:pPr>
              <w:pStyle w:val="21"/>
              <w:bidi w:val="0"/>
              <w:rPr>
                <w:rFonts w:hint="default" w:ascii="Times New Roman" w:hAnsi="Times New Roman" w:cs="Times New Roman"/>
                <w:color w:val="auto"/>
                <w:highlight w:val="none"/>
              </w:rPr>
            </w:pPr>
          </w:p>
        </w:tc>
        <w:tc>
          <w:tcPr>
            <w:tcW w:w="152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THC</w:t>
            </w:r>
          </w:p>
        </w:tc>
        <w:tc>
          <w:tcPr>
            <w:tcW w:w="2085"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80-100</w:t>
            </w:r>
          </w:p>
        </w:tc>
        <w:tc>
          <w:tcPr>
            <w:tcW w:w="2053" w:type="dxa"/>
            <w:vMerge w:val="continue"/>
            <w:vAlign w:val="center"/>
          </w:tcPr>
          <w:p>
            <w:pPr>
              <w:pStyle w:val="21"/>
              <w:bidi w:val="0"/>
              <w:rPr>
                <w:rFonts w:hint="default" w:ascii="Times New Roman" w:hAnsi="Times New Roman" w:cs="Times New Roman"/>
                <w:color w:val="auto"/>
                <w:highlight w:val="none"/>
              </w:rPr>
            </w:pPr>
          </w:p>
        </w:tc>
      </w:tr>
    </w:tbl>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施工期噪声污染源分析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噪声主要来自施工作业过程中使用的运输车辆和多种施工机械，主要包括有：灌注桩钻机、挖掘机、混凝土搅拌机、振捣棒、运输车辆等。根据《噪声控制工程》（高红武2003年版）及类比监测资料，机械设备施工作业期间产生的噪声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_Ref10609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表3.6-4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pStyle w:val="24"/>
        <w:numPr>
          <w:ilvl w:val="6"/>
          <w:numId w:val="3"/>
        </w:numPr>
        <w:tabs>
          <w:tab w:val="left" w:pos="420"/>
        </w:tabs>
        <w:bidi w:val="0"/>
        <w:rPr>
          <w:rFonts w:hint="default" w:ascii="Times New Roman" w:hAnsi="Times New Roman" w:cs="Times New Roman"/>
          <w:color w:val="auto"/>
          <w:highlight w:val="none"/>
        </w:rPr>
      </w:pPr>
      <w:bookmarkStart w:id="363" w:name="_Ref10609"/>
      <w:r>
        <w:rPr>
          <w:rFonts w:hint="default" w:ascii="Times New Roman" w:hAnsi="Times New Roman" w:cs="Times New Roman"/>
          <w:color w:val="auto"/>
          <w:highlight w:val="none"/>
        </w:rPr>
        <w:t>典型施工设备噪声声级 单位：dB(A)</w:t>
      </w:r>
      <w:bookmarkEnd w:id="363"/>
    </w:p>
    <w:tbl>
      <w:tblPr>
        <w:tblStyle w:val="17"/>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2"/>
        <w:gridCol w:w="2094"/>
        <w:gridCol w:w="2392"/>
        <w:gridCol w:w="24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392" w:type="dxa"/>
            <w:tcBorders>
              <w:top w:val="single" w:color="auto" w:sz="12"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机械名称</w:t>
            </w:r>
          </w:p>
        </w:tc>
        <w:tc>
          <w:tcPr>
            <w:tcW w:w="2094" w:type="dxa"/>
            <w:tcBorders>
              <w:top w:val="single" w:color="auto" w:sz="12"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噪声值</w:t>
            </w:r>
          </w:p>
        </w:tc>
        <w:tc>
          <w:tcPr>
            <w:tcW w:w="2392" w:type="dxa"/>
            <w:tcBorders>
              <w:top w:val="single" w:color="auto" w:sz="12"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机械名称</w:t>
            </w:r>
          </w:p>
        </w:tc>
        <w:tc>
          <w:tcPr>
            <w:tcW w:w="2408" w:type="dxa"/>
            <w:tcBorders>
              <w:top w:val="single" w:color="auto" w:sz="12"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2392" w:type="dxa"/>
            <w:tcBorders>
              <w:top w:val="single" w:color="auto" w:sz="4"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推土机</w:t>
            </w:r>
          </w:p>
        </w:tc>
        <w:tc>
          <w:tcPr>
            <w:tcW w:w="2094"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78-96</w:t>
            </w:r>
          </w:p>
        </w:tc>
        <w:tc>
          <w:tcPr>
            <w:tcW w:w="2392"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静压桩机</w:t>
            </w:r>
          </w:p>
        </w:tc>
        <w:tc>
          <w:tcPr>
            <w:tcW w:w="2408" w:type="dxa"/>
            <w:tcBorders>
              <w:top w:val="single" w:color="auto" w:sz="4"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92" w:type="dxa"/>
            <w:tcBorders>
              <w:top w:val="single" w:color="auto" w:sz="4"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前斗式装料机</w:t>
            </w:r>
          </w:p>
        </w:tc>
        <w:tc>
          <w:tcPr>
            <w:tcW w:w="2094"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72-97</w:t>
            </w:r>
          </w:p>
        </w:tc>
        <w:tc>
          <w:tcPr>
            <w:tcW w:w="2392"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空压机</w:t>
            </w:r>
          </w:p>
        </w:tc>
        <w:tc>
          <w:tcPr>
            <w:tcW w:w="2408" w:type="dxa"/>
            <w:tcBorders>
              <w:top w:val="single" w:color="auto" w:sz="4"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92" w:type="dxa"/>
            <w:tcBorders>
              <w:top w:val="single" w:color="auto" w:sz="4"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拖拉机</w:t>
            </w:r>
          </w:p>
        </w:tc>
        <w:tc>
          <w:tcPr>
            <w:tcW w:w="2094"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77-96</w:t>
            </w:r>
          </w:p>
        </w:tc>
        <w:tc>
          <w:tcPr>
            <w:tcW w:w="2392"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气动扳手</w:t>
            </w:r>
          </w:p>
        </w:tc>
        <w:tc>
          <w:tcPr>
            <w:tcW w:w="2408" w:type="dxa"/>
            <w:tcBorders>
              <w:top w:val="single" w:color="auto" w:sz="4"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92" w:type="dxa"/>
            <w:tcBorders>
              <w:top w:val="single" w:color="auto" w:sz="4"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混凝土粉碎机</w:t>
            </w:r>
          </w:p>
        </w:tc>
        <w:tc>
          <w:tcPr>
            <w:tcW w:w="2094"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80-90</w:t>
            </w:r>
          </w:p>
        </w:tc>
        <w:tc>
          <w:tcPr>
            <w:tcW w:w="2392"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夯土机</w:t>
            </w:r>
          </w:p>
        </w:tc>
        <w:tc>
          <w:tcPr>
            <w:tcW w:w="2408" w:type="dxa"/>
            <w:tcBorders>
              <w:top w:val="single" w:color="auto" w:sz="4"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92" w:type="dxa"/>
            <w:tcBorders>
              <w:top w:val="single" w:color="auto" w:sz="4"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发电机</w:t>
            </w:r>
          </w:p>
        </w:tc>
        <w:tc>
          <w:tcPr>
            <w:tcW w:w="2094"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82-93</w:t>
            </w:r>
          </w:p>
        </w:tc>
        <w:tc>
          <w:tcPr>
            <w:tcW w:w="2392"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重型机械</w:t>
            </w:r>
          </w:p>
        </w:tc>
        <w:tc>
          <w:tcPr>
            <w:tcW w:w="2408" w:type="dxa"/>
            <w:tcBorders>
              <w:top w:val="single" w:color="auto" w:sz="4"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92" w:type="dxa"/>
            <w:tcBorders>
              <w:top w:val="single" w:color="auto" w:sz="4" w:space="0"/>
              <w:left w:val="nil"/>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重型卡车</w:t>
            </w:r>
          </w:p>
        </w:tc>
        <w:tc>
          <w:tcPr>
            <w:tcW w:w="2094"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85-96</w:t>
            </w:r>
          </w:p>
        </w:tc>
        <w:tc>
          <w:tcPr>
            <w:tcW w:w="2392" w:type="dxa"/>
            <w:tcBorders>
              <w:top w:val="single" w:color="auto" w:sz="4" w:space="0"/>
              <w:left w:val="single" w:color="auto" w:sz="4" w:space="0"/>
              <w:bottom w:val="single" w:color="auto" w:sz="4"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空气锤</w:t>
            </w:r>
          </w:p>
        </w:tc>
        <w:tc>
          <w:tcPr>
            <w:tcW w:w="2408" w:type="dxa"/>
            <w:tcBorders>
              <w:top w:val="single" w:color="auto" w:sz="4" w:space="0"/>
              <w:left w:val="single" w:color="auto" w:sz="4" w:space="0"/>
              <w:bottom w:val="single" w:color="auto" w:sz="4" w:space="0"/>
              <w:right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92" w:type="dxa"/>
            <w:tcBorders>
              <w:top w:val="single" w:color="auto" w:sz="4" w:space="0"/>
              <w:left w:val="nil"/>
              <w:bottom w:val="single" w:color="auto" w:sz="12"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移动式吊车</w:t>
            </w:r>
          </w:p>
        </w:tc>
        <w:tc>
          <w:tcPr>
            <w:tcW w:w="2094" w:type="dxa"/>
            <w:tcBorders>
              <w:top w:val="single" w:color="auto" w:sz="4" w:space="0"/>
              <w:left w:val="single" w:color="auto" w:sz="4" w:space="0"/>
              <w:bottom w:val="single" w:color="auto" w:sz="12"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75-95</w:t>
            </w:r>
          </w:p>
        </w:tc>
        <w:tc>
          <w:tcPr>
            <w:tcW w:w="2392" w:type="dxa"/>
            <w:tcBorders>
              <w:top w:val="single" w:color="auto" w:sz="4" w:space="0"/>
              <w:left w:val="single" w:color="auto" w:sz="4" w:space="0"/>
              <w:bottom w:val="single" w:color="auto" w:sz="12" w:space="0"/>
              <w:right w:val="single" w:color="auto" w:sz="4" w:space="0"/>
            </w:tcBorders>
            <w:vAlign w:val="center"/>
          </w:tcPr>
          <w:p>
            <w:pPr>
              <w:pStyle w:val="21"/>
              <w:bidi w:val="0"/>
              <w:rPr>
                <w:rFonts w:hint="default" w:ascii="Times New Roman" w:hAnsi="Times New Roman" w:cs="Times New Roman"/>
                <w:color w:val="auto"/>
                <w:highlight w:val="none"/>
                <w:lang w:val="en-US" w:eastAsia="zh-CN"/>
              </w:rPr>
            </w:pPr>
          </w:p>
        </w:tc>
        <w:tc>
          <w:tcPr>
            <w:tcW w:w="2408" w:type="dxa"/>
            <w:tcBorders>
              <w:top w:val="single" w:color="auto" w:sz="4" w:space="0"/>
              <w:left w:val="single" w:color="auto" w:sz="4" w:space="0"/>
              <w:bottom w:val="single" w:color="auto" w:sz="12" w:space="0"/>
              <w:right w:val="nil"/>
            </w:tcBorders>
            <w:vAlign w:val="center"/>
          </w:tcPr>
          <w:p>
            <w:pPr>
              <w:pStyle w:val="21"/>
              <w:bidi w:val="0"/>
              <w:rPr>
                <w:rFonts w:hint="default" w:ascii="Times New Roman" w:hAnsi="Times New Roman" w:cs="Times New Roman"/>
                <w:color w:val="auto"/>
                <w:highlight w:val="none"/>
                <w:lang w:val="en-US" w:eastAsia="zh-CN"/>
              </w:rPr>
            </w:pPr>
          </w:p>
        </w:tc>
      </w:tr>
    </w:tbl>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施工期固体废物污染源分析</w:t>
      </w:r>
    </w:p>
    <w:p>
      <w:pPr>
        <w:adjustRightInd w:val="0"/>
        <w:snapToGrid w:val="0"/>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施工固体废物主要有施工人员生活垃圾和建筑垃圾等。</w:t>
      </w:r>
    </w:p>
    <w:p>
      <w:pPr>
        <w:adjustRightInd w:val="0"/>
        <w:snapToGrid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生活垃圾</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工程施工高峰期施工人员</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0人，生活垃圾产生量取经验值，按每人每天0.3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kg计，则施工期生活垃圾</w:t>
      </w:r>
      <w:r>
        <w:rPr>
          <w:rFonts w:hint="default" w:ascii="Times New Roman" w:hAnsi="Times New Roman" w:cs="Times New Roman"/>
          <w:color w:val="auto"/>
          <w:highlight w:val="none"/>
          <w:lang w:val="en-US" w:eastAsia="zh-CN"/>
        </w:rPr>
        <w:t>产</w:t>
      </w:r>
      <w:r>
        <w:rPr>
          <w:rFonts w:hint="default" w:ascii="Times New Roman" w:hAnsi="Times New Roman" w:cs="Times New Roman"/>
          <w:color w:val="auto"/>
          <w:highlight w:val="none"/>
        </w:rPr>
        <w:t>生量为</w:t>
      </w:r>
      <w:r>
        <w:rPr>
          <w:rFonts w:hint="default" w:ascii="Times New Roman" w:hAnsi="Times New Roman" w:cs="Times New Roman"/>
          <w:color w:val="auto"/>
          <w:highlight w:val="none"/>
          <w:lang w:val="en-US" w:eastAsia="zh-CN"/>
        </w:rPr>
        <w:t xml:space="preserve">9 </w:t>
      </w:r>
      <w:r>
        <w:rPr>
          <w:rFonts w:hint="default" w:ascii="Times New Roman" w:hAnsi="Times New Roman" w:cs="Times New Roman"/>
          <w:color w:val="auto"/>
          <w:highlight w:val="none"/>
        </w:rPr>
        <w:t>kg/d。施工生活垃圾与一般生活垃圾相似，其主要成分为厨余物和纸张、塑料等废弃包装物（袋）等。</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施工固体废物</w:t>
      </w:r>
    </w:p>
    <w:p>
      <w:pPr>
        <w:bidi w:val="0"/>
        <w:rPr>
          <w:rFonts w:hint="default" w:ascii="Times New Roman" w:hAnsi="Times New Roman" w:eastAsia="宋体" w:cs="Times New Roman"/>
          <w:color w:val="auto"/>
          <w:szCs w:val="24"/>
          <w:highlight w:val="none"/>
        </w:rPr>
      </w:pPr>
      <w:r>
        <w:rPr>
          <w:rFonts w:hint="default" w:ascii="Times New Roman" w:hAnsi="Times New Roman" w:cs="Times New Roman"/>
          <w:color w:val="auto"/>
          <w:highlight w:val="none"/>
        </w:rPr>
        <w:t>工程施工期间固体废物主要为建筑垃圾，包括废钢筋、废钢板、废弃模板、废弃混凝土块等，此外，施工过程还将产生少量废弃的含油抹布和含油零部件等。建筑垃圾产生系数参照《环境卫生工程》（2006，第14卷4期）杂志中的论文《建筑垃圾的产生与循环利用管理》（陈军等著，同济大学）中“在单幢建筑物的建造和拆毁活动中，单位建筑面积的建筑垃圾产生量分别为20~50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kg/m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和1~2.5</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次扩建新增</w:t>
      </w:r>
      <w:r>
        <w:rPr>
          <w:rFonts w:hint="default" w:ascii="Times New Roman" w:hAnsi="Times New Roman" w:cs="Times New Roman"/>
          <w:color w:val="auto"/>
          <w:highlight w:val="none"/>
        </w:rPr>
        <w:t>构筑物总建筑面积为</w:t>
      </w:r>
      <w:r>
        <w:rPr>
          <w:rFonts w:hint="default" w:ascii="Times New Roman" w:hAnsi="Times New Roman" w:cs="Times New Roman"/>
          <w:color w:val="auto"/>
          <w:highlight w:val="none"/>
          <w:lang w:val="en-US" w:eastAsia="zh-CN"/>
        </w:rPr>
        <w:t>29093.67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，建筑垃圾产生量</w:t>
      </w:r>
      <w:r>
        <w:rPr>
          <w:rFonts w:hint="default" w:ascii="Times New Roman" w:hAnsi="Times New Roman" w:cs="Times New Roman"/>
          <w:color w:val="auto"/>
          <w:highlight w:val="none"/>
          <w:lang w:val="en-US" w:eastAsia="zh-CN"/>
        </w:rPr>
        <w:t>取值按</w:t>
      </w:r>
      <w:r>
        <w:rPr>
          <w:rFonts w:hint="default" w:ascii="Times New Roman" w:hAnsi="Times New Roman" w:cs="Times New Roman"/>
          <w:color w:val="auto"/>
          <w:highlight w:val="none"/>
        </w:rPr>
        <w:t>20 kg/m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，经计算本项目施工期共产生建筑垃圾约为</w:t>
      </w:r>
      <w:r>
        <w:rPr>
          <w:rFonts w:hint="default" w:ascii="Times New Roman" w:hAnsi="Times New Roman" w:cs="Times New Roman"/>
          <w:color w:val="auto"/>
          <w:highlight w:val="none"/>
          <w:lang w:val="en-US" w:eastAsia="zh-CN"/>
        </w:rPr>
        <w:t xml:space="preserve">581.87 </w:t>
      </w:r>
      <w:r>
        <w:rPr>
          <w:rFonts w:hint="default" w:ascii="Times New Roman" w:hAnsi="Times New Roman" w:cs="Times New Roman"/>
          <w:color w:val="auto"/>
          <w:highlight w:val="none"/>
        </w:rPr>
        <w:t>t。施工固体废物中的废钢筋、废钢板和废弃模板具有回收价值，可由相关部门负责回收；废弃混凝土块则可作为筑路材料再利用于城市建设。</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64" w:name="_Toc3346"/>
      <w:bookmarkStart w:id="365" w:name="_Toc9458"/>
      <w:bookmarkStart w:id="366" w:name="_Toc4668"/>
      <w:bookmarkStart w:id="367" w:name="_Toc22223"/>
      <w:r>
        <w:rPr>
          <w:rFonts w:hint="default" w:ascii="Times New Roman" w:hAnsi="Times New Roman" w:cs="Times New Roman"/>
          <w:color w:val="auto"/>
          <w:highlight w:val="none"/>
          <w:lang w:val="en-US" w:eastAsia="zh-CN"/>
        </w:rPr>
        <w:t>运营期污染源强分析</w:t>
      </w:r>
      <w:bookmarkEnd w:id="359"/>
      <w:bookmarkEnd w:id="364"/>
      <w:bookmarkEnd w:id="365"/>
      <w:bookmarkEnd w:id="366"/>
      <w:bookmarkEnd w:id="367"/>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项目运营期产生的废水主要为组件清洗废水、水浴槽废水、喷淋塔废水、地面冲洗废水</w:t>
      </w:r>
      <w:r>
        <w:rPr>
          <w:rFonts w:hint="eastAsia" w:cs="Times New Roman"/>
          <w:color w:val="auto"/>
          <w:highlight w:val="none"/>
          <w:lang w:val="en-US" w:eastAsia="zh-CN"/>
        </w:rPr>
        <w:t>、水环真空泵废水</w:t>
      </w:r>
      <w:r>
        <w:rPr>
          <w:rFonts w:hint="default" w:ascii="Times New Roman" w:hAnsi="Times New Roman" w:cs="Times New Roman"/>
          <w:color w:val="auto"/>
          <w:highlight w:val="none"/>
          <w:lang w:val="en-US" w:eastAsia="zh-CN"/>
        </w:rPr>
        <w:t>以及</w:t>
      </w:r>
      <w:r>
        <w:rPr>
          <w:rFonts w:hint="eastAsia" w:cs="Times New Roman"/>
          <w:color w:val="auto"/>
          <w:highlight w:val="none"/>
          <w:lang w:val="en-US" w:eastAsia="zh-CN"/>
        </w:rPr>
        <w:t>初期雨水、</w:t>
      </w:r>
      <w:r>
        <w:rPr>
          <w:rFonts w:hint="default" w:ascii="Times New Roman" w:hAnsi="Times New Roman" w:cs="Times New Roman"/>
          <w:color w:val="auto"/>
          <w:highlight w:val="none"/>
          <w:lang w:val="en-US" w:eastAsia="zh-CN"/>
        </w:rPr>
        <w:t>生活污水。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（1）生产废水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项目产生的生产废水主要包括：组件清洗废水、水浴槽废水、喷淋塔废水、地面冲洗废水</w:t>
      </w:r>
      <w:r>
        <w:rPr>
          <w:rFonts w:hint="eastAsia" w:cs="Times New Roman"/>
          <w:color w:val="auto"/>
          <w:highlight w:val="none"/>
          <w:lang w:val="en-US" w:eastAsia="zh-CN"/>
        </w:rPr>
        <w:t>、水环真空泵废水</w:t>
      </w:r>
      <w:r>
        <w:rPr>
          <w:rFonts w:hint="default" w:ascii="Times New Roman" w:hAnsi="Times New Roman" w:cs="Times New Roman"/>
          <w:color w:val="auto"/>
          <w:highlight w:val="none"/>
          <w:lang w:val="en-US" w:eastAsia="zh-CN"/>
        </w:rPr>
        <w:t>。根据项目“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_Ref32407 \w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第3章3.5.1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”章节，本次扩建工程生产废水排放量为</w:t>
      </w:r>
      <w:r>
        <w:rPr>
          <w:rFonts w:hint="eastAsia" w:cs="Times New Roman"/>
          <w:color w:val="auto"/>
          <w:highlight w:val="none"/>
          <w:lang w:val="en-US" w:eastAsia="zh-CN"/>
        </w:rPr>
        <w:t>1904.62</w:t>
      </w:r>
      <w:r>
        <w:rPr>
          <w:rFonts w:hint="default" w:ascii="Times New Roman" w:hAnsi="Times New Roman" w:cs="Times New Roman"/>
          <w:color w:val="auto"/>
          <w:highlight w:val="none"/>
          <w:lang w:val="en-US" w:eastAsia="zh-CN"/>
        </w:rPr>
        <w:t xml:space="preserve"> t/a，单日最大生产废水排放量为3</w:t>
      </w:r>
      <w:r>
        <w:rPr>
          <w:rFonts w:hint="eastAsia" w:cs="Times New Roman"/>
          <w:color w:val="auto"/>
          <w:highlight w:val="none"/>
          <w:lang w:val="en-US" w:eastAsia="zh-CN"/>
        </w:rPr>
        <w:t>8.16</w:t>
      </w:r>
      <w:r>
        <w:rPr>
          <w:rFonts w:hint="default" w:ascii="Times New Roman" w:hAnsi="Times New Roman" w:cs="Times New Roman"/>
          <w:color w:val="auto"/>
          <w:highlight w:val="none"/>
          <w:lang w:val="en-US" w:eastAsia="zh-CN"/>
        </w:rPr>
        <w:t xml:space="preserve"> t/d，生产废水经厂内污水处理站（处理工艺：气浮+水解酸化+A/O池+MBR膜+板框压滤）处理达《合成树脂工业污染物排放标准》（GB31572-2015）中表1直接排放限值（石油类参照排放标准参照现有工程环评报告书10 mg/L的要求）后，排入园区污水管网，纳入牙城镇污水处理厂处理，具体分析如下：</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①组件清洗废水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根据扩建工程水平衡分析，项目组件清洗废水排放量为4.62 t/d（1524.6 t/a），该股废水主要污染因子为COD、BOD</w:t>
      </w:r>
      <w:r>
        <w:rPr>
          <w:rFonts w:hint="eastAsia"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、SS、石油类</w:t>
      </w:r>
      <w:r>
        <w:rPr>
          <w:rFonts w:hint="eastAsia" w:cs="Times New Roman"/>
          <w:color w:val="auto"/>
          <w:highlight w:val="none"/>
          <w:lang w:val="en-US" w:eastAsia="zh-CN"/>
        </w:rPr>
        <w:t>、</w:t>
      </w:r>
      <w:r>
        <w:rPr>
          <w:rFonts w:hint="eastAsia" w:cs="Times New Roman"/>
          <w:color w:val="auto"/>
          <w:highlight w:val="none"/>
          <w:lang w:val="en-US" w:eastAsia="zh-CN"/>
        </w:rPr>
        <w:t>锑</w:t>
      </w:r>
      <w:r>
        <w:rPr>
          <w:rFonts w:hint="default" w:ascii="Times New Roman" w:hAnsi="Times New Roman" w:cs="Times New Roman"/>
          <w:color w:val="auto"/>
          <w:highlight w:val="none"/>
          <w:lang w:val="en-US" w:eastAsia="zh-CN"/>
        </w:rPr>
        <w:t>等</w:t>
      </w:r>
      <w:r>
        <w:rPr>
          <w:rFonts w:hint="eastAsia" w:cs="Times New Roman"/>
          <w:color w:val="auto"/>
          <w:highlight w:val="none"/>
          <w:lang w:val="en-US" w:eastAsia="zh-CN"/>
        </w:rPr>
        <w:t>。其中，因现行国家污染物排放标准中未对锑的排放标准作出规定，因此本次评价不进行定量分析，但建议建设单位将其纳入环境管理中，排放标准可参照江苏省地方标准《纺织染整工业废水中锑污染物排放标准》（DB32/3432-2018）</w:t>
      </w:r>
      <w:r>
        <w:rPr>
          <w:rFonts w:hint="default" w:ascii="Times New Roman" w:hAnsi="Times New Roman" w:cs="Times New Roman"/>
          <w:color w:val="auto"/>
          <w:highlight w:val="none"/>
          <w:lang w:val="en-US" w:eastAsia="zh-CN"/>
        </w:rPr>
        <w:t>执行（排放限值≤0.05 mg/L）</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②水浴槽废水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水浴槽废水循环使用，定期排放，排放频率为1</w:t>
      </w:r>
      <w:r>
        <w:rPr>
          <w:rFonts w:hint="eastAsia" w:cs="Times New Roman"/>
          <w:color w:val="auto"/>
          <w:highlight w:val="none"/>
          <w:lang w:val="en-US" w:eastAsia="zh-CN"/>
        </w:rPr>
        <w:t>次</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月</w:t>
      </w:r>
      <w:r>
        <w:rPr>
          <w:rFonts w:hint="default" w:ascii="Times New Roman" w:hAnsi="Times New Roman" w:cs="Times New Roman"/>
          <w:color w:val="auto"/>
          <w:highlight w:val="none"/>
          <w:lang w:val="en-US" w:eastAsia="zh-CN"/>
        </w:rPr>
        <w:t>，排放量为</w:t>
      </w:r>
      <w:r>
        <w:rPr>
          <w:rFonts w:hint="default" w:ascii="Times New Roman" w:hAnsi="Times New Roman" w:cs="Times New Roman"/>
          <w:color w:val="auto"/>
          <w:kern w:val="0"/>
          <w:highlight w:val="none"/>
          <w:lang w:val="en-US" w:eastAsia="zh-CN"/>
        </w:rPr>
        <w:t>1.6 t/次（17.6 t/a），废水中主要污染因子为</w:t>
      </w:r>
      <w:r>
        <w:rPr>
          <w:rFonts w:hint="default" w:ascii="Times New Roman" w:hAnsi="Times New Roman" w:cs="Times New Roman"/>
          <w:color w:val="auto"/>
          <w:highlight w:val="none"/>
          <w:lang w:val="en-US" w:eastAsia="zh-CN"/>
        </w:rPr>
        <w:t>COD、BOD</w:t>
      </w:r>
      <w:r>
        <w:rPr>
          <w:rFonts w:hint="eastAsia"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、SS、石油类等。</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③喷淋塔废水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喷淋塔水循环使用，定期排放，排放频率为</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次/</w:t>
      </w:r>
      <w:r>
        <w:rPr>
          <w:rFonts w:hint="eastAsia" w:cs="Times New Roman"/>
          <w:color w:val="auto"/>
          <w:highlight w:val="none"/>
          <w:lang w:val="en-US" w:eastAsia="zh-CN"/>
        </w:rPr>
        <w:t>2个</w:t>
      </w:r>
      <w:r>
        <w:rPr>
          <w:rFonts w:hint="default" w:ascii="Times New Roman" w:hAnsi="Times New Roman" w:cs="Times New Roman"/>
          <w:color w:val="auto"/>
          <w:highlight w:val="none"/>
          <w:lang w:val="en-US" w:eastAsia="zh-CN"/>
        </w:rPr>
        <w:t>月，排放量为1.5 t/次（8.25 t/a），主要污染因子为COD</w:t>
      </w:r>
      <w:r>
        <w:rPr>
          <w:rFonts w:hint="eastAsia" w:cs="Times New Roman"/>
          <w:color w:val="auto"/>
          <w:highlight w:val="none"/>
          <w:lang w:val="en-US" w:eastAsia="zh-CN"/>
        </w:rPr>
        <w:t>：1000 mg/L</w:t>
      </w:r>
      <w:r>
        <w:rPr>
          <w:rFonts w:hint="default" w:ascii="Times New Roman" w:hAnsi="Times New Roman" w:cs="Times New Roman"/>
          <w:color w:val="auto"/>
          <w:highlight w:val="none"/>
          <w:lang w:val="en-US" w:eastAsia="zh-CN"/>
        </w:rPr>
        <w:t>、SS</w:t>
      </w:r>
      <w:r>
        <w:rPr>
          <w:rFonts w:hint="eastAsia" w:cs="Times New Roman"/>
          <w:color w:val="auto"/>
          <w:highlight w:val="none"/>
          <w:lang w:val="en-US" w:eastAsia="zh-CN"/>
        </w:rPr>
        <w:t>：500 mg/L</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④地面冲洗废水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生产车间地面正常情况下仅用拖把拖洗，拖洗频率为</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次/</w:t>
      </w:r>
      <w:r>
        <w:rPr>
          <w:rFonts w:hint="eastAsia" w:cs="Times New Roman"/>
          <w:color w:val="auto"/>
          <w:highlight w:val="none"/>
          <w:lang w:val="en-US" w:eastAsia="zh-CN"/>
        </w:rPr>
        <w:t>2个</w:t>
      </w:r>
      <w:r>
        <w:rPr>
          <w:rFonts w:hint="default" w:ascii="Times New Roman" w:hAnsi="Times New Roman" w:cs="Times New Roman"/>
          <w:color w:val="auto"/>
          <w:highlight w:val="none"/>
          <w:lang w:val="en-US" w:eastAsia="zh-CN"/>
        </w:rPr>
        <w:t>月，根据水平衡分析，项目车间地面冲洗废水排放量为25.94 t/次（142.67 t/a），主要</w:t>
      </w:r>
      <w:r>
        <w:rPr>
          <w:rFonts w:hint="eastAsia" w:cs="Times New Roman"/>
          <w:color w:val="auto"/>
          <w:highlight w:val="none"/>
          <w:lang w:val="en-US" w:eastAsia="zh-CN"/>
        </w:rPr>
        <w:t>污染物</w:t>
      </w:r>
      <w:r>
        <w:rPr>
          <w:rFonts w:hint="default" w:ascii="Times New Roman" w:hAnsi="Times New Roman" w:cs="Times New Roman"/>
          <w:color w:val="auto"/>
          <w:highlight w:val="none"/>
          <w:lang w:val="en-US" w:eastAsia="zh-CN"/>
        </w:rPr>
        <w:t>为COD</w:t>
      </w:r>
      <w:r>
        <w:rPr>
          <w:rFonts w:hint="eastAsia" w:cs="Times New Roman"/>
          <w:color w:val="auto"/>
          <w:highlight w:val="none"/>
          <w:lang w:val="en-US" w:eastAsia="zh-CN"/>
        </w:rPr>
        <w:t>：500mg/L</w:t>
      </w:r>
      <w:r>
        <w:rPr>
          <w:rFonts w:hint="default" w:ascii="Times New Roman" w:hAnsi="Times New Roman" w:cs="Times New Roman"/>
          <w:color w:val="auto"/>
          <w:highlight w:val="none"/>
          <w:lang w:val="en-US" w:eastAsia="zh-CN"/>
        </w:rPr>
        <w:t>、SS</w:t>
      </w:r>
      <w:r>
        <w:rPr>
          <w:rFonts w:hint="eastAsia" w:cs="Times New Roman"/>
          <w:color w:val="auto"/>
          <w:highlight w:val="none"/>
          <w:lang w:val="en-US" w:eastAsia="zh-CN"/>
        </w:rPr>
        <w:t>：500 mg/L</w:t>
      </w:r>
      <w:r>
        <w:rPr>
          <w:rFonts w:hint="default" w:ascii="Times New Roman" w:hAnsi="Times New Roman" w:cs="Times New Roman"/>
          <w:color w:val="auto"/>
          <w:highlight w:val="none"/>
          <w:lang w:val="en-US" w:eastAsia="zh-CN"/>
        </w:rPr>
        <w:t>。</w:t>
      </w:r>
    </w:p>
    <w:p>
      <w:pPr>
        <w:bidi w:val="0"/>
        <w:rPr>
          <w:rFonts w:hint="eastAsia" w:cs="Times New Roman"/>
          <w:color w:val="auto"/>
          <w:highlight w:val="none"/>
          <w:lang w:val="en-US" w:eastAsia="zh-CN"/>
        </w:rPr>
      </w:pPr>
      <w:r>
        <w:rPr>
          <w:rFonts w:hint="eastAsia" w:cs="Times New Roman"/>
          <w:color w:val="auto"/>
          <w:highlight w:val="none"/>
          <w:lang w:val="en-US" w:eastAsia="zh-CN"/>
        </w:rPr>
        <w:t>⑤水环真空泵废水</w:t>
      </w:r>
    </w:p>
    <w:p>
      <w:pPr>
        <w:bidi w:val="0"/>
        <w:rPr>
          <w:rFonts w:hint="eastAsia" w:cs="Times New Roman"/>
          <w:color w:val="auto"/>
          <w:szCs w:val="20"/>
          <w:highlight w:val="none"/>
          <w:lang w:val="en-US" w:eastAsia="zh-CN"/>
        </w:rPr>
      </w:pPr>
      <w:r>
        <w:rPr>
          <w:rFonts w:hint="eastAsia" w:cs="Times New Roman"/>
          <w:color w:val="auto"/>
          <w:szCs w:val="20"/>
          <w:highlight w:val="none"/>
          <w:lang w:val="en-US" w:eastAsia="zh-CN"/>
        </w:rPr>
        <w:t>罗茨</w:t>
      </w:r>
      <w:r>
        <w:rPr>
          <w:rFonts w:hint="default" w:ascii="Times New Roman" w:hAnsi="Times New Roman" w:cs="Times New Roman"/>
          <w:color w:val="auto"/>
          <w:szCs w:val="20"/>
          <w:highlight w:val="none"/>
          <w:lang w:val="en-US" w:eastAsia="zh-CN"/>
        </w:rPr>
        <w:t>水环真空泵</w:t>
      </w:r>
      <w:r>
        <w:rPr>
          <w:rFonts w:hint="eastAsia" w:cs="Times New Roman"/>
          <w:color w:val="auto"/>
          <w:szCs w:val="20"/>
          <w:highlight w:val="none"/>
          <w:lang w:val="en-US" w:eastAsia="zh-CN"/>
        </w:rPr>
        <w:t>循环水需定期更换，根据水平衡分析，项目真空泵废水排放量为4.5 t/次（211.5 t/a），主要污染物为COD：500 mg/L、SS：300mg/L。</w:t>
      </w:r>
    </w:p>
    <w:p>
      <w:pPr>
        <w:bidi w:val="0"/>
        <w:rPr>
          <w:rFonts w:hint="default" w:cs="Times New Roman"/>
          <w:color w:val="auto"/>
          <w:szCs w:val="20"/>
          <w:highlight w:val="none"/>
          <w:lang w:val="en-US" w:eastAsia="zh-CN"/>
        </w:rPr>
      </w:pPr>
      <w:r>
        <w:rPr>
          <w:rFonts w:hint="eastAsia" w:cs="Times New Roman"/>
          <w:color w:val="auto"/>
          <w:szCs w:val="20"/>
          <w:highlight w:val="none"/>
          <w:lang w:val="en-US" w:eastAsia="zh-CN"/>
        </w:rPr>
        <w:t>扩建工程各类生产废水排放汇总见</w:t>
      </w:r>
      <w:r>
        <w:rPr>
          <w:rFonts w:hint="eastAsia" w:cs="Times New Roman"/>
          <w:color w:val="auto"/>
          <w:szCs w:val="20"/>
          <w:highlight w:val="none"/>
          <w:lang w:val="en-US" w:eastAsia="zh-CN"/>
        </w:rPr>
        <w:fldChar w:fldCharType="begin"/>
      </w:r>
      <w:r>
        <w:rPr>
          <w:rFonts w:hint="eastAsia" w:cs="Times New Roman"/>
          <w:color w:val="auto"/>
          <w:szCs w:val="20"/>
          <w:highlight w:val="none"/>
          <w:lang w:val="en-US" w:eastAsia="zh-CN"/>
        </w:rPr>
        <w:instrText xml:space="preserve"> REF _Ref9431 \n \h </w:instrText>
      </w:r>
      <w:r>
        <w:rPr>
          <w:rFonts w:hint="eastAsia" w:cs="Times New Roman"/>
          <w:color w:val="auto"/>
          <w:szCs w:val="20"/>
          <w:highlight w:val="none"/>
          <w:lang w:val="en-US" w:eastAsia="zh-CN"/>
        </w:rPr>
        <w:fldChar w:fldCharType="separate"/>
      </w:r>
      <w:r>
        <w:rPr>
          <w:rFonts w:hint="eastAsia" w:cs="Times New Roman"/>
          <w:color w:val="auto"/>
          <w:szCs w:val="20"/>
          <w:highlight w:val="none"/>
          <w:lang w:val="en-US" w:eastAsia="zh-CN"/>
        </w:rPr>
        <w:t>表3.6-5</w:t>
      </w:r>
      <w:r>
        <w:rPr>
          <w:rFonts w:hint="eastAsia" w:cs="Times New Roman"/>
          <w:color w:val="auto"/>
          <w:szCs w:val="20"/>
          <w:highlight w:val="none"/>
          <w:lang w:val="en-US" w:eastAsia="zh-CN"/>
        </w:rPr>
        <w:fldChar w:fldCharType="end"/>
      </w:r>
      <w:r>
        <w:rPr>
          <w:rFonts w:hint="eastAsia" w:cs="Times New Roman"/>
          <w:color w:val="auto"/>
          <w:szCs w:val="20"/>
          <w:highlight w:val="none"/>
          <w:lang w:val="en-US" w:eastAsia="zh-CN"/>
        </w:rPr>
        <w:t>，扩建工程生产</w:t>
      </w:r>
      <w:r>
        <w:rPr>
          <w:rFonts w:hint="eastAsia"/>
          <w:color w:val="auto"/>
          <w:lang w:val="en-US" w:eastAsia="zh-CN"/>
        </w:rPr>
        <w:t>废水污染物产生情况详见</w:t>
      </w:r>
      <w:r>
        <w:rPr>
          <w:rFonts w:hint="eastAsia"/>
          <w:color w:val="auto"/>
          <w:lang w:val="en-US" w:eastAsia="zh-CN"/>
        </w:rPr>
        <w:fldChar w:fldCharType="begin"/>
      </w:r>
      <w:r>
        <w:rPr>
          <w:rFonts w:hint="eastAsia"/>
          <w:color w:val="auto"/>
          <w:lang w:val="en-US" w:eastAsia="zh-CN"/>
        </w:rPr>
        <w:instrText xml:space="preserve"> REF _Ref27727 \n \h </w:instrText>
      </w:r>
      <w:r>
        <w:rPr>
          <w:rFonts w:hint="eastAsia"/>
          <w:color w:val="auto"/>
          <w:lang w:val="en-US" w:eastAsia="zh-CN"/>
        </w:rPr>
        <w:fldChar w:fldCharType="separate"/>
      </w:r>
      <w:r>
        <w:rPr>
          <w:rFonts w:hint="eastAsia"/>
          <w:color w:val="auto"/>
          <w:lang w:val="en-US" w:eastAsia="zh-CN"/>
        </w:rPr>
        <w:t>表3.6-6</w:t>
      </w:r>
      <w:r>
        <w:rPr>
          <w:rFonts w:hint="eastAsia"/>
          <w:color w:val="auto"/>
          <w:lang w:val="en-US" w:eastAsia="zh-CN"/>
        </w:rPr>
        <w:fldChar w:fldCharType="end"/>
      </w:r>
      <w:r>
        <w:rPr>
          <w:rFonts w:hint="eastAsia" w:cs="Times New Roman"/>
          <w:color w:val="auto"/>
          <w:szCs w:val="20"/>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68" w:name="_Ref9431"/>
      <w:r>
        <w:rPr>
          <w:rFonts w:hint="default" w:ascii="Times New Roman" w:hAnsi="Times New Roman" w:cs="Times New Roman"/>
          <w:color w:val="auto"/>
          <w:highlight w:val="none"/>
          <w:lang w:val="en-US" w:eastAsia="zh-CN"/>
        </w:rPr>
        <w:t>扩建工程生产废水排放情况</w:t>
      </w:r>
      <w:bookmarkEnd w:id="368"/>
    </w:p>
    <w:p>
      <w:pPr>
        <w:rPr>
          <w:rFonts w:hint="default" w:cs="Times New Roman"/>
          <w:color w:val="auto"/>
          <w:highlight w:val="none"/>
          <w:lang w:val="en-US" w:eastAsia="zh-CN"/>
        </w:rPr>
      </w:pPr>
      <w:r>
        <w:rPr>
          <w:rFonts w:hint="eastAsia" w:cs="Times New Roman"/>
          <w:color w:val="auto"/>
          <w:highlight w:val="none"/>
          <w:lang w:val="en-US" w:eastAsia="zh-CN"/>
        </w:rPr>
        <w:t>（2）初期雨水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初期雨水的计算根据《给排水设计手册》（第5册）（中国建筑工业出版社），初期最大雨水收集流量计算公式为：</w:t>
      </w:r>
    </w:p>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0"/>
          <w:highlight w:val="none"/>
          <w:lang w:val="en-US" w:eastAsia="zh-CN"/>
        </w:rPr>
        <w:object>
          <v:shape id="_x0000_i1038" o:spt="75" type="#_x0000_t75" style="height:16pt;width:59pt;" o:ole="t" filled="f" o:preferrelative="t" stroked="f" coordsize="21600,21600">
            <v:path/>
            <v:fill on="f" focussize="0,0"/>
            <v:stroke on="f"/>
            <v:imagedata r:id="rId31" o:title=""/>
            <o:lock v:ext="edit" aspectratio="t"/>
            <w10:wrap type="none"/>
            <w10:anchorlock/>
          </v:shape>
          <o:OLEObject Type="Embed" ProgID="Equation.KSEE3" ShapeID="_x0000_i1038" DrawAspect="Content" ObjectID="_1468075727" r:id="rId30">
            <o:LockedField>false</o:LockedField>
          </o:OLEObject>
        </w:objec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w:t>
      </w:r>
      <w:r>
        <w:rPr>
          <w:rFonts w:hint="default" w:ascii="Times New Roman" w:hAnsi="Times New Roman" w:cs="Times New Roman"/>
          <w:color w:val="auto"/>
          <w:position w:val="-10"/>
          <w:highlight w:val="none"/>
          <w:lang w:val="en-US" w:eastAsia="zh-CN"/>
        </w:rPr>
        <w:object>
          <v:shape id="_x0000_i1039" o:spt="75" type="#_x0000_t75" style="height:16pt;width:12pt;" o:ole="t" filled="f" o:preferrelative="t" stroked="f" coordsize="21600,21600">
            <v:path/>
            <v:fill on="f" focussize="0,0"/>
            <v:stroke on="f"/>
            <v:imagedata r:id="rId33" o:title=""/>
            <o:lock v:ext="edit" aspectratio="t"/>
            <w10:wrap type="none"/>
            <w10:anchorlock/>
          </v:shape>
          <o:OLEObject Type="Embed" ProgID="Equation.KSEE3" ShapeID="_x0000_i1039" DrawAspect="Content" ObjectID="_1468075728" r:id="rId32">
            <o:LockedField>false</o:LockedField>
          </o:OLEObject>
        </w:object>
      </w:r>
      <w:r>
        <w:rPr>
          <w:rFonts w:hint="default" w:ascii="Times New Roman" w:hAnsi="Times New Roman" w:cs="Times New Roman"/>
          <w:color w:val="auto"/>
          <w:highlight w:val="none"/>
          <w:lang w:val="en-US" w:eastAsia="zh-CN"/>
        </w:rPr>
        <w:t>——雨水设计流量，L/s；</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0"/>
          <w:highlight w:val="none"/>
          <w:lang w:val="en-US" w:eastAsia="zh-CN"/>
        </w:rPr>
        <w:object>
          <v:shape id="_x0000_i1040" o:spt="75" type="#_x0000_t75" style="height:13pt;width:10pt;" o:ole="t" filled="f" o:preferrelative="t" stroked="f" coordsize="21600,21600">
            <v:path/>
            <v:fill on="f" focussize="0,0"/>
            <v:stroke on="f"/>
            <v:imagedata r:id="rId35" o:title=""/>
            <o:lock v:ext="edit" aspectratio="t"/>
            <w10:wrap type="none"/>
            <w10:anchorlock/>
          </v:shape>
          <o:OLEObject Type="Embed" ProgID="Equation.KSEE3" ShapeID="_x0000_i1040" DrawAspect="Content" ObjectID="_1468075729" r:id="rId34">
            <o:LockedField>false</o:LockedField>
          </o:OLEObject>
        </w:object>
      </w:r>
      <w:r>
        <w:rPr>
          <w:rFonts w:hint="default" w:ascii="Times New Roman" w:hAnsi="Times New Roman" w:cs="Times New Roman"/>
          <w:color w:val="auto"/>
          <w:highlight w:val="none"/>
          <w:lang w:val="en-US" w:eastAsia="zh-CN"/>
        </w:rPr>
        <w:t>——设计暴雨强度，L/（s·hm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0"/>
          <w:highlight w:val="none"/>
          <w:lang w:val="en-US" w:eastAsia="zh-CN"/>
        </w:rPr>
        <w:object>
          <v:shape id="_x0000_i1041" o:spt="75" type="#_x0000_t75" style="height:13pt;width:11pt;" o:ole="t" filled="f" o:preferrelative="t" stroked="f" coordsize="21600,21600">
            <v:path/>
            <v:fill on="f" focussize="0,0"/>
            <v:stroke on="f"/>
            <v:imagedata r:id="rId37" o:title=""/>
            <o:lock v:ext="edit" aspectratio="t"/>
            <w10:wrap type="none"/>
            <w10:anchorlock/>
          </v:shape>
          <o:OLEObject Type="Embed" ProgID="Equation.KSEE3" ShapeID="_x0000_i1041" DrawAspect="Content" ObjectID="_1468075730" r:id="rId36">
            <o:LockedField>false</o:LockedField>
          </o:OLEObject>
        </w:object>
      </w:r>
      <w:r>
        <w:rPr>
          <w:rFonts w:hint="default" w:ascii="Times New Roman" w:hAnsi="Times New Roman" w:cs="Times New Roman"/>
          <w:color w:val="auto"/>
          <w:highlight w:val="none"/>
          <w:lang w:val="en-US" w:eastAsia="zh-CN"/>
        </w:rPr>
        <w:t>——径流系数，本项目取0.</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4"/>
          <w:highlight w:val="none"/>
          <w:lang w:val="en-US" w:eastAsia="zh-CN"/>
        </w:rPr>
        <w:object>
          <v:shape id="_x0000_i1042" o:spt="75" type="#_x0000_t75" style="height:13pt;width:13pt;" o:ole="t" filled="f" o:preferrelative="t" stroked="f" coordsize="21600,21600">
            <v:path/>
            <v:fill on="f" focussize="0,0"/>
            <v:stroke on="f"/>
            <v:imagedata r:id="rId39" o:title=""/>
            <o:lock v:ext="edit" aspectratio="t"/>
            <w10:wrap type="none"/>
            <w10:anchorlock/>
          </v:shape>
          <o:OLEObject Type="Embed" ProgID="Equation.KSEE3" ShapeID="_x0000_i1042" DrawAspect="Content" ObjectID="_1468075731" r:id="rId38">
            <o:LockedField>false</o:LockedField>
          </o:OLEObject>
        </w:object>
      </w:r>
      <w:r>
        <w:rPr>
          <w:rFonts w:hint="default" w:ascii="Times New Roman" w:hAnsi="Times New Roman" w:cs="Times New Roman"/>
          <w:color w:val="auto"/>
          <w:highlight w:val="none"/>
          <w:lang w:val="en-US" w:eastAsia="zh-CN"/>
        </w:rPr>
        <w:t>——汇水面积，本项目集水面积按</w:t>
      </w:r>
      <w:r>
        <w:rPr>
          <w:rFonts w:hint="eastAsia" w:cs="Times New Roman"/>
          <w:color w:val="auto"/>
          <w:highlight w:val="none"/>
          <w:lang w:val="en-US" w:eastAsia="zh-CN"/>
        </w:rPr>
        <w:t>0.75</w:t>
      </w:r>
      <w:r>
        <w:rPr>
          <w:rFonts w:hint="default" w:ascii="Times New Roman" w:hAnsi="Times New Roman" w:cs="Times New Roman"/>
          <w:color w:val="auto"/>
          <w:highlight w:val="none"/>
          <w:lang w:val="en-US" w:eastAsia="zh-CN"/>
        </w:rPr>
        <w:t xml:space="preserve"> 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计。</w:t>
      </w:r>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本项目所在区域暴雨强度计算公式为：</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28"/>
          <w:highlight w:val="none"/>
          <w:lang w:val="en-US" w:eastAsia="zh-CN"/>
        </w:rPr>
        <w:object>
          <v:shape id="_x0000_i1043" o:spt="75" type="#_x0000_t75" style="height:33pt;width:150pt;" o:ole="t" filled="f" o:preferrelative="t" stroked="f" coordsize="21600,21600">
            <v:path/>
            <v:fill on="f" focussize="0,0"/>
            <v:stroke on="f"/>
            <v:imagedata r:id="rId41" o:title=""/>
            <o:lock v:ext="edit" aspectratio="t"/>
            <w10:wrap type="none"/>
            <w10:anchorlock/>
          </v:shape>
          <o:OLEObject Type="Embed" ProgID="Equation.KSEE3" ShapeID="_x0000_i1043" DrawAspect="Content" ObjectID="_1468075732" r:id="rId40">
            <o:LockedField>false</o:LockedField>
          </o:OLEObject>
        </w:object>
      </w:r>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w:t>
      </w:r>
      <w:r>
        <w:rPr>
          <w:rFonts w:hint="default" w:ascii="Times New Roman" w:hAnsi="Times New Roman" w:cs="Times New Roman"/>
          <w:color w:val="auto"/>
          <w:position w:val="-6"/>
          <w:highlight w:val="none"/>
          <w:lang w:val="en-US" w:eastAsia="zh-CN"/>
        </w:rPr>
        <w:object>
          <v:shape id="_x0000_i1044" o:spt="75" type="#_x0000_t75" style="height:13.95pt;width:15pt;" o:ole="t" filled="f" o:preferrelative="t" stroked="f" coordsize="21600,21600">
            <v:path/>
            <v:fill on="f" focussize="0,0"/>
            <v:stroke on="f"/>
            <v:imagedata r:id="rId43" o:title=""/>
            <o:lock v:ext="edit" aspectratio="t"/>
            <w10:wrap type="none"/>
            <w10:anchorlock/>
          </v:shape>
          <o:OLEObject Type="Embed" ProgID="Equation.KSEE3" ShapeID="_x0000_i1044" DrawAspect="Content" ObjectID="_1468075733" r:id="rId42">
            <o:LockedField>false</o:LockedField>
          </o:OLEObject>
        </w:object>
      </w:r>
      <w:r>
        <w:rPr>
          <w:rFonts w:hint="default" w:ascii="Times New Roman" w:hAnsi="Times New Roman" w:cs="Times New Roman"/>
          <w:color w:val="auto"/>
          <w:highlight w:val="none"/>
          <w:lang w:val="en-US" w:eastAsia="zh-CN"/>
        </w:rPr>
        <w:t>——室外道路降雨重现期，本项目取2年；</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6"/>
          <w:highlight w:val="none"/>
          <w:lang w:val="en-US" w:eastAsia="zh-CN"/>
        </w:rPr>
        <w:object>
          <v:shape id="_x0000_i1045" o:spt="75" type="#_x0000_t75" style="height:12pt;width:6.95pt;" o:ole="t" filled="f" o:preferrelative="t" stroked="f" coordsize="21600,21600">
            <v:path/>
            <v:fill on="f" focussize="0,0"/>
            <v:stroke on="f"/>
            <v:imagedata r:id="rId45" o:title=""/>
            <o:lock v:ext="edit" aspectratio="t"/>
            <w10:wrap type="none"/>
            <w10:anchorlock/>
          </v:shape>
          <o:OLEObject Type="Embed" ProgID="Equation.KSEE3" ShapeID="_x0000_i1045" DrawAspect="Content" ObjectID="_1468075734" r:id="rId44">
            <o:LockedField>false</o:LockedField>
          </o:OLEObject>
        </w:object>
      </w:r>
      <w:r>
        <w:rPr>
          <w:rFonts w:hint="default" w:ascii="Times New Roman" w:hAnsi="Times New Roman" w:cs="Times New Roman"/>
          <w:color w:val="auto"/>
          <w:highlight w:val="none"/>
          <w:lang w:val="en-US" w:eastAsia="zh-CN"/>
        </w:rPr>
        <w:t>——室外雨水管道设计降雨历时：t取15 min。</w:t>
      </w:r>
    </w:p>
    <w:p>
      <w:pPr>
        <w:rPr>
          <w:rFonts w:hint="default" w:cs="Times New Roman"/>
          <w:color w:val="auto"/>
          <w:highlight w:val="none"/>
          <w:lang w:val="en-US" w:eastAsia="zh-CN"/>
        </w:rPr>
      </w:pPr>
      <w:r>
        <w:rPr>
          <w:rFonts w:hint="default" w:ascii="Times New Roman" w:hAnsi="Times New Roman" w:cs="Times New Roman"/>
          <w:color w:val="auto"/>
          <w:highlight w:val="none"/>
          <w:lang w:val="en-US" w:eastAsia="zh-CN"/>
        </w:rPr>
        <w:t>经计算，本项目所在区域暴雨强度q为</w:t>
      </w:r>
      <w:r>
        <w:rPr>
          <w:rFonts w:hint="eastAsia" w:ascii="Times New Roman" w:hAnsi="Times New Roman" w:cs="Times New Roman"/>
          <w:color w:val="auto"/>
          <w:highlight w:val="none"/>
          <w:lang w:val="en-US" w:eastAsia="zh-CN"/>
        </w:rPr>
        <w:t>269.45</w:t>
      </w:r>
      <w:r>
        <w:rPr>
          <w:rFonts w:hint="default" w:ascii="Times New Roman" w:hAnsi="Times New Roman" w:cs="Times New Roman"/>
          <w:color w:val="auto"/>
          <w:highlight w:val="none"/>
          <w:lang w:val="en-US" w:eastAsia="zh-CN"/>
        </w:rPr>
        <w:t xml:space="preserve"> L/（s·hm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），厂内设置初期雨水切换阀门及初期雨水收集池，</w:t>
      </w:r>
      <w:r>
        <w:rPr>
          <w:rFonts w:hint="default" w:ascii="Times New Roman" w:hAnsi="Times New Roman" w:cs="Times New Roman"/>
          <w:color w:val="auto"/>
          <w:highlight w:val="none"/>
          <w:lang w:val="en-US" w:eastAsia="zh-CN"/>
        </w:rPr>
        <w:t>将每一场降雨的前15 min雨水</w:t>
      </w:r>
      <w:r>
        <w:rPr>
          <w:rFonts w:hint="eastAsia" w:cs="Times New Roman"/>
          <w:color w:val="auto"/>
          <w:highlight w:val="none"/>
          <w:lang w:val="en-US" w:eastAsia="zh-CN"/>
        </w:rPr>
        <w:t>通过厂内雨水管网</w:t>
      </w:r>
      <w:r>
        <w:rPr>
          <w:rFonts w:hint="default" w:ascii="Times New Roman" w:hAnsi="Times New Roman" w:cs="Times New Roman"/>
          <w:color w:val="auto"/>
          <w:highlight w:val="none"/>
          <w:lang w:val="en-US" w:eastAsia="zh-CN"/>
        </w:rPr>
        <w:t>集中收集后引入初期雨水池</w:t>
      </w:r>
      <w:r>
        <w:rPr>
          <w:rFonts w:hint="eastAsia" w:cs="Times New Roman"/>
          <w:color w:val="auto"/>
          <w:highlight w:val="none"/>
          <w:lang w:val="en-US" w:eastAsia="zh-CN"/>
        </w:rPr>
        <w:t>，分批次进入厂内污水处理站处理</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处理达标后的初期雨水排入园区污水管网，进入牙城镇污水处理厂处理。</w:t>
      </w:r>
      <w:r>
        <w:rPr>
          <w:rFonts w:hint="default" w:ascii="Times New Roman" w:hAnsi="Times New Roman" w:cs="Times New Roman"/>
          <w:color w:val="auto"/>
          <w:highlight w:val="none"/>
          <w:lang w:val="en-US" w:eastAsia="zh-CN"/>
        </w:rPr>
        <w:t>根据计算，初期雨水大约为</w:t>
      </w:r>
      <w:r>
        <w:rPr>
          <w:rFonts w:hint="eastAsia" w:cs="Times New Roman"/>
          <w:color w:val="auto"/>
          <w:highlight w:val="none"/>
          <w:lang w:val="en-US" w:eastAsia="zh-CN"/>
        </w:rPr>
        <w:t>90.94</w:t>
      </w:r>
      <w:r>
        <w:rPr>
          <w:rFonts w:hint="default" w:ascii="Times New Roman" w:hAnsi="Times New Roman" w:cs="Times New Roman"/>
          <w:color w:val="auto"/>
          <w:highlight w:val="none"/>
          <w:lang w:val="en-US" w:eastAsia="zh-CN"/>
        </w:rPr>
        <w:t xml:space="preserve">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/次。本次扩建后</w:t>
      </w:r>
      <w:r>
        <w:rPr>
          <w:rFonts w:hint="eastAsia" w:ascii="Times New Roman" w:hAnsi="Times New Roman" w:cs="Times New Roman"/>
          <w:color w:val="auto"/>
          <w:highlight w:val="none"/>
          <w:lang w:val="en-US" w:eastAsia="zh-CN"/>
        </w:rPr>
        <w:t>拟</w:t>
      </w:r>
      <w:r>
        <w:rPr>
          <w:rFonts w:hint="default" w:ascii="Times New Roman" w:hAnsi="Times New Roman" w:cs="Times New Roman"/>
          <w:color w:val="auto"/>
          <w:highlight w:val="none"/>
          <w:lang w:val="en-US" w:eastAsia="zh-CN"/>
        </w:rPr>
        <w:t>新增初期雨水池1个，容积为</w:t>
      </w:r>
      <w:r>
        <w:rPr>
          <w:rFonts w:hint="eastAsia" w:cs="Times New Roman"/>
          <w:color w:val="auto"/>
          <w:highlight w:val="none"/>
          <w:lang w:val="en-US" w:eastAsia="zh-CN"/>
        </w:rPr>
        <w:t>100</w:t>
      </w:r>
      <w:r>
        <w:rPr>
          <w:rFonts w:hint="default" w:ascii="Times New Roman" w:hAnsi="Times New Roman" w:cs="Times New Roman"/>
          <w:color w:val="auto"/>
          <w:highlight w:val="none"/>
          <w:lang w:val="en-US" w:eastAsia="zh-CN"/>
        </w:rPr>
        <w:t xml:space="preserve"> m</w:t>
      </w:r>
      <w:r>
        <w:rPr>
          <w:rFonts w:hint="default" w:ascii="Times New Roman" w:hAnsi="Times New Roman" w:cs="Times New Roman"/>
          <w:color w:val="auto"/>
          <w:highlight w:val="none"/>
          <w:vertAlign w:val="superscript"/>
          <w:lang w:val="en-US" w:eastAsia="zh-CN"/>
        </w:rPr>
        <w:t>3</w:t>
      </w:r>
      <w:r>
        <w:rPr>
          <w:rFonts w:hint="eastAsia" w:cs="Times New Roman"/>
          <w:color w:val="auto"/>
          <w:highlight w:val="none"/>
          <w:vertAlign w:val="baseline"/>
          <w:lang w:val="en-US" w:eastAsia="zh-CN"/>
        </w:rPr>
        <w:t>，可满足初期雨水收集要求</w:t>
      </w:r>
      <w:r>
        <w:rPr>
          <w:rFonts w:hint="default" w:ascii="Times New Roman" w:hAnsi="Times New Roman" w:cs="Times New Roman"/>
          <w:color w:val="auto"/>
          <w:highlight w:val="none"/>
          <w:lang w:val="en-US" w:eastAsia="zh-CN"/>
        </w:rPr>
        <w:t>。项目所在区域雨水较丰富，初期雨水按照20次/年计，则初期雨水年收集量为</w:t>
      </w:r>
      <w:r>
        <w:rPr>
          <w:rFonts w:hint="eastAsia" w:cs="Times New Roman"/>
          <w:color w:val="auto"/>
          <w:highlight w:val="none"/>
          <w:lang w:val="en-US" w:eastAsia="zh-CN"/>
        </w:rPr>
        <w:t>1819</w:t>
      </w:r>
      <w:r>
        <w:rPr>
          <w:rFonts w:hint="default" w:ascii="Times New Roman" w:hAnsi="Times New Roman" w:cs="Times New Roman"/>
          <w:color w:val="auto"/>
          <w:highlight w:val="none"/>
          <w:lang w:val="en-US" w:eastAsia="zh-CN"/>
        </w:rPr>
        <w:t xml:space="preserve"> t，初期雨水主要污染物为COD、SS</w:t>
      </w:r>
      <w:r>
        <w:rPr>
          <w:rFonts w:hint="eastAsia" w:ascii="Times New Roman" w:hAnsi="Times New Roman" w:cs="Times New Roman"/>
          <w:color w:val="auto"/>
          <w:highlight w:val="none"/>
          <w:lang w:val="en-US" w:eastAsia="zh-CN"/>
        </w:rPr>
        <w:t>等</w:t>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）生活污水</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扩建工程新增生活污水量为16 t/d（5280 t/a），</w:t>
      </w:r>
      <w:r>
        <w:rPr>
          <w:rFonts w:hint="default" w:ascii="Times New Roman" w:hAnsi="Times New Roman" w:eastAsia="宋体" w:cs="Times New Roman"/>
          <w:color w:val="auto"/>
          <w:highlight w:val="none"/>
          <w:lang w:val="en-US" w:eastAsia="zh-CN"/>
        </w:rPr>
        <w:t>参考《给排水设计手册》（第五册 城镇排水）典型生活污水水质示例，生活污水中主要污染指标浓度</w:t>
      </w:r>
      <w:r>
        <w:rPr>
          <w:rFonts w:hint="eastAsia" w:cs="Times New Roman"/>
          <w:color w:val="auto"/>
          <w:highlight w:val="none"/>
          <w:lang w:val="en-US" w:eastAsia="zh-CN"/>
        </w:rPr>
        <w:t>选取</w:t>
      </w:r>
      <w:r>
        <w:rPr>
          <w:rFonts w:hint="default" w:ascii="Times New Roman" w:hAnsi="Times New Roman" w:eastAsia="宋体" w:cs="Times New Roman"/>
          <w:color w:val="auto"/>
          <w:highlight w:val="none"/>
          <w:lang w:val="en-US" w:eastAsia="zh-CN"/>
        </w:rPr>
        <w:t>COD：</w:t>
      </w:r>
      <w:r>
        <w:rPr>
          <w:rFonts w:hint="default" w:ascii="Times New Roman" w:hAnsi="Times New Roman" w:cs="Times New Roman"/>
          <w:color w:val="auto"/>
          <w:highlight w:val="none"/>
          <w:lang w:val="en-US" w:eastAsia="zh-CN"/>
        </w:rPr>
        <w:t>400</w:t>
      </w:r>
      <w:r>
        <w:rPr>
          <w:rFonts w:hint="default" w:ascii="Times New Roman" w:hAnsi="Times New Roman" w:eastAsia="宋体" w:cs="Times New Roman"/>
          <w:color w:val="auto"/>
          <w:highlight w:val="none"/>
          <w:lang w:val="en-US" w:eastAsia="zh-CN"/>
        </w:rPr>
        <w:t xml:space="preserve"> mg/L、BOD</w:t>
      </w:r>
      <w:r>
        <w:rPr>
          <w:rFonts w:hint="default" w:ascii="Times New Roman" w:hAnsi="Times New Roman" w:eastAsia="宋体" w:cs="Times New Roman"/>
          <w:color w:val="auto"/>
          <w:highlight w:val="none"/>
          <w:vertAlign w:val="subscript"/>
          <w:lang w:val="en-US" w:eastAsia="zh-CN"/>
        </w:rPr>
        <w:t>5</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 mg/L、SS：200 mg/L、氨氮：</w:t>
      </w:r>
      <w:r>
        <w:rPr>
          <w:rFonts w:hint="default" w:ascii="Times New Roman" w:hAnsi="Times New Roman" w:cs="Times New Roman"/>
          <w:color w:val="auto"/>
          <w:highlight w:val="none"/>
          <w:lang w:val="en-US" w:eastAsia="zh-CN"/>
        </w:rPr>
        <w:t>35</w:t>
      </w:r>
      <w:r>
        <w:rPr>
          <w:rFonts w:hint="default" w:ascii="Times New Roman" w:hAnsi="Times New Roman" w:eastAsia="宋体" w:cs="Times New Roman"/>
          <w:color w:val="auto"/>
          <w:highlight w:val="none"/>
          <w:lang w:val="en-US" w:eastAsia="zh-CN"/>
        </w:rPr>
        <w:t xml:space="preserve"> mg/L。生活污水</w:t>
      </w:r>
      <w:r>
        <w:rPr>
          <w:rFonts w:hint="default" w:ascii="Times New Roman" w:hAnsi="Times New Roman" w:cs="Times New Roman"/>
          <w:color w:val="auto"/>
          <w:highlight w:val="none"/>
          <w:lang w:val="en-US" w:eastAsia="zh-CN"/>
        </w:rPr>
        <w:t>经厂区内</w:t>
      </w:r>
      <w:r>
        <w:rPr>
          <w:rFonts w:hint="default" w:ascii="Times New Roman" w:hAnsi="Times New Roman" w:eastAsia="宋体" w:cs="Times New Roman"/>
          <w:color w:val="auto"/>
          <w:highlight w:val="none"/>
          <w:lang w:val="en-US" w:eastAsia="zh-CN"/>
        </w:rPr>
        <w:t>的化粪池处理</w:t>
      </w:r>
      <w:r>
        <w:rPr>
          <w:rFonts w:hint="default" w:ascii="Times New Roman" w:hAnsi="Times New Roman" w:cs="Times New Roman"/>
          <w:color w:val="auto"/>
          <w:highlight w:val="none"/>
          <w:lang w:val="en-US" w:eastAsia="zh-CN"/>
        </w:rPr>
        <w:t>达牙城镇污水处理厂进水水质标准</w:t>
      </w:r>
      <w:r>
        <w:rPr>
          <w:rFonts w:hint="default" w:ascii="Times New Roman" w:hAnsi="Times New Roman" w:eastAsia="宋体" w:cs="Times New Roman"/>
          <w:color w:val="auto"/>
          <w:highlight w:val="none"/>
          <w:lang w:val="en-US" w:eastAsia="zh-CN"/>
        </w:rPr>
        <w:t>后排入</w:t>
      </w:r>
      <w:r>
        <w:rPr>
          <w:rFonts w:hint="default" w:ascii="Times New Roman" w:hAnsi="Times New Roman" w:cs="Times New Roman"/>
          <w:color w:val="auto"/>
          <w:highlight w:val="none"/>
          <w:lang w:val="en-US" w:eastAsia="zh-CN"/>
        </w:rPr>
        <w:t>园区污水</w:t>
      </w:r>
      <w:r>
        <w:rPr>
          <w:rFonts w:hint="default" w:ascii="Times New Roman" w:hAnsi="Times New Roman" w:eastAsia="宋体" w:cs="Times New Roman"/>
          <w:color w:val="auto"/>
          <w:highlight w:val="none"/>
          <w:lang w:val="en-US" w:eastAsia="zh-CN"/>
        </w:rPr>
        <w:t>管网，</w:t>
      </w:r>
      <w:r>
        <w:rPr>
          <w:rFonts w:hint="default" w:ascii="Times New Roman" w:hAnsi="Times New Roman" w:cs="Times New Roman"/>
          <w:color w:val="auto"/>
          <w:highlight w:val="none"/>
          <w:lang w:val="en-US" w:eastAsia="zh-CN"/>
        </w:rPr>
        <w:t>纳入牙城镇污水处理厂深度处理，尾水排入东澳水库3#滞洪区。牙城镇污水处理厂</w:t>
      </w:r>
      <w:r>
        <w:rPr>
          <w:rFonts w:hint="default" w:ascii="Times New Roman" w:hAnsi="Times New Roman" w:eastAsia="宋体" w:cs="Times New Roman"/>
          <w:color w:val="auto"/>
          <w:highlight w:val="none"/>
          <w:lang w:val="en-US" w:eastAsia="zh-CN"/>
        </w:rPr>
        <w:t>尾水排放执行《</w:t>
      </w:r>
      <w:r>
        <w:rPr>
          <w:rFonts w:hint="default" w:ascii="Times New Roman" w:hAnsi="Times New Roman" w:cs="Times New Roman"/>
          <w:color w:val="auto"/>
          <w:highlight w:val="none"/>
          <w:lang w:val="en-US" w:eastAsia="zh-CN"/>
        </w:rPr>
        <w:t>城镇</w:t>
      </w:r>
      <w:r>
        <w:rPr>
          <w:rFonts w:hint="default" w:ascii="Times New Roman" w:hAnsi="Times New Roman" w:eastAsia="宋体" w:cs="Times New Roman"/>
          <w:color w:val="auto"/>
          <w:highlight w:val="none"/>
          <w:lang w:val="en-US" w:eastAsia="zh-CN"/>
        </w:rPr>
        <w:t>污水处理厂污染物排放标准》（GB18918-2002）中一级</w:t>
      </w:r>
      <w:r>
        <w:rPr>
          <w:rFonts w:hint="default" w:ascii="Times New Roman" w:hAnsi="Times New Roman" w:cs="Times New Roman"/>
          <w:color w:val="auto"/>
          <w:highlight w:val="none"/>
          <w:lang w:val="en-US" w:eastAsia="zh-CN"/>
        </w:rPr>
        <w:t>B</w:t>
      </w:r>
      <w:r>
        <w:rPr>
          <w:rFonts w:hint="default" w:ascii="Times New Roman" w:hAnsi="Times New Roman" w:eastAsia="宋体" w:cs="Times New Roman"/>
          <w:color w:val="auto"/>
          <w:highlight w:val="none"/>
          <w:lang w:val="en-US" w:eastAsia="zh-CN"/>
        </w:rPr>
        <w:t>标准。</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参考环评手册中《常用污水处理设备及去除率》，化粪池对污水的处理效率一般为：COD：15%、BOD</w:t>
      </w:r>
      <w:r>
        <w:rPr>
          <w:rFonts w:hint="default" w:ascii="Times New Roman" w:hAnsi="Times New Roman" w:eastAsia="宋体" w:cs="Times New Roman"/>
          <w:color w:val="auto"/>
          <w:kern w:val="0"/>
          <w:sz w:val="15"/>
          <w:szCs w:val="15"/>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：9%、氨氮：3%、SS：30%</w:t>
      </w:r>
      <w:r>
        <w:rPr>
          <w:rFonts w:hint="default" w:ascii="Times New Roman" w:hAnsi="Times New Roman" w:eastAsia="宋体" w:cs="Times New Roman"/>
          <w:color w:val="auto"/>
          <w:highlight w:val="none"/>
          <w:lang w:val="en-US" w:eastAsia="zh-CN"/>
        </w:rPr>
        <w:t>。</w:t>
      </w:r>
    </w:p>
    <w:p>
      <w:pPr>
        <w:bidi w:val="0"/>
        <w:rPr>
          <w:rFonts w:hint="default" w:cs="Times New Roman"/>
          <w:color w:val="auto"/>
          <w:szCs w:val="20"/>
          <w:highlight w:val="none"/>
          <w:lang w:val="en-US" w:eastAsia="zh-CN"/>
        </w:rPr>
      </w:pPr>
      <w:r>
        <w:rPr>
          <w:rFonts w:hint="eastAsia" w:cs="Times New Roman"/>
          <w:color w:val="auto"/>
          <w:szCs w:val="20"/>
          <w:highlight w:val="none"/>
          <w:lang w:val="en-US" w:eastAsia="zh-CN"/>
        </w:rPr>
        <w:t>扩建工程</w:t>
      </w:r>
      <w:r>
        <w:rPr>
          <w:rFonts w:hint="eastAsia"/>
          <w:color w:val="auto"/>
          <w:lang w:val="en-US" w:eastAsia="zh-CN"/>
        </w:rPr>
        <w:t>废水污染物产排情况详见</w:t>
      </w:r>
      <w:r>
        <w:rPr>
          <w:rFonts w:hint="eastAsia"/>
          <w:color w:val="auto"/>
          <w:lang w:val="en-US" w:eastAsia="zh-CN"/>
        </w:rPr>
        <w:fldChar w:fldCharType="begin"/>
      </w:r>
      <w:r>
        <w:rPr>
          <w:rFonts w:hint="eastAsia"/>
          <w:color w:val="auto"/>
          <w:lang w:val="en-US" w:eastAsia="zh-CN"/>
        </w:rPr>
        <w:instrText xml:space="preserve"> REF _Ref16801 \n \h </w:instrText>
      </w:r>
      <w:r>
        <w:rPr>
          <w:rFonts w:hint="eastAsia"/>
          <w:color w:val="auto"/>
          <w:lang w:val="en-US" w:eastAsia="zh-CN"/>
        </w:rPr>
        <w:fldChar w:fldCharType="separate"/>
      </w:r>
      <w:r>
        <w:rPr>
          <w:rFonts w:hint="eastAsia"/>
          <w:color w:val="auto"/>
          <w:lang w:val="en-US" w:eastAsia="zh-CN"/>
        </w:rPr>
        <w:t>表3.6-7</w:t>
      </w:r>
      <w:r>
        <w:rPr>
          <w:rFonts w:hint="eastAsia"/>
          <w:color w:val="auto"/>
          <w:lang w:val="en-US" w:eastAsia="zh-CN"/>
        </w:rPr>
        <w:fldChar w:fldCharType="end"/>
      </w:r>
      <w:r>
        <w:rPr>
          <w:rFonts w:hint="eastAsia" w:cs="Times New Roman"/>
          <w:color w:val="auto"/>
          <w:szCs w:val="20"/>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）扩建后全厂废水排放量</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项目扩建工程完成后，全厂污染物产排情况详见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_Ref4385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eastAsia="宋体"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color w:val="auto"/>
          <w:lang w:val="en-US" w:eastAsia="zh-CN"/>
        </w:rPr>
      </w:pPr>
      <w:bookmarkStart w:id="369" w:name="_Ref27727"/>
      <w:r>
        <w:rPr>
          <w:rFonts w:hint="eastAsia"/>
          <w:color w:val="auto"/>
          <w:lang w:val="en-US" w:eastAsia="zh-CN"/>
        </w:rPr>
        <w:t>扩建工程生产废水污染物产生情况表</w:t>
      </w:r>
      <w:bookmarkEnd w:id="369"/>
    </w:p>
    <w:p>
      <w:pPr>
        <w:rPr>
          <w:rFonts w:hint="default"/>
          <w:color w:val="auto"/>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0" w:name="_Ref16801"/>
      <w:r>
        <w:rPr>
          <w:rFonts w:hint="default" w:ascii="Times New Roman" w:hAnsi="Times New Roman" w:cs="Times New Roman"/>
          <w:color w:val="auto"/>
          <w:highlight w:val="none"/>
          <w:lang w:val="en-US" w:eastAsia="zh-CN"/>
        </w:rPr>
        <w:t>扩建工程生产废水</w:t>
      </w:r>
      <w:r>
        <w:rPr>
          <w:rFonts w:hint="eastAsia" w:cs="Times New Roman"/>
          <w:color w:val="auto"/>
          <w:highlight w:val="none"/>
          <w:lang w:val="en-US" w:eastAsia="zh-CN"/>
        </w:rPr>
        <w:t>污染源源强核算结果及相关参数</w:t>
      </w:r>
      <w:r>
        <w:rPr>
          <w:rFonts w:hint="default" w:ascii="Times New Roman" w:hAnsi="Times New Roman" w:cs="Times New Roman"/>
          <w:color w:val="auto"/>
          <w:highlight w:val="none"/>
          <w:lang w:val="en-US" w:eastAsia="zh-CN"/>
        </w:rPr>
        <w:t>一览表</w:t>
      </w:r>
      <w:bookmarkEnd w:id="370"/>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1" w:name="_Ref4385"/>
      <w:r>
        <w:rPr>
          <w:rFonts w:hint="default" w:ascii="Times New Roman" w:hAnsi="Times New Roman" w:cs="Times New Roman"/>
          <w:color w:val="auto"/>
          <w:highlight w:val="none"/>
          <w:lang w:val="en-US" w:eastAsia="zh-CN"/>
        </w:rPr>
        <w:t>扩建后全厂水污染产排情况一览表</w:t>
      </w:r>
      <w:bookmarkEnd w:id="371"/>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运营期产生的废气主要有拆包筛选、破碎过程产生的粉尘、摩擦造粒产生的非甲烷总烃、颗粒物、前纺（真空增粘、纺丝）、后纺（牵伸、水浴、热定型）过程产生的非甲烷总烃、天然气锅炉烟气、污水处理站产生的恶臭以及纺丝组件煅烧废气等。</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（1）粉尘</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①拆包筛选粉尘</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原料在拆包筛选过程会因</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lang w:val="en-US" w:eastAsia="zh-CN"/>
        </w:rPr>
        <w:t>抖动及拆包过程产生少量粉尘，该过程粉尘可通过车间洒水降尘，对环境影响很小，本次评价不做定量分析。</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②破碎粉尘</w:t>
      </w:r>
    </w:p>
    <w:p>
      <w:pPr>
        <w:bidi w:val="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highlight w:val="none"/>
          <w:lang w:val="en-US" w:eastAsia="zh-CN"/>
        </w:rPr>
        <w:t>经过筛选后的原料以及回用的废熔块、废丝经粉碎机破碎，该过程会产生粉尘颗粒物，</w:t>
      </w:r>
      <w:r>
        <w:rPr>
          <w:rFonts w:hint="default" w:ascii="Times New Roman" w:hAnsi="Times New Roman" w:cs="Times New Roman"/>
          <w:color w:val="auto"/>
          <w:sz w:val="24"/>
          <w:highlight w:val="none"/>
          <w:lang w:val="en-US" w:eastAsia="zh-CN"/>
        </w:rPr>
        <w:t>颗粒物的排放系数根据生态环境部于2021年6月9日发布的《排放源统计调查产排污核算方法和系数手册》（42废弃资源综合利用行业系数手册）进行计算，产生系数详见</w:t>
      </w:r>
      <w:r>
        <w:rPr>
          <w:rFonts w:hint="default" w:ascii="Times New Roman" w:hAnsi="Times New Roman" w:cs="Times New Roman"/>
          <w:color w:val="auto"/>
          <w:sz w:val="24"/>
          <w:highlight w:val="none"/>
          <w:lang w:val="en-US" w:eastAsia="zh-CN"/>
        </w:rPr>
        <w:fldChar w:fldCharType="begin"/>
      </w:r>
      <w:r>
        <w:rPr>
          <w:rFonts w:hint="default" w:ascii="Times New Roman" w:hAnsi="Times New Roman" w:cs="Times New Roman"/>
          <w:color w:val="auto"/>
          <w:sz w:val="24"/>
          <w:highlight w:val="none"/>
          <w:lang w:val="en-US" w:eastAsia="zh-CN"/>
        </w:rPr>
        <w:instrText xml:space="preserve"> REF _Ref18841 \n \h </w:instrText>
      </w:r>
      <w:r>
        <w:rPr>
          <w:rFonts w:hint="default" w:ascii="Times New Roman" w:hAnsi="Times New Roman" w:cs="Times New Roman"/>
          <w:color w:val="auto"/>
          <w:sz w:val="24"/>
          <w:highlight w:val="none"/>
          <w:lang w:val="en-US" w:eastAsia="zh-CN"/>
        </w:rPr>
        <w:fldChar w:fldCharType="separate"/>
      </w:r>
      <w:r>
        <w:rPr>
          <w:rFonts w:hint="default" w:ascii="Times New Roman" w:hAnsi="Times New Roman" w:cs="Times New Roman"/>
          <w:color w:val="auto"/>
          <w:sz w:val="24"/>
          <w:highlight w:val="none"/>
          <w:lang w:val="en-US" w:eastAsia="zh-CN"/>
        </w:rPr>
        <w:t>表3.6-9</w:t>
      </w:r>
      <w:r>
        <w:rPr>
          <w:rFonts w:hint="default" w:ascii="Times New Roman" w:hAnsi="Times New Roman" w:cs="Times New Roman"/>
          <w:color w:val="auto"/>
          <w:sz w:val="24"/>
          <w:highlight w:val="none"/>
          <w:lang w:val="en-US" w:eastAsia="zh-CN"/>
        </w:rPr>
        <w:fldChar w:fldCharType="end"/>
      </w:r>
      <w:r>
        <w:rPr>
          <w:rFonts w:hint="default" w:ascii="Times New Roman" w:hAnsi="Times New Roman" w:cs="Times New Roman"/>
          <w:color w:val="auto"/>
          <w:sz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2" w:name="_Ref18841"/>
      <w:r>
        <w:rPr>
          <w:rFonts w:hint="default" w:ascii="Times New Roman" w:hAnsi="Times New Roman" w:cs="Times New Roman"/>
          <w:color w:val="auto"/>
          <w:highlight w:val="none"/>
          <w:lang w:val="en-US" w:eastAsia="zh-CN"/>
        </w:rPr>
        <w:t>颗粒物产生系数</w:t>
      </w:r>
      <w:bookmarkEnd w:id="372"/>
    </w:p>
    <w:tbl>
      <w:tblPr>
        <w:tblStyle w:val="18"/>
        <w:tblW w:w="928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1763"/>
        <w:gridCol w:w="1548"/>
        <w:gridCol w:w="1548"/>
        <w:gridCol w:w="1548"/>
        <w:gridCol w:w="15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原料名称</w:t>
            </w:r>
          </w:p>
        </w:tc>
        <w:tc>
          <w:tcPr>
            <w:tcW w:w="176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工艺名称</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规模等级</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污染物指标</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单位</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废布/废纺织品</w:t>
            </w:r>
          </w:p>
        </w:tc>
        <w:tc>
          <w:tcPr>
            <w:tcW w:w="176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破碎</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所有规模</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颗粒物</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克/吨-原料</w:t>
            </w:r>
          </w:p>
        </w:tc>
        <w:tc>
          <w:tcPr>
            <w:tcW w:w="154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375</w:t>
            </w:r>
          </w:p>
        </w:tc>
      </w:tr>
    </w:tbl>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本项目年消耗</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lang w:val="en-US" w:eastAsia="zh-CN"/>
        </w:rPr>
        <w:t>约为5.15万吨，则破碎过程颗粒物产生量为19.3125 t/a（2.438 kg/h），建设单位拟在每条生产线上安装1套布袋除尘器，用于收集处理破碎过程产生的颗粒物，采用半密闭收集，收集效率按95%计</w:t>
      </w:r>
      <w:r>
        <w:rPr>
          <w:rFonts w:hint="eastAsia" w:cs="Times New Roman"/>
          <w:color w:val="auto"/>
          <w:highlight w:val="none"/>
          <w:lang w:val="en-US" w:eastAsia="zh-CN"/>
        </w:rPr>
        <w:t>（根据《袋式除尘工程通用技术规范》（HJ2020-2012）中6.2.8 半密闭罩对烟气（尘）的捕集率不低于95%）</w:t>
      </w:r>
      <w:r>
        <w:rPr>
          <w:rFonts w:hint="default" w:ascii="Times New Roman" w:hAnsi="Times New Roman" w:cs="Times New Roman"/>
          <w:color w:val="auto"/>
          <w:highlight w:val="none"/>
          <w:lang w:val="en-US" w:eastAsia="zh-CN"/>
        </w:rPr>
        <w:t>，处理效率按99%计，风机风量为8000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/h，则破碎过程颗粒物无组织排放量为1.149 t/a，排放速率为0.145 kg/h。</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（2）摩擦造粒废气</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摩擦造粒是通过摩擦机把</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vertAlign w:val="baseline"/>
          <w:lang w:val="en-US" w:eastAsia="zh-CN"/>
        </w:rPr>
        <w:t>加工到</w:t>
      </w:r>
      <w:r>
        <w:rPr>
          <w:rFonts w:hint="eastAsia" w:cs="Times New Roman"/>
          <w:color w:val="auto"/>
          <w:highlight w:val="none"/>
          <w:vertAlign w:val="baseline"/>
          <w:lang w:val="en-US" w:eastAsia="zh-CN"/>
        </w:rPr>
        <w:t>2</w:t>
      </w:r>
      <w:r>
        <w:rPr>
          <w:rFonts w:hint="default" w:ascii="Times New Roman" w:hAnsi="Times New Roman" w:cs="Times New Roman"/>
          <w:color w:val="auto"/>
          <w:highlight w:val="none"/>
          <w:vertAlign w:val="baseline"/>
          <w:lang w:val="en-US" w:eastAsia="zh-CN"/>
        </w:rPr>
        <w:t>20 ℃，使原料部分熔融，结粒。</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vertAlign w:val="baseline"/>
          <w:lang w:val="en-US" w:eastAsia="zh-CN"/>
        </w:rPr>
        <w:t>在摩擦机内经高速旋转的转刀刃的剪切作用，使物料很快被切成碎片，切碎后的料或片在转刀盘的离心力作用下沿机体内壁面流动，同时受下浆作用物料又上下翻动，由四周向机体中心方向运动，由于在高速下物料本身之间的摩擦以及与机壁和刀片的摩擦产生了大量摩擦热，使物料温度迅速上升达到半塑化状态，互相粘连成小块，然后经转刀刃和定刀刃间的破碎作用使之切碎成颗粒。摩擦造粒过程中会产生会产生颗粒物，高温也带来油脂等有机废气，</w:t>
      </w:r>
      <w:r>
        <w:rPr>
          <w:rFonts w:hint="default" w:ascii="Times New Roman" w:hAnsi="Times New Roman" w:cs="Times New Roman"/>
          <w:color w:val="auto"/>
          <w:highlight w:val="none"/>
          <w:lang w:val="en-US" w:eastAsia="zh-CN"/>
        </w:rPr>
        <w:t>保证机械设备的良好运转</w:t>
      </w:r>
      <w:r>
        <w:rPr>
          <w:rFonts w:hint="default" w:ascii="Times New Roman" w:hAnsi="Times New Roman" w:cs="Times New Roman"/>
          <w:color w:val="auto"/>
          <w:highlight w:val="none"/>
          <w:vertAlign w:val="baseline"/>
          <w:lang w:val="en-US" w:eastAsia="zh-CN"/>
        </w:rPr>
        <w:t>，以1%比例加水，降温过程中产生水蒸气。因此，造粒过程中产生的废气主要为颗粒物、水蒸气及有机废气。</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本项目使用的原料为</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vertAlign w:val="baseline"/>
          <w:lang w:val="en-US" w:eastAsia="zh-CN"/>
        </w:rPr>
        <w:t>，涤纶的的基本组成物质是聚对苯二甲酸乙二醇酯，因分子链上存在大量酯基故称聚酯纤维（PET），其长链分子的化学结构式H(OCH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CCOCO)NOCH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CH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OH，用于纤维的聚酯相对分子量一般在18000~25000左右，其中还有极少量的单体（对苯二甲酸、乙二醇）和低聚物（对苯二甲酸双羟乙酯）存在。</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根据文献资料，西安交通大学 陈曦等在绝缘材料上发表的《聚酯的热分析与热分解动力学的研究》（[J].2009，42（3））；中山大学高分子研究所 陈玉君等在合成纤维工业上发表的《聚酯高温稳定性的热重-红外光谱联用分析》（[J].第23卷第6期，2000年12月）），PET在静态空气情况下，340~460℃温度区间内开始第一阶段热分解；在476.55~580℃进行第二阶段热分解，300℃以下基本无分解失重，本项目摩擦造粒过程温度为100~120 ℃，因此在该条件下PET是热稳定的，还不到热分解的温度，考虑到本项目采用的是</w:t>
      </w:r>
      <w:r>
        <w:rPr>
          <w:rFonts w:hint="default" w:ascii="Times New Roman" w:hAnsi="Times New Roman" w:cs="Times New Roman"/>
          <w:color w:val="auto"/>
          <w:sz w:val="24"/>
          <w:szCs w:val="24"/>
          <w:highlight w:val="none"/>
          <w:lang w:val="en-US" w:eastAsia="zh-CN"/>
        </w:rPr>
        <w:t>涤纶织物下脚料</w:t>
      </w:r>
      <w:r>
        <w:rPr>
          <w:rFonts w:hint="default" w:ascii="Times New Roman" w:hAnsi="Times New Roman" w:cs="Times New Roman"/>
          <w:color w:val="auto"/>
          <w:highlight w:val="none"/>
          <w:vertAlign w:val="baseline"/>
          <w:lang w:val="en-US" w:eastAsia="zh-CN"/>
        </w:rPr>
        <w:t>，成分较复杂，摩擦造粒过程中产生的有机废气主要为PET表面油脂杂质及少量PET的单体等废气（主要为烯烃、链烷烃、环烷烃、对苯二甲酸、乙二醇等，这些指标在《合成树脂工业污染物排放标准》中均无单项指标限值要求，因此本次评价摩擦造粒过程产生的有机废气按非甲烷总烃计）。</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摩擦造粒过程产生的废气源强通过类比现有工程</w:t>
      </w:r>
      <w:r>
        <w:rPr>
          <w:rFonts w:hint="default" w:ascii="Times New Roman" w:hAnsi="Times New Roman" w:eastAsia="宋体" w:cs="Times New Roman"/>
          <w:color w:val="auto"/>
          <w:sz w:val="24"/>
          <w:szCs w:val="24"/>
          <w:highlight w:val="none"/>
          <w:lang w:val="en-US" w:eastAsia="zh-CN"/>
        </w:rPr>
        <w:t>《福建闽宏纤维有限公司年产3万吨的PET再生纤维（二期工程）项目竣工环境保护验收监测报告》中委托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于2021年4月</w:t>
      </w:r>
      <w:r>
        <w:rPr>
          <w:rFonts w:hint="default" w:ascii="Times New Roman" w:hAnsi="Times New Roman" w:eastAsia="宋体" w:cs="Times New Roman"/>
          <w:color w:val="auto"/>
          <w:highlight w:val="none"/>
          <w:lang w:val="en-US" w:eastAsia="zh-CN"/>
        </w:rPr>
        <w:t>15日~2021年4月16日</w:t>
      </w:r>
      <w:r>
        <w:rPr>
          <w:rFonts w:hint="default" w:ascii="Times New Roman" w:hAnsi="Times New Roman" w:cs="Times New Roman"/>
          <w:color w:val="auto"/>
          <w:highlight w:val="none"/>
          <w:lang w:val="en-US" w:eastAsia="zh-CN"/>
        </w:rPr>
        <w:t>对2号厂区造粒生产线的废气处理设施进口监测数据，现有工程二期造粒生产线设计产能为年产1.011万吨涤纶粒子，监测时工况为87.2%，该造粒生产线的生产工艺流程、原辅材料与本次扩建工程一致，因此类比可行。具体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_Ref9624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表3.6-10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3" w:name="_Ref9624"/>
      <w:r>
        <w:rPr>
          <w:rFonts w:hint="default" w:ascii="Times New Roman" w:hAnsi="Times New Roman" w:cs="Times New Roman"/>
          <w:color w:val="auto"/>
          <w:highlight w:val="none"/>
          <w:lang w:val="en-US" w:eastAsia="zh-CN"/>
        </w:rPr>
        <w:t>摩擦造粒废气</w:t>
      </w:r>
      <w:bookmarkEnd w:id="373"/>
      <w:r>
        <w:rPr>
          <w:rFonts w:hint="default" w:ascii="Times New Roman" w:hAnsi="Times New Roman" w:cs="Times New Roman"/>
          <w:color w:val="auto"/>
          <w:highlight w:val="none"/>
          <w:lang w:val="en-US" w:eastAsia="zh-CN"/>
        </w:rPr>
        <w:t>类比源强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vertAlign w:val="baseline"/>
          <w:lang w:val="en-US" w:eastAsia="zh-CN"/>
        </w:rPr>
        <w:t>扩建项目拟在摩擦机上方分别设置半密闭罩（考虑集气罩为直径1 m的圆形罩，罩口距离污染源的高度为0.2 m，风速为0.8 m/s，总风机量35000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/h），收集效率按95%计，收集后的废气一同进入“</w:t>
      </w:r>
      <w:r>
        <w:rPr>
          <w:rFonts w:hint="default" w:ascii="Times New Roman" w:hAnsi="Times New Roman" w:cs="Times New Roman"/>
          <w:color w:val="auto"/>
          <w:highlight w:val="none"/>
          <w:lang w:val="en-US" w:eastAsia="zh-CN"/>
        </w:rPr>
        <w:t>布袋除尘器+碱液喷淋+除雾器+低温等离子</w:t>
      </w:r>
      <w:r>
        <w:rPr>
          <w:rFonts w:hint="default" w:ascii="Times New Roman" w:hAnsi="Times New Roman" w:cs="Times New Roman"/>
          <w:color w:val="auto"/>
          <w:highlight w:val="none"/>
          <w:vertAlign w:val="baseline"/>
          <w:lang w:val="en-US" w:eastAsia="zh-CN"/>
        </w:rPr>
        <w:t>”处理后引至屋顶排放（颗粒物去除效率按99%计，非甲烷总烃去除效率按90%计），排放高度为32 m。</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（3）前纺废气</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在前纺生产工艺中，挤压熔融至纺丝工序均在密闭状态下进行，挤压熔融温度控制在240℃~270℃，熔体纺丝冷却风温度控制在20℃~30℃；真空增粘在密闭设备中进行，温度控制在260℃~280℃。根据前文文献研究情况，PET在此时无热分解，即不会因原料分解产生有机废气，但不可避免PET中含有少量PET表面油脂杂质及PET的单体等在挤压熔融、真空增粘高温加热条件下产生成分较复杂的有机废气</w:t>
      </w:r>
      <w:r>
        <w:rPr>
          <w:rFonts w:hint="default" w:ascii="Times New Roman" w:hAnsi="Times New Roman" w:cs="Times New Roman"/>
          <w:color w:val="auto"/>
          <w:highlight w:val="none"/>
          <w:vertAlign w:val="baseline"/>
          <w:lang w:val="en-US" w:eastAsia="zh-CN"/>
        </w:rPr>
        <w:t>（</w:t>
      </w:r>
      <w:r>
        <w:rPr>
          <w:rFonts w:hint="eastAsia" w:cs="Times New Roman"/>
          <w:color w:val="auto"/>
          <w:highlight w:val="none"/>
          <w:vertAlign w:val="baseline"/>
          <w:lang w:val="en-US" w:eastAsia="zh-CN"/>
        </w:rPr>
        <w:t>主要</w:t>
      </w:r>
      <w:r>
        <w:rPr>
          <w:rFonts w:hint="default" w:ascii="Times New Roman" w:hAnsi="Times New Roman" w:cs="Times New Roman"/>
          <w:color w:val="auto"/>
          <w:highlight w:val="none"/>
          <w:vertAlign w:val="baseline"/>
          <w:lang w:val="en-US" w:eastAsia="zh-CN"/>
        </w:rPr>
        <w:t>以非甲烷总烃</w:t>
      </w:r>
      <w:r>
        <w:rPr>
          <w:rFonts w:hint="eastAsia" w:cs="Times New Roman"/>
          <w:color w:val="auto"/>
          <w:highlight w:val="none"/>
          <w:vertAlign w:val="baseline"/>
          <w:lang w:val="en-US" w:eastAsia="zh-CN"/>
        </w:rPr>
        <w:t>、乙醛</w:t>
      </w:r>
      <w:r>
        <w:rPr>
          <w:rFonts w:hint="default" w:ascii="Times New Roman" w:hAnsi="Times New Roman" w:cs="Times New Roman"/>
          <w:color w:val="auto"/>
          <w:highlight w:val="none"/>
          <w:vertAlign w:val="baseline"/>
          <w:lang w:val="en-US" w:eastAsia="zh-CN"/>
        </w:rPr>
        <w:t>计</w:t>
      </w:r>
      <w:r>
        <w:rPr>
          <w:rFonts w:hint="eastAsia" w:cs="Times New Roman"/>
          <w:color w:val="auto"/>
          <w:highlight w:val="none"/>
          <w:vertAlign w:val="baseline"/>
          <w:lang w:val="en-US" w:eastAsia="zh-CN"/>
        </w:rPr>
        <w:t>，其</w:t>
      </w:r>
      <w:r>
        <w:rPr>
          <w:rFonts w:hint="eastAsia" w:ascii="Times New Roman" w:hAnsi="Times New Roman" w:cs="Times New Roman"/>
          <w:color w:val="auto"/>
          <w:highlight w:val="none"/>
          <w:vertAlign w:val="baseline"/>
          <w:lang w:val="en-US" w:eastAsia="zh-CN"/>
        </w:rPr>
        <w:t>中，</w:t>
      </w:r>
      <w:r>
        <w:rPr>
          <w:rFonts w:hint="default" w:ascii="Times New Roman" w:hAnsi="Times New Roman" w:cs="Times New Roman"/>
          <w:color w:val="auto"/>
          <w:highlight w:val="none"/>
          <w:vertAlign w:val="baseline"/>
          <w:lang w:val="en-US" w:eastAsia="zh-CN"/>
        </w:rPr>
        <w:t>由于本项目并未加入乙二醇进行解聚，不会因脱水产生乙醛</w:t>
      </w:r>
      <w:r>
        <w:rPr>
          <w:rFonts w:hint="eastAsia" w:cs="Times New Roman"/>
          <w:color w:val="auto"/>
          <w:highlight w:val="none"/>
          <w:vertAlign w:val="baseline"/>
          <w:lang w:val="en-US" w:eastAsia="zh-CN"/>
        </w:rPr>
        <w:t>，但考虑产生的有机废气成分较复杂，故</w:t>
      </w:r>
      <w:r>
        <w:rPr>
          <w:rFonts w:hint="eastAsia" w:ascii="Times New Roman" w:hAnsi="Times New Roman" w:cs="Times New Roman"/>
          <w:color w:val="auto"/>
          <w:highlight w:val="none"/>
          <w:vertAlign w:val="baseline"/>
          <w:lang w:val="en-US" w:eastAsia="zh-CN"/>
        </w:rPr>
        <w:t>本</w:t>
      </w:r>
      <w:r>
        <w:rPr>
          <w:rFonts w:hint="eastAsia" w:cs="Times New Roman"/>
          <w:color w:val="auto"/>
          <w:highlight w:val="none"/>
          <w:vertAlign w:val="baseline"/>
          <w:lang w:val="en-US" w:eastAsia="zh-CN"/>
        </w:rPr>
        <w:t>次评价不对乙醛进行定量分析，建议建设单位可将乙醛纳入环境管理与监测计划</w:t>
      </w:r>
      <w:r>
        <w:rPr>
          <w:rFonts w:hint="default" w:ascii="Times New Roman" w:hAnsi="Times New Roman" w:cs="Times New Roman"/>
          <w:color w:val="auto"/>
          <w:highlight w:val="none"/>
          <w:vertAlign w:val="baseline"/>
          <w:lang w:val="en-US" w:eastAsia="zh-CN"/>
        </w:rPr>
        <w:t>）。</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参考我国《塑料加工手册》及美国环保局编写的《工业污染源调查与研究》等相关资料，熔融挤出废气的产生量基本在原料用量的0.01%~0.04%之间，本评价挤压熔融废气产生量按原料用量的0.025%计，真空增粘废气产生量按原料用量的0.01%计，项目涤纶粒子（切片）用量约为5.13万吨，则挤压熔融非甲烷总烃产生量为12.875 t/a，真空增粘非甲烷总烃产生量为5.13 t/a。</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根据建设单位提供资料，挤压熔融、真空增粘在密闭设备中进行，挤压熔融工序产生的有机废气由环吹风装置出口经纺丝甬道后在甬道下部出丝口排出，项目拟在纺丝甬道出丝口，采取负压方式进行集气，废气收集效率按90%计；拟在真空增粘出气口处设置废气收集装置，对有机废气进行收集，收集效率按90%计，挤压熔融、真空增粘废气经收集后一并引入“静电油烟吸附+低温等离子”处理后引至屋顶排放，排放高度为32 m，处理效率按90%计。</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（4）后纺废气</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了使丝束更加柔软、光滑，后纺工艺需利用纺丝油剂对卷绕后的丝束上油。根据建设单位提供资料，纺丝油剂主要成分为脂肪醇聚酯乙烯醚磷酸酯盐、脂肪醇聚氧乙烯醚、脂肪胺聚氧乙烯醚，常温下不易挥发，因此在浸油和一道牵伸过程油剂不挥发，基本无有机废气产生。在经过水浴、二道牵伸、热定型后，温度均不同程度升高，该过程油剂会挥发产生少量有机废气。根据建设单位提供资料，项目纺丝油剂年用量为40 t/a，类比同类型企业，纺丝油剂挥发量在2%~5%之间，本次评价取3%，则后纺挥发出的有机废气为1.6 t/a。</w:t>
      </w:r>
      <w:r>
        <w:rPr>
          <w:rFonts w:hint="default" w:ascii="Times New Roman" w:hAnsi="Times New Roman" w:cs="Times New Roman"/>
          <w:color w:val="auto"/>
          <w:highlight w:val="none"/>
          <w:lang w:val="en-US" w:eastAsia="zh-CN"/>
        </w:rPr>
        <w:t>本次评价要求建设单位，应对热定型机台进行密闭，对于水浴槽、牵伸过程无法密闭的应在上方设置集气罩。</w:t>
      </w:r>
      <w:r>
        <w:rPr>
          <w:rFonts w:hint="default" w:ascii="Times New Roman" w:hAnsi="Times New Roman" w:cs="Times New Roman"/>
          <w:color w:val="auto"/>
          <w:highlight w:val="none"/>
          <w:lang w:val="en-US" w:eastAsia="zh-CN"/>
        </w:rPr>
        <w:t>因此，本次评价废气收集效率按90%，废气收集后与前纺废气一并</w:t>
      </w:r>
      <w:r>
        <w:rPr>
          <w:rFonts w:hint="default" w:ascii="Times New Roman" w:hAnsi="Times New Roman" w:cs="Times New Roman"/>
          <w:color w:val="auto"/>
          <w:highlight w:val="none"/>
          <w:vertAlign w:val="baseline"/>
          <w:lang w:val="en-US" w:eastAsia="zh-CN"/>
        </w:rPr>
        <w:t>引入</w:t>
      </w:r>
      <w:r>
        <w:rPr>
          <w:rFonts w:hint="eastAsia" w:cs="Times New Roman"/>
          <w:color w:val="auto"/>
          <w:highlight w:val="none"/>
          <w:vertAlign w:val="baseline"/>
          <w:lang w:val="en-US" w:eastAsia="zh-CN"/>
        </w:rPr>
        <w:t>同一套废气治理设施（</w:t>
      </w:r>
      <w:r>
        <w:rPr>
          <w:rFonts w:hint="default" w:ascii="Times New Roman" w:hAnsi="Times New Roman" w:cs="Times New Roman"/>
          <w:color w:val="auto"/>
          <w:highlight w:val="none"/>
          <w:vertAlign w:val="baseline"/>
          <w:lang w:val="en-US" w:eastAsia="zh-CN"/>
        </w:rPr>
        <w:t>“静电油烟吸附+低温等离子”</w:t>
      </w:r>
      <w:r>
        <w:rPr>
          <w:rFonts w:hint="eastAsia" w:cs="Times New Roman"/>
          <w:color w:val="auto"/>
          <w:highlight w:val="none"/>
          <w:vertAlign w:val="baseline"/>
          <w:lang w:val="en-US" w:eastAsia="zh-CN"/>
        </w:rPr>
        <w:t>）</w:t>
      </w:r>
      <w:r>
        <w:rPr>
          <w:rFonts w:hint="default" w:ascii="Times New Roman" w:hAnsi="Times New Roman" w:cs="Times New Roman"/>
          <w:color w:val="auto"/>
          <w:highlight w:val="none"/>
          <w:vertAlign w:val="baseline"/>
          <w:lang w:val="en-US" w:eastAsia="zh-CN"/>
        </w:rPr>
        <w:t>处理后引至屋顶排放，排放高度为32 m，处理效率按90%计。</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（5）锅炉烟气</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本次扩建新增</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台天然气锅炉，</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用1备（其中1台8 t/h正常使用，1台6 t/h为备用）。</w:t>
      </w: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sz w:val="24"/>
          <w:highlight w:val="none"/>
          <w:lang w:val="en-US" w:eastAsia="zh-CN"/>
        </w:rPr>
        <w:t>生态环境部于2021年6月9日发布的《排放源统计调查产排污核算方法和系数手册》（锅炉产排污量核算系数手册）</w:t>
      </w:r>
      <w:r>
        <w:rPr>
          <w:rFonts w:hint="default" w:ascii="Times New Roman" w:hAnsi="Times New Roman" w:cs="Times New Roman"/>
          <w:color w:val="auto"/>
          <w:highlight w:val="none"/>
          <w:lang w:val="en-US" w:eastAsia="zh-CN"/>
        </w:rPr>
        <w:t>中的排放系数计算锅炉废气排放量，排放系数详见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_Ref27846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4" w:name="_Ref27846"/>
      <w:r>
        <w:rPr>
          <w:rFonts w:hint="default" w:ascii="Times New Roman" w:hAnsi="Times New Roman" w:cs="Times New Roman"/>
          <w:color w:val="auto"/>
          <w:highlight w:val="none"/>
          <w:lang w:val="en-US" w:eastAsia="zh-CN"/>
        </w:rPr>
        <w:t>天然气锅炉排放系数</w:t>
      </w:r>
      <w:bookmarkEnd w:id="374"/>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lang w:val="en-US" w:eastAsia="zh-CN"/>
        </w:rPr>
        <w:t>根据建设单位提供的锅炉设计参数，额定蒸发量为</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t/h锅炉的天然气消耗量为</w:t>
      </w:r>
      <w:r>
        <w:rPr>
          <w:rFonts w:hint="eastAsia" w:cs="Times New Roman"/>
          <w:color w:val="auto"/>
          <w:highlight w:val="none"/>
          <w:lang w:val="en-US" w:eastAsia="zh-CN"/>
        </w:rPr>
        <w:t>608</w:t>
      </w:r>
      <w:r>
        <w:rPr>
          <w:rFonts w:hint="default" w:ascii="Times New Roman" w:hAnsi="Times New Roman" w:cs="Times New Roman"/>
          <w:color w:val="auto"/>
          <w:highlight w:val="none"/>
          <w:lang w:val="en-US" w:eastAsia="zh-CN"/>
        </w:rPr>
        <w:t xml:space="preserve"> Nm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/h，本项目锅炉年运行7920 h，则天然气消耗量约为481.536万m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，则本次扩建锅炉产生及排放情况</w:t>
      </w:r>
      <w:r>
        <w:rPr>
          <w:rFonts w:hint="default" w:ascii="Times New Roman" w:hAnsi="Times New Roman" w:cs="Times New Roman"/>
          <w:color w:val="auto"/>
          <w:highlight w:val="none"/>
          <w:vertAlign w:val="baseline"/>
          <w:lang w:val="en-US" w:eastAsia="zh-CN"/>
        </w:rPr>
        <w:t>详见</w:t>
      </w:r>
      <w:r>
        <w:rPr>
          <w:rFonts w:hint="default" w:ascii="Times New Roman" w:hAnsi="Times New Roman" w:cs="Times New Roman"/>
          <w:color w:val="auto"/>
          <w:highlight w:val="none"/>
          <w:vertAlign w:val="baseline"/>
          <w:lang w:val="en-US" w:eastAsia="zh-CN"/>
        </w:rPr>
        <w:fldChar w:fldCharType="begin"/>
      </w:r>
      <w:r>
        <w:rPr>
          <w:rFonts w:hint="default" w:ascii="Times New Roman" w:hAnsi="Times New Roman" w:cs="Times New Roman"/>
          <w:color w:val="auto"/>
          <w:highlight w:val="none"/>
          <w:vertAlign w:val="baseline"/>
          <w:lang w:val="en-US" w:eastAsia="zh-CN"/>
        </w:rPr>
        <w:instrText xml:space="preserve"> REF _Ref28225 \n \h </w:instrText>
      </w:r>
      <w:r>
        <w:rPr>
          <w:rFonts w:hint="default" w:ascii="Times New Roman" w:hAnsi="Times New Roman" w:cs="Times New Roman"/>
          <w:color w:val="auto"/>
          <w:highlight w:val="none"/>
          <w:vertAlign w:val="baseline"/>
          <w:lang w:val="en-US" w:eastAsia="zh-CN"/>
        </w:rPr>
        <w:fldChar w:fldCharType="separate"/>
      </w:r>
      <w:r>
        <w:rPr>
          <w:rFonts w:hint="default" w:ascii="Times New Roman" w:hAnsi="Times New Roman" w:cs="Times New Roman"/>
          <w:color w:val="auto"/>
          <w:highlight w:val="none"/>
          <w:vertAlign w:val="baseline"/>
          <w:lang w:val="en-US" w:eastAsia="zh-CN"/>
        </w:rPr>
        <w:t>表3.6-12</w:t>
      </w:r>
      <w:r>
        <w:rPr>
          <w:rFonts w:hint="default" w:ascii="Times New Roman" w:hAnsi="Times New Roman" w:cs="Times New Roman"/>
          <w:color w:val="auto"/>
          <w:highlight w:val="none"/>
          <w:vertAlign w:val="baseline"/>
          <w:lang w:val="en-US" w:eastAsia="zh-CN"/>
        </w:rPr>
        <w:fldChar w:fldCharType="end"/>
      </w:r>
      <w:r>
        <w:rPr>
          <w:rFonts w:hint="default" w:ascii="Times New Roman" w:hAnsi="Times New Roman" w:cs="Times New Roman"/>
          <w:color w:val="auto"/>
          <w:highlight w:val="none"/>
          <w:vertAlign w:val="baseli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5" w:name="_Ref28225"/>
      <w:r>
        <w:rPr>
          <w:rFonts w:hint="default" w:ascii="Times New Roman" w:hAnsi="Times New Roman" w:cs="Times New Roman"/>
          <w:color w:val="auto"/>
          <w:highlight w:val="none"/>
          <w:lang w:val="en-US" w:eastAsia="zh-CN"/>
        </w:rPr>
        <w:t>扩建锅炉废气产排情况一览表</w:t>
      </w:r>
      <w:bookmarkEnd w:id="375"/>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（6）污水处理站恶臭</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color w:val="auto"/>
          <w:highlight w:val="none"/>
          <w:lang w:val="en-US" w:eastAsia="zh-CN"/>
        </w:rPr>
        <w:t>本次扩建</w:t>
      </w:r>
      <w:r>
        <w:rPr>
          <w:rFonts w:hint="default" w:ascii="Times New Roman" w:hAnsi="Times New Roman" w:cs="Times New Roman"/>
          <w:color w:val="auto"/>
          <w:highlight w:val="none"/>
          <w:lang w:val="en-US" w:eastAsia="zh-CN"/>
        </w:rPr>
        <w:t>新增污水处理站1座</w:t>
      </w:r>
      <w:r>
        <w:rPr>
          <w:rFonts w:hint="default" w:ascii="Times New Roman" w:hAnsi="Times New Roman" w:eastAsia="宋体" w:cs="Times New Roman"/>
          <w:color w:val="auto"/>
          <w:highlight w:val="none"/>
          <w:lang w:val="en-US" w:eastAsia="zh-CN"/>
        </w:rPr>
        <w:t>，污水处理站处理工艺采用“</w:t>
      </w:r>
      <w:r>
        <w:rPr>
          <w:rFonts w:hint="default" w:ascii="Times New Roman" w:hAnsi="Times New Roman" w:cs="Times New Roman"/>
          <w:color w:val="auto"/>
          <w:highlight w:val="none"/>
          <w:lang w:val="en-US" w:eastAsia="zh-CN"/>
        </w:rPr>
        <w:t>气浮+水解酸化+</w:t>
      </w:r>
      <w:r>
        <w:rPr>
          <w:rFonts w:hint="default" w:ascii="Times New Roman" w:hAnsi="Times New Roman" w:cs="Times New Roman"/>
          <w:color w:val="auto"/>
          <w:szCs w:val="20"/>
          <w:highlight w:val="none"/>
          <w:lang w:val="en-US" w:eastAsia="zh-CN"/>
        </w:rPr>
        <w:t>A/O池</w:t>
      </w:r>
      <w:r>
        <w:rPr>
          <w:rFonts w:hint="default" w:ascii="Times New Roman" w:hAnsi="Times New Roman" w:cs="Times New Roman"/>
          <w:color w:val="auto"/>
          <w:highlight w:val="none"/>
          <w:lang w:val="en-US" w:eastAsia="zh-CN"/>
        </w:rPr>
        <w:t>+MBR膜+板框压滤</w:t>
      </w:r>
      <w:r>
        <w:rPr>
          <w:rFonts w:hint="default" w:ascii="Times New Roman" w:hAnsi="Times New Roman" w:eastAsia="宋体" w:cs="Times New Roman"/>
          <w:color w:val="auto"/>
          <w:highlight w:val="none"/>
          <w:lang w:val="en-US" w:eastAsia="zh-CN"/>
        </w:rPr>
        <w:t>”，处理规模为</w:t>
      </w:r>
      <w:r>
        <w:rPr>
          <w:rFonts w:hint="default" w:ascii="Times New Roman" w:hAnsi="Times New Roman"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 xml:space="preserve"> t/d。污水处理站在运营时会产生恶臭，主要污染因子为NH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w:t>
      </w:r>
      <w:r>
        <w:rPr>
          <w:rFonts w:hint="default" w:ascii="Times New Roman" w:hAnsi="Times New Roman" w:cs="Times New Roman"/>
          <w:color w:val="auto"/>
          <w:highlight w:val="none"/>
          <w:lang w:val="en-US" w:eastAsia="zh-CN"/>
        </w:rPr>
        <w:t>本次评价要求建设单位对主要产臭区进行加盖、密闭，</w:t>
      </w:r>
      <w:r>
        <w:rPr>
          <w:rFonts w:hint="default" w:ascii="Times New Roman" w:hAnsi="Times New Roman" w:eastAsia="宋体" w:cs="Times New Roman"/>
          <w:color w:val="auto"/>
          <w:highlight w:val="none"/>
          <w:lang w:val="en-US" w:eastAsia="zh-CN"/>
        </w:rPr>
        <w:t>正常状况下，运行时产生的恶臭较小，</w:t>
      </w:r>
      <w:r>
        <w:rPr>
          <w:rFonts w:hint="default" w:ascii="Times New Roman" w:hAnsi="Times New Roman" w:cs="Times New Roman"/>
          <w:color w:val="auto"/>
          <w:highlight w:val="none"/>
          <w:lang w:val="en-US" w:eastAsia="zh-CN"/>
        </w:rPr>
        <w:t>恶臭产生源强</w:t>
      </w:r>
      <w:r>
        <w:rPr>
          <w:rFonts w:hint="default" w:ascii="Times New Roman" w:hAnsi="Times New Roman" w:eastAsia="宋体" w:cs="Times New Roman"/>
          <w:color w:val="auto"/>
          <w:highlight w:val="none"/>
          <w:lang w:val="en-US" w:eastAsia="zh-CN"/>
        </w:rPr>
        <w:t>参考美国EPA对</w:t>
      </w:r>
      <w:r>
        <w:rPr>
          <w:rFonts w:hint="default" w:ascii="Times New Roman" w:hAnsi="Times New Roman" w:cs="Times New Roman"/>
          <w:color w:val="auto"/>
          <w:highlight w:val="none"/>
          <w:lang w:val="en-US" w:eastAsia="zh-CN"/>
        </w:rPr>
        <w:t>类似污水处理工艺恶臭污染物</w:t>
      </w:r>
      <w:r>
        <w:rPr>
          <w:rFonts w:hint="default" w:ascii="Times New Roman" w:hAnsi="Times New Roman" w:eastAsia="宋体" w:cs="Times New Roman"/>
          <w:color w:val="auto"/>
          <w:highlight w:val="none"/>
          <w:lang w:val="en-US" w:eastAsia="zh-CN"/>
        </w:rPr>
        <w:t>产生情况的研究，每处理1g</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BOD</w:t>
      </w:r>
      <w:r>
        <w:rPr>
          <w:rFonts w:hint="default" w:ascii="Times New Roman" w:hAnsi="Times New Roman" w:eastAsia="宋体" w:cs="Times New Roman"/>
          <w:color w:val="auto"/>
          <w:highlight w:val="none"/>
          <w:vertAlign w:val="subscript"/>
          <w:lang w:val="en-US" w:eastAsia="zh-CN"/>
        </w:rPr>
        <w:t>5</w:t>
      </w:r>
      <w:r>
        <w:rPr>
          <w:rFonts w:hint="default" w:ascii="Times New Roman" w:hAnsi="Times New Roman" w:eastAsia="宋体" w:cs="Times New Roman"/>
          <w:color w:val="auto"/>
          <w:highlight w:val="none"/>
          <w:lang w:val="en-US" w:eastAsia="zh-CN"/>
        </w:rPr>
        <w:t>可产生3.1mg</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和0.12</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mg</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_Ref16801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表3.6-7</w:t>
      </w:r>
      <w:r>
        <w:rPr>
          <w:rFonts w:hint="default" w:ascii="Times New Roman" w:hAnsi="Times New Roman"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，项目BOD</w:t>
      </w:r>
      <w:r>
        <w:rPr>
          <w:rFonts w:hint="default" w:ascii="Times New Roman" w:hAnsi="Times New Roman" w:eastAsia="宋体" w:cs="Times New Roman"/>
          <w:color w:val="auto"/>
          <w:highlight w:val="none"/>
          <w:vertAlign w:val="subscript"/>
          <w:lang w:val="en-US" w:eastAsia="zh-CN"/>
        </w:rPr>
        <w:t>5</w:t>
      </w:r>
      <w:r>
        <w:rPr>
          <w:rFonts w:hint="default" w:ascii="Times New Roman" w:hAnsi="Times New Roman" w:eastAsia="宋体" w:cs="Times New Roman"/>
          <w:color w:val="auto"/>
          <w:highlight w:val="none"/>
          <w:lang w:val="en-US" w:eastAsia="zh-CN"/>
        </w:rPr>
        <w:t>去除</w:t>
      </w:r>
      <w:r>
        <w:rPr>
          <w:rFonts w:hint="default" w:ascii="Times New Roman" w:hAnsi="Times New Roman" w:cs="Times New Roman"/>
          <w:color w:val="auto"/>
          <w:highlight w:val="none"/>
          <w:lang w:val="en-US" w:eastAsia="zh-CN"/>
        </w:rPr>
        <w:t>0.</w:t>
      </w:r>
      <w:r>
        <w:rPr>
          <w:rFonts w:hint="eastAsia" w:cs="Times New Roman"/>
          <w:color w:val="auto"/>
          <w:highlight w:val="none"/>
          <w:lang w:val="en-US" w:eastAsia="zh-CN"/>
        </w:rPr>
        <w:t>6586</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t/a，则项目NH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的产生量为</w:t>
      </w:r>
      <w:r>
        <w:rPr>
          <w:rFonts w:hint="eastAsia" w:cs="Times New Roman"/>
          <w:color w:val="auto"/>
          <w:highlight w:val="none"/>
          <w:lang w:val="en-US" w:eastAsia="zh-CN"/>
        </w:rPr>
        <w:t>2.0417</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kg/a，H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S的产生量为</w:t>
      </w:r>
      <w:r>
        <w:rPr>
          <w:rFonts w:hint="default" w:ascii="Times New Roman" w:hAnsi="Times New Roman" w:cs="Times New Roman"/>
          <w:color w:val="auto"/>
          <w:highlight w:val="none"/>
          <w:lang w:val="en-US" w:eastAsia="zh-CN"/>
        </w:rPr>
        <w:t>0.07</w:t>
      </w:r>
      <w:r>
        <w:rPr>
          <w:rFonts w:hint="eastAsia" w:cs="Times New Roman"/>
          <w:color w:val="auto"/>
          <w:highlight w:val="none"/>
          <w:lang w:val="en-US" w:eastAsia="zh-CN"/>
        </w:rPr>
        <w:t>90</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kg/a</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szCs w:val="20"/>
          <w:highlight w:val="none"/>
          <w:lang w:val="en-US" w:eastAsia="zh-CN"/>
        </w:rPr>
        <w:t>挥发性有机废气</w:t>
      </w:r>
      <w:r>
        <w:rPr>
          <w:rFonts w:hint="eastAsia" w:cs="Times New Roman"/>
          <w:color w:val="auto"/>
          <w:szCs w:val="20"/>
          <w:highlight w:val="none"/>
          <w:lang w:val="en-US" w:eastAsia="zh-CN"/>
        </w:rPr>
        <w:t>参照</w:t>
      </w:r>
      <w:r>
        <w:rPr>
          <w:rFonts w:hint="default" w:ascii="Times New Roman" w:hAnsi="Times New Roman" w:cs="Times New Roman"/>
          <w:color w:val="auto"/>
          <w:szCs w:val="20"/>
          <w:highlight w:val="none"/>
          <w:lang w:val="en-US" w:eastAsia="zh-CN"/>
        </w:rPr>
        <w:t>《石化行业VOCs</w:t>
      </w:r>
      <w:r>
        <w:rPr>
          <w:rFonts w:hint="eastAsia" w:cs="Times New Roman"/>
          <w:color w:val="auto"/>
          <w:szCs w:val="20"/>
          <w:highlight w:val="none"/>
          <w:lang w:val="en-US" w:eastAsia="zh-CN"/>
        </w:rPr>
        <w:t>污染源排查工作指南</w:t>
      </w:r>
      <w:r>
        <w:rPr>
          <w:rFonts w:hint="default" w:ascii="Times New Roman" w:hAnsi="Times New Roman" w:cs="Times New Roman"/>
          <w:color w:val="auto"/>
          <w:szCs w:val="20"/>
          <w:highlight w:val="none"/>
          <w:lang w:val="en-US" w:eastAsia="zh-CN"/>
        </w:rPr>
        <w:t>》中废水处理设施排放系数0.005kg/m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估算，</w:t>
      </w:r>
      <w:r>
        <w:rPr>
          <w:rFonts w:hint="eastAsia" w:cs="Times New Roman"/>
          <w:color w:val="auto"/>
          <w:szCs w:val="20"/>
          <w:highlight w:val="none"/>
          <w:lang w:val="en-US" w:eastAsia="zh-CN"/>
        </w:rPr>
        <w:t>扩建工程</w:t>
      </w:r>
      <w:r>
        <w:rPr>
          <w:rFonts w:hint="default" w:ascii="Times New Roman" w:hAnsi="Times New Roman" w:cs="Times New Roman"/>
          <w:color w:val="auto"/>
          <w:szCs w:val="20"/>
          <w:highlight w:val="none"/>
          <w:lang w:val="en-US" w:eastAsia="zh-CN"/>
        </w:rPr>
        <w:t>污水</w:t>
      </w:r>
      <w:r>
        <w:rPr>
          <w:rFonts w:hint="eastAsia" w:cs="Times New Roman"/>
          <w:color w:val="auto"/>
          <w:szCs w:val="20"/>
          <w:highlight w:val="none"/>
          <w:lang w:val="en-US" w:eastAsia="zh-CN"/>
        </w:rPr>
        <w:t>处理</w:t>
      </w:r>
      <w:r>
        <w:rPr>
          <w:rFonts w:hint="default" w:ascii="Times New Roman" w:hAnsi="Times New Roman" w:cs="Times New Roman"/>
          <w:color w:val="auto"/>
          <w:szCs w:val="20"/>
          <w:highlight w:val="none"/>
          <w:lang w:val="en-US" w:eastAsia="zh-CN"/>
        </w:rPr>
        <w:t>量</w:t>
      </w:r>
      <w:r>
        <w:rPr>
          <w:rFonts w:hint="eastAsia" w:cs="Times New Roman"/>
          <w:color w:val="auto"/>
          <w:szCs w:val="20"/>
          <w:highlight w:val="none"/>
          <w:lang w:val="en-US" w:eastAsia="zh-CN"/>
        </w:rPr>
        <w:t xml:space="preserve">为1904.62 </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/a</w:t>
      </w:r>
      <w:r>
        <w:rPr>
          <w:rFonts w:hint="eastAsia" w:cs="Times New Roman"/>
          <w:color w:val="auto"/>
          <w:szCs w:val="20"/>
          <w:highlight w:val="none"/>
          <w:lang w:val="en-US" w:eastAsia="zh-CN"/>
        </w:rPr>
        <w:t>，则挥发性有机废气（以非甲烷总烃计）产生量为9.5231 kg/a。</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（7）</w:t>
      </w:r>
      <w:r>
        <w:rPr>
          <w:rFonts w:hint="default" w:ascii="Times New Roman" w:hAnsi="Times New Roman" w:cs="Times New Roman"/>
          <w:color w:val="auto"/>
          <w:highlight w:val="none"/>
          <w:lang w:val="en-US" w:eastAsia="zh-CN"/>
        </w:rPr>
        <w:t>纺丝组件煅烧废气</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残留在纺丝组件上的PET胶块，采用“真空煅烧+高压冲洗”处理，本项目真空清洗炉采用电加热，真空、高温煅烧后产生的最终气体为CO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O及极少量非甲烷总烃。</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项目配有真空煅烧炉6台，年运行330天，每天16 h，煅烧过程非甲烷总烃的产生量结合同类型项目——广州霞美化纤有限公司实际运行经验，该项目生产涤纶纤维，产量为80 t/d，煅烧废气非甲烷总烃排放速率约为0.036 kg/h；本项目生产再生涤纶纤维，设计产能为151.52 t/d，则本项目煅烧废气中非甲烷总烃产生速率为0.068 kg/h。</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煅烧过程为密闭状态，废气经水喷淋洗涤器喷淋洗涤后，再经真空泵汽水分离器的上部将废气与摩擦造粒废气一并引入“</w:t>
      </w:r>
      <w:r>
        <w:rPr>
          <w:rFonts w:hint="default" w:ascii="Times New Roman" w:hAnsi="Times New Roman" w:cs="Times New Roman"/>
          <w:color w:val="auto"/>
          <w:highlight w:val="none"/>
          <w:lang w:val="en-US" w:eastAsia="zh-CN"/>
        </w:rPr>
        <w:t>布袋除尘器+碱液喷淋+除雾器+低温等离子</w:t>
      </w:r>
      <w:r>
        <w:rPr>
          <w:rFonts w:hint="default" w:ascii="Times New Roman" w:hAnsi="Times New Roman" w:cs="Times New Roman"/>
          <w:color w:val="auto"/>
          <w:highlight w:val="none"/>
          <w:vertAlign w:val="baseline"/>
          <w:lang w:val="en-US" w:eastAsia="zh-CN"/>
        </w:rPr>
        <w:t>”处理后，由1</w:t>
      </w:r>
      <w:r>
        <w:rPr>
          <w:rFonts w:hint="eastAsia" w:cs="Times New Roman"/>
          <w:color w:val="auto"/>
          <w:highlight w:val="none"/>
          <w:vertAlign w:val="baseline"/>
          <w:lang w:val="en-US" w:eastAsia="zh-CN"/>
        </w:rPr>
        <w:t>根</w:t>
      </w:r>
      <w:r>
        <w:rPr>
          <w:rFonts w:hint="default" w:ascii="Times New Roman" w:hAnsi="Times New Roman" w:cs="Times New Roman"/>
          <w:color w:val="auto"/>
          <w:highlight w:val="none"/>
          <w:vertAlign w:val="baseline"/>
          <w:lang w:val="en-US" w:eastAsia="zh-CN"/>
        </w:rPr>
        <w:t>32 m高排气筒排放；下部废水直接排向污水处理站，整个过程基本没有无组织废气排放。</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（8）</w:t>
      </w:r>
      <w:r>
        <w:rPr>
          <w:rFonts w:hint="eastAsia" w:cs="Times New Roman"/>
          <w:color w:val="auto"/>
          <w:highlight w:val="none"/>
          <w:vertAlign w:val="baseline"/>
          <w:lang w:val="en-US" w:eastAsia="zh-CN"/>
        </w:rPr>
        <w:t>危险废物贮存间废气</w:t>
      </w:r>
    </w:p>
    <w:p>
      <w:pPr>
        <w:bidi w:val="0"/>
        <w:rPr>
          <w:rFonts w:hint="default" w:ascii="Times New Roman" w:hAnsi="Times New Roman" w:cs="Times New Roman"/>
          <w:color w:val="auto"/>
          <w:highlight w:val="none"/>
          <w:vertAlign w:val="baseline"/>
          <w:lang w:val="en-US" w:eastAsia="zh-CN"/>
        </w:rPr>
      </w:pPr>
      <w:r>
        <w:rPr>
          <w:rFonts w:hint="eastAsia" w:cs="Times New Roman"/>
          <w:color w:val="auto"/>
          <w:highlight w:val="none"/>
          <w:vertAlign w:val="baseline"/>
          <w:lang w:val="en-US" w:eastAsia="zh-CN"/>
        </w:rPr>
        <w:t>扩建工程拟新建1间危险废物贮存间位于厂区西侧，面积为30 m</w:t>
      </w:r>
      <w:r>
        <w:rPr>
          <w:rFonts w:hint="eastAsia" w:cs="Times New Roman"/>
          <w:color w:val="auto"/>
          <w:highlight w:val="none"/>
          <w:vertAlign w:val="superscript"/>
          <w:lang w:val="en-US" w:eastAsia="zh-CN"/>
        </w:rPr>
        <w:t>2</w:t>
      </w:r>
      <w:r>
        <w:rPr>
          <w:rFonts w:hint="eastAsia" w:cs="Times New Roman"/>
          <w:color w:val="auto"/>
          <w:highlight w:val="none"/>
          <w:vertAlign w:val="baseline"/>
          <w:lang w:val="en-US" w:eastAsia="zh-CN"/>
        </w:rPr>
        <w:t>，按照《危险废物贮存污染控制标准》（GB18597-2001）及其2013年修改单建设。本项目危险废物贮存间暂存的危险废物主要包括：</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、浸油槽废液、煅烧废渣、废机油、废油剂空桶、含油抹布、废布袋</w:t>
      </w:r>
      <w:r>
        <w:rPr>
          <w:rFonts w:hint="eastAsia" w:cs="Times New Roman"/>
          <w:color w:val="auto"/>
          <w:highlight w:val="none"/>
          <w:lang w:val="en-US" w:eastAsia="zh-CN"/>
        </w:rPr>
        <w:t>、废纺丝油剂等危险废物，存储过程中会有挥发性有机废气（以非甲烷总烃计）产生，呈无组织排放。项目液态危险废物采用密封专用桶包装后，再存放于危险废物贮存间内，</w:t>
      </w:r>
      <w:r>
        <w:rPr>
          <w:rFonts w:hint="eastAsia" w:cs="Times New Roman"/>
          <w:color w:val="auto"/>
          <w:szCs w:val="20"/>
          <w:highlight w:val="none"/>
          <w:lang w:val="en-US" w:eastAsia="zh-CN"/>
        </w:rPr>
        <w:t>危险废物贮存间废气按液态危险废物（</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、浸油槽废液、废机油</w:t>
      </w:r>
      <w:r>
        <w:rPr>
          <w:rFonts w:hint="eastAsia" w:cs="Times New Roman"/>
          <w:color w:val="auto"/>
          <w:highlight w:val="none"/>
          <w:lang w:val="en-US" w:eastAsia="zh-CN"/>
        </w:rPr>
        <w:t>、废纺丝油剂</w:t>
      </w:r>
      <w:r>
        <w:rPr>
          <w:rFonts w:hint="eastAsia" w:cs="Times New Roman"/>
          <w:color w:val="auto"/>
          <w:szCs w:val="20"/>
          <w:highlight w:val="none"/>
          <w:lang w:val="en-US" w:eastAsia="zh-CN"/>
        </w:rPr>
        <w:t>）产生量的万分之一保守估算挥发量，根据“3.6.2.4 固体废物”的源强分析，液态危险废物产生量为529.5852 t/a，则非甲烷总烃产生量为0.0530 t/a（0.0067 kg/h）。危险废物贮存间设置为微负压，废气经负压收集后引入活性炭吸附装置处理后由1根 15 m高排气筒（DA010）排放。</w:t>
      </w:r>
    </w:p>
    <w:p>
      <w:pPr>
        <w:bidi w:val="0"/>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（9）</w:t>
      </w:r>
      <w:r>
        <w:rPr>
          <w:rFonts w:hint="default" w:ascii="Times New Roman" w:hAnsi="Times New Roman" w:cs="Times New Roman"/>
          <w:color w:val="auto"/>
          <w:highlight w:val="none"/>
          <w:vertAlign w:val="baseline"/>
          <w:lang w:val="en-US" w:eastAsia="zh-CN"/>
        </w:rPr>
        <w:t>食堂油烟</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项目职工食堂主要以液化气和电为燃料，均属于清洁能源，其完全燃烧的产物为CO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和H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vertAlign w:val="baseline"/>
          <w:lang w:val="en-US" w:eastAsia="zh-CN"/>
        </w:rPr>
        <w:t>O，对周围环境造成污染较小。食堂运营过程中主要污染是烹制菜肴时一部分食用油形成的油烟污染，本扩建工程拟新增员工为200人，其中100人在食堂就餐，按平均每人每天需摄入30 g食用油计算，食用油的消耗量为3 kg/d，平均油烟产生量约占食用油消耗量的2.5%，则本项目的油烟产生量为0.075 kg/d，每天做饭时间按5 h计算。</w:t>
      </w:r>
    </w:p>
    <w:p>
      <w:pPr>
        <w:bidi w:val="0"/>
        <w:rPr>
          <w:rFonts w:hint="default"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食堂设3个基准灶头，单个油烟净化器设计风量为4000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/h，净化效率取80%，则排放浓度为0.75 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，排放量为0.00495 t/a（0.003 kg/h）。</w:t>
      </w:r>
    </w:p>
    <w:p>
      <w:pPr>
        <w:bidi w:val="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扩建工程废气产排情况详见</w:t>
      </w:r>
      <w:r>
        <w:rPr>
          <w:rFonts w:hint="default" w:ascii="Times New Roman" w:hAnsi="Times New Roman" w:cs="Times New Roman"/>
          <w:color w:val="auto"/>
          <w:highlight w:val="none"/>
          <w:vertAlign w:val="baseline"/>
          <w:lang w:val="en-US" w:eastAsia="zh-CN"/>
        </w:rPr>
        <w:fldChar w:fldCharType="begin"/>
      </w:r>
      <w:r>
        <w:rPr>
          <w:rFonts w:hint="default" w:ascii="Times New Roman" w:hAnsi="Times New Roman" w:cs="Times New Roman"/>
          <w:color w:val="auto"/>
          <w:highlight w:val="none"/>
          <w:vertAlign w:val="baseline"/>
          <w:lang w:val="en-US" w:eastAsia="zh-CN"/>
        </w:rPr>
        <w:instrText xml:space="preserve"> REF _Ref32359 \n \h </w:instrText>
      </w:r>
      <w:r>
        <w:rPr>
          <w:rFonts w:hint="default" w:ascii="Times New Roman" w:hAnsi="Times New Roman" w:cs="Times New Roman"/>
          <w:color w:val="auto"/>
          <w:highlight w:val="none"/>
          <w:vertAlign w:val="baseline"/>
          <w:lang w:val="en-US" w:eastAsia="zh-CN"/>
        </w:rPr>
        <w:fldChar w:fldCharType="separate"/>
      </w:r>
      <w:r>
        <w:rPr>
          <w:rFonts w:hint="default" w:ascii="Times New Roman" w:hAnsi="Times New Roman" w:cs="Times New Roman"/>
          <w:color w:val="auto"/>
          <w:highlight w:val="none"/>
          <w:vertAlign w:val="baseline"/>
          <w:lang w:val="en-US" w:eastAsia="zh-CN"/>
        </w:rPr>
        <w:t>表3.6-13</w:t>
      </w:r>
      <w:r>
        <w:rPr>
          <w:rFonts w:hint="default" w:ascii="Times New Roman" w:hAnsi="Times New Roman" w:cs="Times New Roman"/>
          <w:color w:val="auto"/>
          <w:highlight w:val="none"/>
          <w:vertAlign w:val="baseline"/>
          <w:lang w:val="en-US" w:eastAsia="zh-CN"/>
        </w:rPr>
        <w:fldChar w:fldCharType="end"/>
      </w:r>
      <w:r>
        <w:rPr>
          <w:rFonts w:hint="default" w:ascii="Times New Roman" w:hAnsi="Times New Roman" w:cs="Times New Roman"/>
          <w:color w:val="auto"/>
          <w:highlight w:val="none"/>
          <w:vertAlign w:val="baseline"/>
          <w:lang w:val="en-US" w:eastAsia="zh-CN"/>
        </w:rPr>
        <w:t>。</w:t>
      </w:r>
    </w:p>
    <w:p>
      <w:pPr>
        <w:bidi w:val="0"/>
        <w:rPr>
          <w:rFonts w:hint="default" w:ascii="Times New Roman" w:hAnsi="Times New Roman" w:cs="Times New Roman"/>
          <w:color w:val="auto"/>
          <w:highlight w:val="none"/>
          <w:vertAlign w:val="baseli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6" w:name="_Ref32359"/>
      <w:r>
        <w:rPr>
          <w:rFonts w:hint="default" w:ascii="Times New Roman" w:hAnsi="Times New Roman" w:cs="Times New Roman"/>
          <w:color w:val="auto"/>
          <w:highlight w:val="none"/>
          <w:lang w:val="en-US" w:eastAsia="zh-CN"/>
        </w:rPr>
        <w:t>扩建工程新增废气产排情况一览表</w:t>
      </w:r>
      <w:bookmarkEnd w:id="376"/>
    </w:p>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扩建后全厂废气产排情况</w:t>
      </w:r>
      <w:r>
        <w:rPr>
          <w:rFonts w:hint="eastAsia" w:cs="Times New Roman"/>
          <w:color w:val="auto"/>
          <w:highlight w:val="none"/>
          <w:lang w:val="en-US" w:eastAsia="zh-CN"/>
        </w:rPr>
        <w:t>统计</w:t>
      </w:r>
    </w:p>
    <w:p>
      <w:pPr>
        <w:rPr>
          <w:rFonts w:hint="default" w:ascii="Times New Roman" w:hAnsi="Times New Roman" w:cs="Times New Roman"/>
          <w:color w:val="auto"/>
          <w:highlight w:val="none"/>
        </w:rPr>
      </w:pP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lang w:val="en-US" w:eastAsia="zh-CN"/>
        </w:rPr>
        <w:t>项目噪声污染主要来源于粉碎机、摩擦造粒机纺丝机、牵伸机、切断机、打包机、真空泵、工业空调送风机组、</w:t>
      </w:r>
      <w:r>
        <w:rPr>
          <w:rFonts w:hint="default" w:ascii="Times New Roman" w:hAnsi="Times New Roman" w:cs="Times New Roman"/>
          <w:color w:val="auto"/>
          <w:highlight w:val="none"/>
        </w:rPr>
        <w:t>纺丝环吹风冷却系统</w:t>
      </w:r>
      <w:r>
        <w:rPr>
          <w:rFonts w:hint="default" w:ascii="Times New Roman" w:hAnsi="Times New Roman" w:cs="Times New Roman"/>
          <w:color w:val="auto"/>
          <w:highlight w:val="none"/>
          <w:lang w:val="en-US" w:eastAsia="zh-CN"/>
        </w:rPr>
        <w:t>等机械设备运行时产生的噪声。噪声源强在75~90 dB（A）之间，项目各生产设备的声级见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_Ref12850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表3.6-15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377" w:name="_Ref12850"/>
      <w:r>
        <w:rPr>
          <w:rFonts w:hint="default" w:ascii="Times New Roman" w:hAnsi="Times New Roman" w:cs="Times New Roman"/>
          <w:color w:val="auto"/>
          <w:highlight w:val="none"/>
          <w:lang w:val="en-US" w:eastAsia="zh-CN"/>
        </w:rPr>
        <w:t>扩建工程新增主要生产设备的声级一览表</w:t>
      </w:r>
      <w:bookmarkEnd w:id="377"/>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固体废物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项目运营期产生的主要固体废物有一般工业固体废物（杂质S1、废熔块S2、废丝S4、废过滤网S7、</w:t>
      </w:r>
      <w:r>
        <w:rPr>
          <w:rFonts w:hint="eastAsia" w:cs="Times New Roman"/>
          <w:color w:val="auto"/>
          <w:highlight w:val="none"/>
          <w:lang w:val="en-US" w:eastAsia="zh-CN"/>
        </w:rPr>
        <w:t>废机械零部件S9、</w:t>
      </w:r>
      <w:r>
        <w:rPr>
          <w:rFonts w:hint="default" w:ascii="Times New Roman" w:hAnsi="Times New Roman" w:cs="Times New Roman"/>
          <w:color w:val="auto"/>
          <w:highlight w:val="none"/>
          <w:lang w:val="en-US" w:eastAsia="zh-CN"/>
        </w:rPr>
        <w:t>废包装袋S</w:t>
      </w:r>
      <w:r>
        <w:rPr>
          <w:rFonts w:hint="eastAsia" w:cs="Times New Roman"/>
          <w:color w:val="auto"/>
          <w:highlight w:val="none"/>
          <w:lang w:val="en-US" w:eastAsia="zh-CN"/>
        </w:rPr>
        <w:t>10</w:t>
      </w:r>
      <w:r>
        <w:rPr>
          <w:rFonts w:hint="default" w:ascii="Times New Roman" w:hAnsi="Times New Roman" w:cs="Times New Roman"/>
          <w:color w:val="auto"/>
          <w:highlight w:val="none"/>
          <w:lang w:val="en-US" w:eastAsia="zh-CN"/>
        </w:rPr>
        <w:t>、污泥S1</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、布袋粉尘S1</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）、危险废物（</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S3、浸油槽废液S5、煅烧废渣S6、废机油S8、废油剂空桶S1</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、含油抹布S1</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、废布袋S1</w:t>
      </w:r>
      <w:r>
        <w:rPr>
          <w:rFonts w:hint="eastAsia" w:cs="Times New Roman"/>
          <w:color w:val="auto"/>
          <w:highlight w:val="none"/>
          <w:lang w:val="en-US" w:eastAsia="zh-CN"/>
        </w:rPr>
        <w:t>5、废纺丝油剂S16、废活性炭S17</w:t>
      </w:r>
      <w:r>
        <w:rPr>
          <w:rFonts w:hint="default" w:ascii="Times New Roman" w:hAnsi="Times New Roman" w:cs="Times New Roman"/>
          <w:color w:val="auto"/>
          <w:highlight w:val="none"/>
          <w:lang w:val="en-US" w:eastAsia="zh-CN"/>
        </w:rPr>
        <w:t>）和生活垃圾S1</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（1）一般工业固体废物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①杂质S1</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根据建设单位提供资料及现有工程杂质产生情况，杂质产生量约占产品的0.1%，项目年生产PET再生纤维5.万吨，则杂质产生量约为50 t/a，收集后委托环卫部门清运处置。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②废熔块S2</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根据建设单位提供资料，废熔块产生量约占产品的0.8%，则废熔块产生量约为400 t/a，废熔块收集后回用于破碎造粒生产。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③废丝S4</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根据建设单位提供资料，废丝产生量约占产品的0.9%，则废丝产生量约为450 t/a，废丝收集后回用于破碎造粒生产。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④废过滤网S7</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本项目在粗过滤、精过滤过程需定期更换过滤网，更换周期约为1次/年，产生的废过滤网约为1.5 t/a，废过滤网收集后暂存于一般工业固体废物贮存间，定期外售物资回收单位综合利用。</w:t>
      </w:r>
    </w:p>
    <w:p>
      <w:pPr>
        <w:bidi w:val="0"/>
        <w:rPr>
          <w:rFonts w:hint="eastAsia" w:cs="Times New Roman"/>
          <w:color w:val="auto"/>
          <w:highlight w:val="none"/>
          <w:lang w:val="en-US" w:eastAsia="zh-CN"/>
        </w:rPr>
      </w:pPr>
      <w:r>
        <w:rPr>
          <w:rFonts w:hint="eastAsia" w:cs="Times New Roman"/>
          <w:color w:val="auto"/>
          <w:highlight w:val="none"/>
          <w:lang w:val="en-US" w:eastAsia="zh-CN"/>
        </w:rPr>
        <w:t>⑤废机械零部件S9</w:t>
      </w:r>
    </w:p>
    <w:p>
      <w:pPr>
        <w:bidi w:val="0"/>
        <w:rPr>
          <w:rFonts w:hint="default" w:cs="Times New Roman"/>
          <w:color w:val="auto"/>
          <w:highlight w:val="none"/>
          <w:lang w:val="en-US" w:eastAsia="zh-CN"/>
        </w:rPr>
      </w:pPr>
      <w:r>
        <w:rPr>
          <w:rFonts w:hint="eastAsia" w:cs="Times New Roman"/>
          <w:color w:val="auto"/>
          <w:highlight w:val="none"/>
          <w:lang w:val="en-US" w:eastAsia="zh-CN"/>
        </w:rPr>
        <w:t>项目需定期对机械设备进行检修、维护，更换零部件。根据建设单位提供资料，产生的废机械零部件约为1.0 t/a，废机械零部件收集后可暂存于一般工业固体废物贮存间，对于金属等回收利用价值高的废机械零部件可外售物资回收单位综合利用，不可利用的可委托环卫部门清运处置。</w:t>
      </w:r>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⑥</w:t>
      </w:r>
      <w:r>
        <w:rPr>
          <w:rFonts w:hint="default" w:ascii="Times New Roman" w:hAnsi="Times New Roman" w:cs="Times New Roman"/>
          <w:color w:val="auto"/>
          <w:highlight w:val="none"/>
          <w:lang w:val="en-US" w:eastAsia="zh-CN"/>
        </w:rPr>
        <w:t>废包装袋S</w:t>
      </w:r>
      <w:r>
        <w:rPr>
          <w:rFonts w:hint="eastAsia" w:cs="Times New Roman"/>
          <w:color w:val="auto"/>
          <w:highlight w:val="none"/>
          <w:lang w:val="en-US" w:eastAsia="zh-CN"/>
        </w:rPr>
        <w:t>10</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项目废包装袋产生量约为2.7 t/a，废包装袋收集后暂存于一般工业固体废物贮存间，定期由原料供应公司回收。</w:t>
      </w:r>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⑦</w:t>
      </w:r>
      <w:r>
        <w:rPr>
          <w:rFonts w:hint="default" w:ascii="Times New Roman" w:hAnsi="Times New Roman" w:cs="Times New Roman"/>
          <w:color w:val="auto"/>
          <w:highlight w:val="none"/>
          <w:lang w:val="en-US" w:eastAsia="zh-CN"/>
        </w:rPr>
        <w:t>污泥S1</w:t>
      </w:r>
      <w:r>
        <w:rPr>
          <w:rFonts w:hint="eastAsia" w:cs="Times New Roman"/>
          <w:color w:val="auto"/>
          <w:highlight w:val="none"/>
          <w:lang w:val="en-US" w:eastAsia="zh-CN"/>
        </w:rPr>
        <w:t>2</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根据建设单位提供资料及现有工程污水处理站污泥产生情况，本次扩建新增1座污水处理站，产生的污泥经板框压滤后的产生量约为5 t/a，污泥收集后暂存于一般工业固体废物贮存间，可继续由</w:t>
      </w:r>
      <w:r>
        <w:rPr>
          <w:rFonts w:hint="default" w:ascii="Times New Roman" w:hAnsi="Times New Roman" w:cs="Times New Roman"/>
          <w:color w:val="auto"/>
          <w:szCs w:val="20"/>
          <w:highlight w:val="none"/>
          <w:lang w:val="en-US" w:eastAsia="zh-CN"/>
        </w:rPr>
        <w:t>三明金牛环保科技有限公司水泥窑协同处置</w:t>
      </w:r>
      <w:r>
        <w:rPr>
          <w:rFonts w:hint="default" w:ascii="Times New Roman" w:hAnsi="Times New Roman" w:cs="Times New Roman"/>
          <w:color w:val="auto"/>
          <w:highlight w:val="none"/>
          <w:lang w:val="en-US" w:eastAsia="zh-CN"/>
        </w:rPr>
        <w:t>或送入填埋场处理。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⑧布袋粉尘S1</w:t>
      </w:r>
      <w:r>
        <w:rPr>
          <w:rFonts w:hint="eastAsia" w:cs="Times New Roman"/>
          <w:color w:val="auto"/>
          <w:highlight w:val="none"/>
          <w:lang w:val="en-US" w:eastAsia="zh-CN"/>
        </w:rPr>
        <w:t>3</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布袋粉尘主要包括破碎截留的颗粒物和摩擦造粒截留的颗粒物。根据前文分析，布袋除尘器拦截的粉尘颗粒物为131.3416 t/a，该部分粉尘颗粒物主要为PET，收集后，可回用于造粒生产。</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（2）危险废物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S3</w:t>
      </w:r>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真空废液主要来源于从反应釜中抽出的</w:t>
      </w:r>
      <w:r>
        <w:rPr>
          <w:rFonts w:hint="default" w:ascii="Times New Roman" w:hAnsi="Times New Roman" w:cs="Times New Roman"/>
          <w:color w:val="auto"/>
          <w:highlight w:val="none"/>
          <w:lang w:val="en-US" w:eastAsia="zh-CN"/>
        </w:rPr>
        <w:t>原料中含有的乙二醇等醇类物质</w:t>
      </w:r>
      <w:r>
        <w:rPr>
          <w:rFonts w:hint="eastAsia" w:cs="Times New Roman"/>
          <w:color w:val="auto"/>
          <w:highlight w:val="none"/>
          <w:lang w:val="en-US" w:eastAsia="zh-CN"/>
        </w:rPr>
        <w:t>及水蒸气、</w:t>
      </w:r>
      <w:r>
        <w:rPr>
          <w:rFonts w:hint="default" w:ascii="Times New Roman" w:hAnsi="Times New Roman" w:cs="Times New Roman"/>
          <w:color w:val="auto"/>
          <w:highlight w:val="none"/>
          <w:lang w:val="en-US" w:eastAsia="zh-CN"/>
        </w:rPr>
        <w:t>污水收集系统表面少量的</w:t>
      </w:r>
      <w:r>
        <w:rPr>
          <w:rFonts w:hint="eastAsia" w:cs="Times New Roman"/>
          <w:color w:val="auto"/>
          <w:highlight w:val="none"/>
          <w:lang w:val="en-US" w:eastAsia="zh-CN"/>
        </w:rPr>
        <w:t>废液（摩擦造粒、纺丝组件煅烧的废气被碱液喷淋塔去除进入厂内污水处理站）以及真空增粘、纺丝产生的废气被废气处理设施（静电油烟吸附）截留下来的焦油等物质。</w:t>
      </w:r>
      <w:r>
        <w:rPr>
          <w:rFonts w:hint="default" w:ascii="Times New Roman" w:hAnsi="Times New Roman" w:cs="Times New Roman"/>
          <w:color w:val="auto"/>
          <w:highlight w:val="none"/>
          <w:lang w:val="en-US" w:eastAsia="zh-CN"/>
        </w:rPr>
        <w:t>根据建设单位提供资料，</w:t>
      </w:r>
      <w:r>
        <w:rPr>
          <w:rFonts w:hint="eastAsia" w:cs="Times New Roman"/>
          <w:color w:val="auto"/>
          <w:highlight w:val="none"/>
          <w:lang w:val="en-US" w:eastAsia="zh-CN"/>
        </w:rPr>
        <w:t>反应釜中抽出的真空废液</w:t>
      </w:r>
      <w:r>
        <w:rPr>
          <w:rFonts w:hint="default" w:ascii="Times New Roman" w:hAnsi="Times New Roman" w:cs="Times New Roman"/>
          <w:color w:val="auto"/>
          <w:highlight w:val="none"/>
          <w:lang w:val="en-US" w:eastAsia="zh-CN"/>
        </w:rPr>
        <w:t>约占产品的1%，则真空增粘抽出的</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量为500 t/a；</w:t>
      </w:r>
      <w:r>
        <w:rPr>
          <w:rFonts w:hint="eastAsia" w:cs="Times New Roman"/>
          <w:color w:val="auto"/>
          <w:highlight w:val="none"/>
          <w:lang w:val="en-US" w:eastAsia="zh-CN"/>
        </w:rPr>
        <w:t>根据前文分析，</w:t>
      </w:r>
      <w:r>
        <w:rPr>
          <w:rFonts w:hint="default" w:ascii="Times New Roman" w:hAnsi="Times New Roman" w:cs="Times New Roman"/>
          <w:color w:val="auto"/>
          <w:highlight w:val="none"/>
          <w:lang w:val="en-US" w:eastAsia="zh-CN"/>
        </w:rPr>
        <w:t>扩建工程废气治理设施中静电油烟吸附去除效率按60%计</w:t>
      </w:r>
      <w:r>
        <w:rPr>
          <w:rFonts w:hint="eastAsia" w:cs="Times New Roman"/>
          <w:color w:val="auto"/>
          <w:highlight w:val="none"/>
          <w:lang w:val="en-US" w:eastAsia="zh-CN"/>
        </w:rPr>
        <w:t>，则真空增粘、纺丝过程被静电油烟吸附截留的焦油等物质量为9.723 t/a；</w:t>
      </w:r>
      <w:r>
        <w:rPr>
          <w:rFonts w:hint="default" w:ascii="Times New Roman" w:hAnsi="Times New Roman" w:cs="Times New Roman"/>
          <w:color w:val="auto"/>
          <w:highlight w:val="none"/>
          <w:lang w:val="en-US" w:eastAsia="zh-CN"/>
        </w:rPr>
        <w:t>碱液喷淋塔去除效率按60%计，喷淋塔废水先经过破乳、沉淀分层，取出上层</w:t>
      </w:r>
      <w:r>
        <w:rPr>
          <w:rFonts w:hint="eastAsia" w:cs="Times New Roman"/>
          <w:color w:val="auto"/>
          <w:highlight w:val="none"/>
          <w:lang w:val="en-US" w:eastAsia="zh-CN"/>
        </w:rPr>
        <w:t>废液</w:t>
      </w:r>
      <w:r>
        <w:rPr>
          <w:rFonts w:hint="default" w:ascii="Times New Roman" w:hAnsi="Times New Roman" w:cs="Times New Roman"/>
          <w:color w:val="auto"/>
          <w:highlight w:val="none"/>
          <w:lang w:val="en-US" w:eastAsia="zh-CN"/>
        </w:rPr>
        <w:t>后再进入污水处理站，废</w:t>
      </w:r>
      <w:r>
        <w:rPr>
          <w:rFonts w:hint="eastAsia" w:cs="Times New Roman"/>
          <w:color w:val="auto"/>
          <w:highlight w:val="none"/>
          <w:lang w:val="en-US" w:eastAsia="zh-CN"/>
        </w:rPr>
        <w:t>液</w:t>
      </w:r>
      <w:r>
        <w:rPr>
          <w:rFonts w:hint="default" w:ascii="Times New Roman" w:hAnsi="Times New Roman" w:cs="Times New Roman"/>
          <w:color w:val="auto"/>
          <w:highlight w:val="none"/>
          <w:lang w:val="en-US" w:eastAsia="zh-CN"/>
        </w:rPr>
        <w:t>产生量</w:t>
      </w:r>
      <w:r>
        <w:rPr>
          <w:rFonts w:hint="eastAsia" w:cs="Times New Roman"/>
          <w:color w:val="auto"/>
          <w:highlight w:val="none"/>
          <w:lang w:val="en-US" w:eastAsia="zh-CN"/>
        </w:rPr>
        <w:t>为17.1982 t/a</w:t>
      </w:r>
      <w:r>
        <w:rPr>
          <w:rFonts w:hint="default" w:ascii="Times New Roman" w:hAnsi="Times New Roman" w:cs="Times New Roman"/>
          <w:color w:val="auto"/>
          <w:highlight w:val="none"/>
          <w:lang w:val="en-US" w:eastAsia="zh-CN"/>
        </w:rPr>
        <w:t>。根据</w:t>
      </w:r>
      <w:r>
        <w:rPr>
          <w:rFonts w:hint="default" w:ascii="Times New Roman" w:hAnsi="Times New Roman" w:eastAsia="宋体" w:cs="Times New Roman"/>
          <w:color w:val="auto"/>
          <w:sz w:val="24"/>
          <w:szCs w:val="24"/>
          <w:highlight w:val="none"/>
          <w:lang w:val="en-US" w:eastAsia="zh-CN"/>
        </w:rPr>
        <w:t>《国家危险废物名录》（2021年），</w:t>
      </w:r>
      <w:r>
        <w:rPr>
          <w:rFonts w:hint="eastAsia" w:cs="Times New Roman"/>
          <w:color w:val="auto"/>
          <w:sz w:val="24"/>
          <w:szCs w:val="24"/>
          <w:highlight w:val="none"/>
          <w:lang w:val="en-US" w:eastAsia="zh-CN"/>
        </w:rPr>
        <w:t>真空废液</w:t>
      </w:r>
      <w:r>
        <w:rPr>
          <w:rFonts w:hint="default" w:ascii="Times New Roman" w:hAnsi="Times New Roman" w:eastAsia="宋体" w:cs="Times New Roman"/>
          <w:color w:val="auto"/>
          <w:sz w:val="24"/>
          <w:szCs w:val="24"/>
          <w:highlight w:val="none"/>
          <w:lang w:val="en-US" w:eastAsia="zh-CN"/>
        </w:rPr>
        <w:t>属于危险废物，废物类别为HW0</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，危废代码900-</w:t>
      </w:r>
      <w:r>
        <w:rPr>
          <w:rFonts w:hint="eastAsia" w:cs="Times New Roman"/>
          <w:color w:val="auto"/>
          <w:sz w:val="24"/>
          <w:szCs w:val="24"/>
          <w:highlight w:val="none"/>
          <w:lang w:val="en-US" w:eastAsia="zh-CN"/>
        </w:rPr>
        <w:t>007</w:t>
      </w:r>
      <w:r>
        <w:rPr>
          <w:rFonts w:hint="default"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其他工艺过程中产生的油/水、烃/水混合物或乳化物</w:t>
      </w:r>
      <w:r>
        <w:rPr>
          <w:rFonts w:hint="default" w:ascii="Times New Roman" w:hAnsi="Times New Roman" w:eastAsia="宋体" w:cs="Times New Roman"/>
          <w:color w:val="auto"/>
          <w:sz w:val="24"/>
          <w:szCs w:val="24"/>
          <w:highlight w:val="none"/>
          <w:lang w:val="en-US" w:eastAsia="zh-CN"/>
        </w:rPr>
        <w:t>），收集后暂存于危险废物贮存间，定期委托有资质单位处置。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②浸油槽废液S5</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本项目设有浸油槽2个（单个尺寸：1 m×1 m×0.5 m），槽内的纺丝油剂循环使用，纺丝油剂会随着时间的推移而形成废老化液，需定期更换，更换周期为1年1次，主要为油水混合物，浸油槽有效容积按槽内容积的80%计算，则浸油槽废液产生量为0.8 t/a。根据</w:t>
      </w:r>
      <w:r>
        <w:rPr>
          <w:rFonts w:hint="default" w:ascii="Times New Roman" w:hAnsi="Times New Roman" w:eastAsia="宋体" w:cs="Times New Roman"/>
          <w:color w:val="auto"/>
          <w:sz w:val="24"/>
          <w:szCs w:val="24"/>
          <w:highlight w:val="none"/>
          <w:lang w:val="en-US" w:eastAsia="zh-CN"/>
        </w:rPr>
        <w:t>《国家危险废物名录》（2021年），</w:t>
      </w:r>
      <w:r>
        <w:rPr>
          <w:rFonts w:hint="default" w:ascii="Times New Roman" w:hAnsi="Times New Roman" w:cs="Times New Roman"/>
          <w:color w:val="auto"/>
          <w:highlight w:val="none"/>
          <w:lang w:val="en-US" w:eastAsia="zh-CN"/>
        </w:rPr>
        <w:t>浸油槽废液</w:t>
      </w:r>
      <w:r>
        <w:rPr>
          <w:rFonts w:hint="default" w:ascii="Times New Roman" w:hAnsi="Times New Roman" w:eastAsia="宋体" w:cs="Times New Roman"/>
          <w:color w:val="auto"/>
          <w:sz w:val="24"/>
          <w:szCs w:val="24"/>
          <w:highlight w:val="none"/>
          <w:lang w:val="en-US" w:eastAsia="zh-CN"/>
        </w:rPr>
        <w:t>属于危险废物，废物类别为HW09，危废代码900-007-09（</w:t>
      </w:r>
      <w:r>
        <w:rPr>
          <w:rFonts w:hint="eastAsia" w:cs="Times New Roman"/>
          <w:color w:val="auto"/>
          <w:sz w:val="24"/>
          <w:szCs w:val="24"/>
          <w:highlight w:val="none"/>
          <w:lang w:val="en-US" w:eastAsia="zh-CN"/>
        </w:rPr>
        <w:t>其他工艺过程中产生的油/水、烃/水混合物或乳化物</w:t>
      </w:r>
      <w:r>
        <w:rPr>
          <w:rFonts w:hint="default" w:ascii="Times New Roman" w:hAnsi="Times New Roman" w:eastAsia="宋体" w:cs="Times New Roman"/>
          <w:color w:val="auto"/>
          <w:sz w:val="24"/>
          <w:szCs w:val="24"/>
          <w:highlight w:val="none"/>
          <w:lang w:val="en-US" w:eastAsia="zh-CN"/>
        </w:rPr>
        <w:t>），收集后暂存于危险废物贮存间，定期委托有资质单位处置。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③煅烧废渣S6</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喷丝板清洗煅烧废渣产生量为0.20 t/a。为危险废物，煅烧过程熔化的纺丝熔体，为废树脂和少量焦油物质，根据</w:t>
      </w:r>
      <w:r>
        <w:rPr>
          <w:rFonts w:hint="default" w:ascii="Times New Roman" w:hAnsi="Times New Roman" w:eastAsia="宋体" w:cs="Times New Roman"/>
          <w:color w:val="auto"/>
          <w:sz w:val="24"/>
          <w:szCs w:val="24"/>
          <w:highlight w:val="none"/>
          <w:lang w:val="en-US" w:eastAsia="zh-CN"/>
        </w:rPr>
        <w:t>《国家危险废物名录》（2021年），</w:t>
      </w:r>
      <w:r>
        <w:rPr>
          <w:rFonts w:hint="default" w:ascii="Times New Roman" w:hAnsi="Times New Roman" w:cs="Times New Roman"/>
          <w:color w:val="auto"/>
          <w:highlight w:val="none"/>
          <w:lang w:val="en-US" w:eastAsia="zh-CN"/>
        </w:rPr>
        <w:t>煅烧废渣</w:t>
      </w:r>
      <w:r>
        <w:rPr>
          <w:rFonts w:hint="default" w:ascii="Times New Roman" w:hAnsi="Times New Roman" w:eastAsia="宋体" w:cs="Times New Roman"/>
          <w:color w:val="auto"/>
          <w:sz w:val="24"/>
          <w:szCs w:val="24"/>
          <w:highlight w:val="none"/>
          <w:lang w:val="en-US" w:eastAsia="zh-CN"/>
        </w:rPr>
        <w:t>属于危险废物，废物类别为HW13，危废代码900-016-13，收集后暂存于危险废物贮存间，定期委托有资质单位处置。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④废机油S8</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项目在设备日常维护过程中会产生少量的废机械润滑油，根据建设单位提供资料，废机油产生量约为1.0 t/a。根据《国家危险废物名录》（2021年），废机油属危险废物，危废类别HW08 废矿物油与含矿物油废物，危废代码900-214-08，废机油经收集后暂存于危险废物贮存间，</w:t>
      </w:r>
      <w:r>
        <w:rPr>
          <w:rFonts w:hint="default" w:ascii="Times New Roman" w:hAnsi="Times New Roman" w:eastAsia="宋体" w:cs="Times New Roman"/>
          <w:color w:val="auto"/>
          <w:sz w:val="24"/>
          <w:szCs w:val="24"/>
          <w:highlight w:val="none"/>
          <w:lang w:val="en-US" w:eastAsia="zh-CN"/>
        </w:rPr>
        <w:t>定期委托有资质单位处置。</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⑤废油剂空桶S1</w:t>
      </w:r>
      <w:r>
        <w:rPr>
          <w:rFonts w:hint="eastAsia" w:cs="Times New Roman"/>
          <w:color w:val="auto"/>
          <w:highlight w:val="none"/>
          <w:lang w:val="en-US" w:eastAsia="zh-CN"/>
        </w:rPr>
        <w:t>1</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项目年纺丝油剂用量约为40 t/a，纺丝油剂净含量为200 kg/桶，则纺丝油剂空桶为200个/a，根据建设单位提供资料，纺丝油剂空桶质量约为10 kg/个，则油剂空桶年产生量为2.0 t/a，根据</w:t>
      </w:r>
      <w:r>
        <w:rPr>
          <w:rFonts w:hint="default" w:ascii="Times New Roman" w:hAnsi="Times New Roman" w:eastAsia="宋体" w:cs="Times New Roman"/>
          <w:color w:val="auto"/>
          <w:sz w:val="24"/>
          <w:szCs w:val="24"/>
          <w:highlight w:val="none"/>
          <w:lang w:val="en-US" w:eastAsia="zh-CN"/>
        </w:rPr>
        <w:t>《国家危险废物名录》（2021年），废油剂空桶属于危险废物，废物类别为HW08，</w:t>
      </w:r>
      <w:r>
        <w:rPr>
          <w:rFonts w:hint="default" w:ascii="Times New Roman" w:hAnsi="Times New Roman" w:cs="Times New Roman"/>
          <w:color w:val="auto"/>
          <w:sz w:val="24"/>
          <w:szCs w:val="24"/>
          <w:highlight w:val="none"/>
          <w:lang w:val="en-US" w:eastAsia="zh-CN"/>
        </w:rPr>
        <w:t>废物</w:t>
      </w:r>
      <w:r>
        <w:rPr>
          <w:rFonts w:hint="default" w:ascii="Times New Roman" w:hAnsi="Times New Roman" w:eastAsia="宋体" w:cs="Times New Roman"/>
          <w:color w:val="auto"/>
          <w:sz w:val="24"/>
          <w:szCs w:val="24"/>
          <w:highlight w:val="none"/>
          <w:lang w:val="en-US" w:eastAsia="zh-CN"/>
        </w:rPr>
        <w:t>代码900-249-08，</w:t>
      </w:r>
      <w:r>
        <w:rPr>
          <w:rFonts w:hint="default" w:ascii="Times New Roman" w:hAnsi="Times New Roman" w:cs="Times New Roman"/>
          <w:color w:val="auto"/>
          <w:highlight w:val="none"/>
          <w:lang w:val="en-US" w:eastAsia="zh-CN"/>
        </w:rPr>
        <w:t>废油剂空桶收集后，暂存于危险废物贮存间，可定期由厂家回收综合利用，但贮存、运输等环节应按危险废物进行管理。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⑥含油抹布S1</w:t>
      </w:r>
      <w:r>
        <w:rPr>
          <w:rFonts w:hint="eastAsia" w:cs="Times New Roman"/>
          <w:color w:val="auto"/>
          <w:highlight w:val="none"/>
          <w:lang w:val="en-US" w:eastAsia="zh-CN"/>
        </w:rPr>
        <w:t>4</w:t>
      </w:r>
    </w:p>
    <w:p>
      <w:pPr>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项目维修车间在进行设备检修过程中会产生含油抹布，产生量约为1.1 t/a，根据</w:t>
      </w:r>
      <w:r>
        <w:rPr>
          <w:rFonts w:hint="default" w:ascii="Times New Roman" w:hAnsi="Times New Roman" w:eastAsia="宋体" w:cs="Times New Roman"/>
          <w:color w:val="auto"/>
          <w:sz w:val="24"/>
          <w:szCs w:val="24"/>
          <w:highlight w:val="none"/>
          <w:lang w:val="en-US" w:eastAsia="zh-CN"/>
        </w:rPr>
        <w:t>《国家危险废物名录》（2021年），含油抹布（废物代码：900-041-49）属于豁免项目，全过程不按危险废物管理。因此，含有抹布可混入生活垃圾一并委托环卫部门及时清运处理。</w:t>
      </w:r>
    </w:p>
    <w:p>
      <w:pPr>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⑦废布袋S1</w:t>
      </w:r>
      <w:r>
        <w:rPr>
          <w:rFonts w:hint="eastAsia" w:cs="Times New Roman"/>
          <w:color w:val="auto"/>
          <w:sz w:val="24"/>
          <w:szCs w:val="24"/>
          <w:highlight w:val="none"/>
          <w:lang w:val="en-US" w:eastAsia="zh-CN"/>
        </w:rPr>
        <w:t>5</w:t>
      </w:r>
    </w:p>
    <w:p>
      <w:pPr>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本项目在废气治理中需定期对破损的布袋进行更换，根据建设单位提供资料，布袋平均更换周期约为1~2年/次，约0.10 t/a。根据《国家危险废物名录》（2021年），废布袋属于危险废物，废物类别为HW49 其他废物，危废代码900-041-49，</w:t>
      </w:r>
      <w:r>
        <w:rPr>
          <w:rFonts w:hint="default" w:ascii="Times New Roman" w:hAnsi="Times New Roman" w:eastAsia="宋体" w:cs="Times New Roman"/>
          <w:color w:val="auto"/>
          <w:sz w:val="24"/>
          <w:szCs w:val="24"/>
          <w:highlight w:val="none"/>
          <w:lang w:val="en-US" w:eastAsia="zh-CN"/>
        </w:rPr>
        <w:t>收集后暂存于危险废物贮存间，定期委托有资质单位处置</w:t>
      </w:r>
      <w:r>
        <w:rPr>
          <w:rFonts w:hint="default" w:ascii="Times New Roman" w:hAnsi="Times New Roman" w:cs="Times New Roman"/>
          <w:color w:val="auto"/>
          <w:sz w:val="24"/>
          <w:szCs w:val="24"/>
          <w:highlight w:val="none"/>
          <w:lang w:val="en-US" w:eastAsia="zh-CN"/>
        </w:rPr>
        <w:t>。</w:t>
      </w:r>
    </w:p>
    <w:p>
      <w:pPr>
        <w:bidi w:val="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⑧废纺丝油剂S16</w:t>
      </w:r>
    </w:p>
    <w:p>
      <w:pPr>
        <w:bidi w:val="0"/>
        <w:rPr>
          <w:rFonts w:hint="default" w:ascii="Times New Roman" w:hAnsi="Times New Roman" w:eastAsia="宋体" w:cs="Times New Roman"/>
          <w:color w:val="auto"/>
          <w:sz w:val="24"/>
          <w:szCs w:val="24"/>
          <w:highlight w:val="none"/>
          <w:lang w:val="en-US" w:eastAsia="zh-CN"/>
        </w:rPr>
      </w:pPr>
      <w:r>
        <w:rPr>
          <w:rFonts w:hint="eastAsia" w:cs="Times New Roman"/>
          <w:color w:val="auto"/>
          <w:highlight w:val="none"/>
          <w:lang w:val="en-US" w:eastAsia="zh-CN"/>
        </w:rPr>
        <w:t>废纺丝油剂</w:t>
      </w:r>
      <w:r>
        <w:rPr>
          <w:rFonts w:hint="default" w:ascii="Times New Roman" w:hAnsi="Times New Roman" w:cs="Times New Roman"/>
          <w:color w:val="auto"/>
          <w:highlight w:val="none"/>
          <w:lang w:val="en-US" w:eastAsia="zh-CN"/>
        </w:rPr>
        <w:t>主要来源于</w:t>
      </w:r>
      <w:r>
        <w:rPr>
          <w:rFonts w:hint="eastAsia" w:cs="Times New Roman"/>
          <w:color w:val="auto"/>
          <w:highlight w:val="none"/>
          <w:lang w:val="en-US" w:eastAsia="zh-CN"/>
        </w:rPr>
        <w:t>后纺生产工艺过程中产生的废气被</w:t>
      </w:r>
      <w:r>
        <w:rPr>
          <w:rFonts w:hint="default" w:ascii="Times New Roman" w:hAnsi="Times New Roman" w:cs="Times New Roman"/>
          <w:color w:val="auto"/>
          <w:highlight w:val="none"/>
          <w:lang w:val="en-US" w:eastAsia="zh-CN"/>
        </w:rPr>
        <w:t>静电油烟</w:t>
      </w:r>
      <w:r>
        <w:rPr>
          <w:rFonts w:hint="eastAsia" w:cs="Times New Roman"/>
          <w:color w:val="auto"/>
          <w:highlight w:val="none"/>
          <w:lang w:val="en-US" w:eastAsia="zh-CN"/>
        </w:rPr>
        <w:t>吸附</w:t>
      </w:r>
      <w:r>
        <w:rPr>
          <w:rFonts w:hint="default" w:ascii="Times New Roman" w:hAnsi="Times New Roman" w:cs="Times New Roman"/>
          <w:color w:val="auto"/>
          <w:highlight w:val="none"/>
          <w:lang w:val="en-US" w:eastAsia="zh-CN"/>
        </w:rPr>
        <w:t>截留的</w:t>
      </w:r>
      <w:r>
        <w:rPr>
          <w:rFonts w:hint="eastAsia" w:cs="Times New Roman"/>
          <w:color w:val="auto"/>
          <w:highlight w:val="none"/>
          <w:lang w:val="en-US" w:eastAsia="zh-CN"/>
        </w:rPr>
        <w:t>纺丝</w:t>
      </w:r>
      <w:r>
        <w:rPr>
          <w:rFonts w:hint="default" w:ascii="Times New Roman" w:hAnsi="Times New Roman" w:cs="Times New Roman"/>
          <w:color w:val="auto"/>
          <w:highlight w:val="none"/>
          <w:lang w:val="en-US" w:eastAsia="zh-CN"/>
        </w:rPr>
        <w:t>油剂。根据前文分析，扩建工程废气治理设施中静电油烟吸附去除效率按60%计，则截留的</w:t>
      </w:r>
      <w:r>
        <w:rPr>
          <w:rFonts w:hint="eastAsia" w:cs="Times New Roman"/>
          <w:color w:val="auto"/>
          <w:highlight w:val="none"/>
          <w:lang w:val="en-US" w:eastAsia="zh-CN"/>
        </w:rPr>
        <w:t>纺丝</w:t>
      </w:r>
      <w:r>
        <w:rPr>
          <w:rFonts w:hint="default" w:ascii="Times New Roman" w:hAnsi="Times New Roman" w:cs="Times New Roman"/>
          <w:color w:val="auto"/>
          <w:highlight w:val="none"/>
          <w:lang w:val="en-US" w:eastAsia="zh-CN"/>
        </w:rPr>
        <w:t>油剂量约为</w:t>
      </w:r>
      <w:r>
        <w:rPr>
          <w:rFonts w:hint="eastAsia" w:cs="Times New Roman"/>
          <w:color w:val="auto"/>
          <w:highlight w:val="none"/>
          <w:lang w:val="en-US" w:eastAsia="zh-CN"/>
        </w:rPr>
        <w:t>0.864</w:t>
      </w:r>
      <w:r>
        <w:rPr>
          <w:rFonts w:hint="default" w:ascii="Times New Roman" w:hAnsi="Times New Roman" w:cs="Times New Roman"/>
          <w:color w:val="auto"/>
          <w:highlight w:val="none"/>
          <w:lang w:val="en-US" w:eastAsia="zh-CN"/>
        </w:rPr>
        <w:t xml:space="preserve"> t/a</w:t>
      </w:r>
      <w:r>
        <w:rPr>
          <w:rFonts w:hint="eastAsia" w:cs="Times New Roman"/>
          <w:color w:val="auto"/>
          <w:highlight w:val="none"/>
          <w:lang w:val="en-US" w:eastAsia="zh-CN"/>
        </w:rPr>
        <w:t>。</w:t>
      </w:r>
      <w:r>
        <w:rPr>
          <w:rFonts w:hint="eastAsia" w:cs="Times New Roman"/>
          <w:color w:val="auto"/>
          <w:sz w:val="24"/>
          <w:szCs w:val="24"/>
          <w:highlight w:val="none"/>
          <w:lang w:val="en-US" w:eastAsia="zh-CN"/>
        </w:rPr>
        <w:t>纺丝油剂的主要成分为</w:t>
      </w:r>
      <w:r>
        <w:rPr>
          <w:rFonts w:hint="default" w:ascii="Times New Roman" w:hAnsi="Times New Roman" w:cs="Times New Roman"/>
          <w:color w:val="auto"/>
          <w:sz w:val="24"/>
          <w:szCs w:val="24"/>
          <w:highlight w:val="none"/>
          <w:lang w:val="en-US" w:eastAsia="zh-CN"/>
        </w:rPr>
        <w:t>脂肪醇聚酯乙烯醚磷酸酯盐</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脂肪醇聚氧乙烯醚</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脂肪胺聚氧乙烯醚</w:t>
      </w:r>
      <w:r>
        <w:rPr>
          <w:rFonts w:hint="eastAsia" w:cs="Times New Roman"/>
          <w:color w:val="auto"/>
          <w:sz w:val="24"/>
          <w:szCs w:val="24"/>
          <w:highlight w:val="none"/>
          <w:lang w:val="en-US" w:eastAsia="zh-CN"/>
        </w:rPr>
        <w:t>和水，因此，</w:t>
      </w:r>
      <w:r>
        <w:rPr>
          <w:rFonts w:hint="default" w:ascii="Times New Roman" w:hAnsi="Times New Roman" w:cs="Times New Roman"/>
          <w:color w:val="auto"/>
          <w:highlight w:val="none"/>
          <w:lang w:val="en-US" w:eastAsia="zh-CN"/>
        </w:rPr>
        <w:t>根据</w:t>
      </w:r>
      <w:r>
        <w:rPr>
          <w:rFonts w:hint="default" w:ascii="Times New Roman" w:hAnsi="Times New Roman" w:eastAsia="宋体" w:cs="Times New Roman"/>
          <w:color w:val="auto"/>
          <w:sz w:val="24"/>
          <w:szCs w:val="24"/>
          <w:highlight w:val="none"/>
          <w:lang w:val="en-US" w:eastAsia="zh-CN"/>
        </w:rPr>
        <w:t>《国家危险废物名录》（2021年），</w:t>
      </w:r>
      <w:r>
        <w:rPr>
          <w:rFonts w:hint="eastAsia" w:cs="Times New Roman"/>
          <w:color w:val="auto"/>
          <w:sz w:val="24"/>
          <w:szCs w:val="24"/>
          <w:highlight w:val="none"/>
          <w:lang w:val="en-US" w:eastAsia="zh-CN"/>
        </w:rPr>
        <w:t>废纺丝油剂</w:t>
      </w:r>
      <w:r>
        <w:rPr>
          <w:rFonts w:hint="default" w:ascii="Times New Roman" w:hAnsi="Times New Roman" w:eastAsia="宋体" w:cs="Times New Roman"/>
          <w:color w:val="auto"/>
          <w:sz w:val="24"/>
          <w:szCs w:val="24"/>
          <w:highlight w:val="none"/>
          <w:lang w:val="en-US" w:eastAsia="zh-CN"/>
        </w:rPr>
        <w:t>属于危险废物，废物类别为HW0</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，危废代码900-</w:t>
      </w:r>
      <w:r>
        <w:rPr>
          <w:rFonts w:hint="eastAsia" w:cs="Times New Roman"/>
          <w:color w:val="auto"/>
          <w:sz w:val="24"/>
          <w:szCs w:val="24"/>
          <w:highlight w:val="none"/>
          <w:lang w:val="en-US" w:eastAsia="zh-CN"/>
        </w:rPr>
        <w:t>007</w:t>
      </w:r>
      <w:r>
        <w:rPr>
          <w:rFonts w:hint="default"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其他工艺过程中产生的油/水、烃/水混合物或乳化物</w:t>
      </w:r>
      <w:r>
        <w:rPr>
          <w:rFonts w:hint="default" w:ascii="Times New Roman" w:hAnsi="Times New Roman" w:eastAsia="宋体" w:cs="Times New Roman"/>
          <w:color w:val="auto"/>
          <w:sz w:val="24"/>
          <w:szCs w:val="24"/>
          <w:highlight w:val="none"/>
          <w:lang w:val="en-US" w:eastAsia="zh-CN"/>
        </w:rPr>
        <w:t>），收集后暂存于危险废物贮存间，定期委托有资质单位处置。</w:t>
      </w:r>
    </w:p>
    <w:p>
      <w:pPr>
        <w:bidi w:val="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⑨废活性炭17</w:t>
      </w:r>
    </w:p>
    <w:p>
      <w:pPr>
        <w:bidi w:val="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根据前文分析，活性炭主要用于处理危险废物贮存间挥发的有机废气，处理量为0.0477 t/a。根据环境工程方面的经验数据，1 t活性炭约吸附250~300kg有机废气（本项目按250 kg计），则所需的活性炭量为0.1908 t/a，产生的废活性炭0.2385 t/a（含吸附的有机废气），根据《国家危险废物名录（2021年）》，废活性炭属于HW49 其他废物 900-039-49，废活性炭由专用容器收集后暂存危废间，定期委托有资质的单位接收处置。</w:t>
      </w:r>
    </w:p>
    <w:p>
      <w:pPr>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扩建工程新增危险废物汇总详见</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REF _Ref2116 \n \h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表3.6-16</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（3）生活垃圾S1</w:t>
      </w:r>
      <w:r>
        <w:rPr>
          <w:rFonts w:hint="eastAsia" w:cs="Times New Roman"/>
          <w:color w:val="auto"/>
          <w:highlight w:val="none"/>
          <w:lang w:val="en-US" w:eastAsia="zh-CN"/>
        </w:rPr>
        <w:t>8</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根据我国生活垃圾排放系数，不住厂职工生活垃圾排放系数取K=0.5 kg/（p·d），住厂职工生活垃圾排放系数取K=1 kg/（p·d）。扩建后，项目拟新增员工200人，其中100人在厂食宿，100人不在厂食宿，年工作330天，则项目新增生活垃圾产生量为49.5 t/a。生活垃圾分类收集后，由环卫部门统一清运处置。</w:t>
      </w:r>
    </w:p>
    <w:p>
      <w:pPr>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扩建工程新增固体废物汇总详见</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REF _Ref10953 \n \h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表3.6-17</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，全厂固体废物汇总详</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REF _Ref15322 \n \h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表3.6-18</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w:t>
      </w:r>
    </w:p>
    <w:p>
      <w:pPr>
        <w:bidi w:val="0"/>
        <w:rPr>
          <w:rFonts w:hint="default" w:ascii="Times New Roman" w:hAnsi="Times New Roman" w:eastAsia="宋体" w:cs="Times New Roman"/>
          <w:color w:val="auto"/>
          <w:sz w:val="24"/>
          <w:szCs w:val="24"/>
          <w:highlight w:val="none"/>
          <w:lang w:val="en-US" w:eastAsia="zh-CN"/>
        </w:rPr>
      </w:pPr>
    </w:p>
    <w:p>
      <w:pPr>
        <w:bidi w:val="0"/>
        <w:rPr>
          <w:rFonts w:hint="default" w:ascii="Times New Roman" w:hAnsi="Times New Roman" w:eastAsia="宋体" w:cs="Times New Roman"/>
          <w:color w:val="auto"/>
          <w:sz w:val="24"/>
          <w:szCs w:val="24"/>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378" w:name="_Ref2116"/>
      <w:r>
        <w:rPr>
          <w:rFonts w:hint="default" w:ascii="Times New Roman" w:hAnsi="Times New Roman" w:cs="Times New Roman"/>
          <w:color w:val="auto"/>
          <w:highlight w:val="none"/>
          <w:lang w:val="en-US" w:eastAsia="zh-CN"/>
        </w:rPr>
        <w:t>扩建工程危险废物汇总表</w:t>
      </w:r>
      <w:bookmarkEnd w:id="378"/>
    </w:p>
    <w:p>
      <w:pPr>
        <w:bidi w:val="0"/>
        <w:rPr>
          <w:rFonts w:hint="default" w:ascii="Times New Roman" w:hAnsi="Times New Roman" w:eastAsia="宋体" w:cs="Times New Roman"/>
          <w:color w:val="auto"/>
          <w:sz w:val="24"/>
          <w:szCs w:val="24"/>
          <w:highlight w:val="none"/>
          <w:lang w:val="en-US" w:eastAsia="zh-CN"/>
        </w:rPr>
      </w:pPr>
    </w:p>
    <w:p>
      <w:pPr>
        <w:bidi w:val="0"/>
        <w:rPr>
          <w:rFonts w:hint="default" w:ascii="Times New Roman" w:hAnsi="Times New Roman" w:eastAsia="宋体" w:cs="Times New Roman"/>
          <w:color w:val="auto"/>
          <w:sz w:val="24"/>
          <w:szCs w:val="24"/>
          <w:highlight w:val="none"/>
          <w:lang w:val="en-US" w:eastAsia="zh-CN"/>
        </w:rPr>
      </w:pPr>
    </w:p>
    <w:p>
      <w:pPr>
        <w:bidi w:val="0"/>
        <w:rPr>
          <w:rFonts w:hint="default" w:ascii="Times New Roman" w:hAnsi="Times New Roman" w:eastAsia="宋体" w:cs="Times New Roman"/>
          <w:color w:val="auto"/>
          <w:sz w:val="24"/>
          <w:szCs w:val="24"/>
          <w:highlight w:val="none"/>
          <w:lang w:val="en-US" w:eastAsia="zh-CN"/>
        </w:rPr>
      </w:pPr>
    </w:p>
    <w:p>
      <w:pPr>
        <w:bidi w:val="0"/>
        <w:rPr>
          <w:rFonts w:hint="default" w:ascii="Times New Roman" w:hAnsi="Times New Roman" w:eastAsia="宋体" w:cs="Times New Roman"/>
          <w:color w:val="auto"/>
          <w:sz w:val="24"/>
          <w:szCs w:val="24"/>
          <w:highlight w:val="none"/>
          <w:lang w:val="en-US" w:eastAsia="zh-CN"/>
        </w:r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79" w:name="_Ref10953"/>
      <w:r>
        <w:rPr>
          <w:rFonts w:hint="default" w:ascii="Times New Roman" w:hAnsi="Times New Roman" w:cs="Times New Roman"/>
          <w:color w:val="auto"/>
          <w:highlight w:val="none"/>
          <w:lang w:val="en-US" w:eastAsia="zh-CN"/>
        </w:rPr>
        <w:t>扩建工程固体废物汇总表</w:t>
      </w:r>
      <w:bookmarkEnd w:id="379"/>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80" w:name="_Ref10966"/>
      <w:bookmarkStart w:id="381" w:name="_Ref15322"/>
      <w:r>
        <w:rPr>
          <w:rFonts w:hint="default" w:ascii="Times New Roman" w:hAnsi="Times New Roman" w:cs="Times New Roman"/>
          <w:color w:val="auto"/>
          <w:highlight w:val="none"/>
          <w:lang w:val="en-US" w:eastAsia="zh-CN"/>
        </w:rPr>
        <w:t>全厂固体废物汇总一览表</w:t>
      </w:r>
      <w:bookmarkEnd w:id="380"/>
      <w:bookmarkEnd w:id="381"/>
    </w:p>
    <w:p>
      <w:pPr>
        <w:rPr>
          <w:rFonts w:hint="default" w:ascii="Times New Roman" w:hAnsi="Times New Roman" w:cs="Times New Roman"/>
          <w:color w:val="auto"/>
          <w:highlight w:val="none"/>
          <w:lang w:val="en-US" w:eastAsia="zh-CN"/>
        </w:rPr>
      </w:pPr>
    </w:p>
    <w:p>
      <w:pPr>
        <w:bidi w:val="0"/>
        <w:rPr>
          <w:rFonts w:hint="default" w:ascii="Times New Roman" w:hAnsi="Times New Roman" w:eastAsia="宋体" w:cs="Times New Roman"/>
          <w:color w:val="auto"/>
          <w:sz w:val="24"/>
          <w:szCs w:val="24"/>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5"/>
        <w:numPr>
          <w:ilvl w:val="3"/>
          <w:numId w:val="3"/>
        </w:numPr>
        <w:tabs>
          <w:tab w:val="left" w:pos="420"/>
        </w:tabs>
        <w:bidi w:val="0"/>
        <w:rPr>
          <w:rFonts w:hint="default" w:ascii="Times New Roman" w:hAnsi="Times New Roman" w:cs="Times New Roman"/>
          <w:color w:val="auto"/>
          <w:highlight w:val="none"/>
          <w:lang w:val="en-US" w:eastAsia="zh-CN"/>
        </w:rPr>
      </w:pPr>
      <w:bookmarkStart w:id="382" w:name="_Toc26278"/>
      <w:bookmarkStart w:id="383" w:name="_Toc26122"/>
      <w:bookmarkStart w:id="384" w:name="_Toc8523"/>
      <w:bookmarkStart w:id="385" w:name="_Toc27792"/>
      <w:bookmarkStart w:id="386" w:name="_Toc24227"/>
      <w:r>
        <w:rPr>
          <w:rFonts w:hint="default" w:ascii="Times New Roman" w:hAnsi="Times New Roman" w:cs="Times New Roman"/>
          <w:color w:val="auto"/>
          <w:highlight w:val="none"/>
          <w:lang w:val="en-US" w:eastAsia="zh-CN"/>
        </w:rPr>
        <w:t>扩建工程污染物产排情况汇总</w:t>
      </w:r>
      <w:bookmarkEnd w:id="382"/>
      <w:bookmarkEnd w:id="383"/>
      <w:bookmarkEnd w:id="384"/>
      <w:bookmarkEnd w:id="385"/>
      <w:bookmarkEnd w:id="386"/>
    </w:p>
    <w:p>
      <w:pPr>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污染物产排情况汇总详见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_Ref29397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表3.6-19</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387" w:name="_Ref29397"/>
      <w:r>
        <w:rPr>
          <w:rFonts w:hint="default" w:ascii="Times New Roman" w:hAnsi="Times New Roman" w:cs="Times New Roman"/>
          <w:color w:val="auto"/>
          <w:highlight w:val="none"/>
          <w:lang w:val="en-US" w:eastAsia="zh-CN"/>
        </w:rPr>
        <w:t>扩建工程污染物产排情况一览表</w:t>
      </w:r>
      <w:bookmarkEnd w:id="387"/>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88" w:name="_Toc6345"/>
      <w:bookmarkStart w:id="389" w:name="_Toc20926"/>
      <w:bookmarkStart w:id="390" w:name="_Toc10215"/>
      <w:bookmarkStart w:id="391" w:name="_Toc22680"/>
      <w:bookmarkStart w:id="392" w:name="_Toc13764"/>
      <w:r>
        <w:rPr>
          <w:rFonts w:hint="default" w:ascii="Times New Roman" w:hAnsi="Times New Roman" w:cs="Times New Roman"/>
          <w:color w:val="auto"/>
          <w:highlight w:val="none"/>
          <w:lang w:val="en-US" w:eastAsia="zh-CN"/>
        </w:rPr>
        <w:t>非正常工况污染源强分析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污染源非正常排放包括生产运行阶段的开、停车、检修、操作不正常时的污染物排放，以及工艺设备或环保设施达不到设计规定的指标运行时的排污，不包括事故情况。</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废水非正常排放分析</w:t>
      </w:r>
    </w:p>
    <w:bookmarkEnd w:id="388"/>
    <w:bookmarkEnd w:id="389"/>
    <w:bookmarkEnd w:id="390"/>
    <w:bookmarkEnd w:id="391"/>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污水处理站设备故障</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本评价中废水的非正常排放考虑因为污水处理站设备故障时，在该段时间内，环保设施可能未完全运行。若发生上述非正常工况，会造成废水中COD、</w:t>
      </w: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、石油类</w:t>
      </w:r>
      <w:r>
        <w:rPr>
          <w:rFonts w:hint="default" w:ascii="Times New Roman" w:hAnsi="Times New Roman" w:cs="Times New Roman"/>
          <w:color w:val="auto"/>
          <w:highlight w:val="none"/>
        </w:rPr>
        <w:t>等污染</w:t>
      </w:r>
      <w:r>
        <w:rPr>
          <w:rFonts w:hint="default" w:ascii="Times New Roman" w:hAnsi="Times New Roman" w:cs="Times New Roman"/>
          <w:color w:val="auto"/>
          <w:highlight w:val="none"/>
          <w:lang w:val="en-US" w:eastAsia="zh-CN"/>
        </w:rPr>
        <w:t>因子</w:t>
      </w:r>
      <w:r>
        <w:rPr>
          <w:rFonts w:hint="default" w:ascii="Times New Roman" w:hAnsi="Times New Roman" w:cs="Times New Roman"/>
          <w:color w:val="auto"/>
          <w:highlight w:val="none"/>
        </w:rPr>
        <w:t>的超标排放增加</w:t>
      </w:r>
      <w:r>
        <w:rPr>
          <w:rFonts w:hint="default" w:ascii="Times New Roman" w:hAnsi="Times New Roman" w:cs="Times New Roman"/>
          <w:color w:val="auto"/>
          <w:highlight w:val="none"/>
          <w:lang w:val="en-US" w:eastAsia="zh-CN"/>
        </w:rPr>
        <w:t>牙城镇</w:t>
      </w:r>
      <w:r>
        <w:rPr>
          <w:rFonts w:hint="default" w:ascii="Times New Roman" w:hAnsi="Times New Roman" w:cs="Times New Roman"/>
          <w:color w:val="auto"/>
          <w:highlight w:val="none"/>
        </w:rPr>
        <w:t>污水</w:t>
      </w:r>
      <w:r>
        <w:rPr>
          <w:rFonts w:hint="default" w:ascii="Times New Roman" w:hAnsi="Times New Roman" w:cs="Times New Roman"/>
          <w:color w:val="auto"/>
          <w:highlight w:val="none"/>
          <w:lang w:val="en-US" w:eastAsia="zh-CN"/>
        </w:rPr>
        <w:t>处理</w:t>
      </w:r>
      <w:r>
        <w:rPr>
          <w:rFonts w:hint="default" w:ascii="Times New Roman" w:hAnsi="Times New Roman" w:cs="Times New Roman"/>
          <w:color w:val="auto"/>
          <w:highlight w:val="none"/>
        </w:rPr>
        <w:t>厂运行负荷。</w:t>
      </w:r>
      <w:r>
        <w:rPr>
          <w:rFonts w:hint="default" w:ascii="Times New Roman" w:hAnsi="Times New Roman" w:cs="Times New Roman"/>
          <w:color w:val="auto"/>
          <w:highlight w:val="none"/>
          <w:lang w:val="en-US" w:eastAsia="zh-CN"/>
        </w:rPr>
        <w:t>假定污水处理设施处理效率为0，则废水非正常排放源强见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_Ref29975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表3.6-20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93" w:name="_Ref29975"/>
      <w:r>
        <w:rPr>
          <w:rFonts w:hint="default" w:ascii="Times New Roman" w:hAnsi="Times New Roman" w:cs="Times New Roman"/>
          <w:color w:val="auto"/>
          <w:highlight w:val="none"/>
          <w:lang w:val="en-US" w:eastAsia="zh-CN"/>
        </w:rPr>
        <w:t>非正常排放废水水质</w:t>
      </w:r>
      <w:bookmarkEnd w:id="393"/>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开停车影响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开车时，纺丝组件一般不需要清洗，无废水产生；停车时，对纺丝组件进行清洗，废水进入污水处理设施，清洗废水已经纳入正常生产统计。</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（3）停电影响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有计划停电属于可控事故，突发性停电可能引起污水未经处理完全后排放，此时应该关闭排放口，将废水引至事故池。</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废气非正常排放分析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根据项目实际情况，本项目在</w:t>
      </w:r>
      <w:r>
        <w:rPr>
          <w:rFonts w:hint="default" w:ascii="Times New Roman" w:hAnsi="Times New Roman" w:cs="Times New Roman"/>
          <w:color w:val="auto"/>
          <w:highlight w:val="none"/>
        </w:rPr>
        <w:t>生产运行阶段的开、停</w:t>
      </w:r>
      <w:r>
        <w:rPr>
          <w:rFonts w:hint="default" w:ascii="Times New Roman" w:hAnsi="Times New Roman" w:cs="Times New Roman"/>
          <w:color w:val="auto"/>
          <w:highlight w:val="none"/>
          <w:lang w:val="en-US" w:eastAsia="zh-CN"/>
        </w:rPr>
        <w:t>工</w:t>
      </w:r>
      <w:r>
        <w:rPr>
          <w:rFonts w:hint="default" w:ascii="Times New Roman" w:hAnsi="Times New Roman" w:cs="Times New Roman"/>
          <w:color w:val="auto"/>
          <w:highlight w:val="none"/>
        </w:rPr>
        <w:t>、检修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设备检修过程中，即生产停止，无污染物排放。扩建工程</w:t>
      </w:r>
      <w:r>
        <w:rPr>
          <w:rFonts w:hint="eastAsia" w:cs="Times New Roman"/>
          <w:color w:val="auto"/>
          <w:highlight w:val="none"/>
          <w:lang w:val="en-US" w:eastAsia="zh-CN"/>
        </w:rPr>
        <w:t>主要</w:t>
      </w:r>
      <w:r>
        <w:rPr>
          <w:rFonts w:hint="default" w:ascii="Times New Roman" w:hAnsi="Times New Roman" w:cs="Times New Roman"/>
          <w:color w:val="auto"/>
          <w:highlight w:val="none"/>
          <w:lang w:val="en-US" w:eastAsia="zh-CN"/>
        </w:rPr>
        <w:t>有效废气处理设施为“</w:t>
      </w:r>
      <w:r>
        <w:rPr>
          <w:rFonts w:hint="default" w:ascii="Times New Roman" w:hAnsi="Times New Roman" w:cs="Times New Roman"/>
          <w:color w:val="auto"/>
          <w:szCs w:val="20"/>
          <w:highlight w:val="none"/>
          <w:lang w:val="en-US" w:eastAsia="zh-CN"/>
        </w:rPr>
        <w:t>布袋除尘器+碱液喷淋+除雾器+低温等离子</w:t>
      </w:r>
      <w:r>
        <w:rPr>
          <w:rFonts w:hint="default" w:ascii="Times New Roman" w:hAnsi="Times New Roman" w:cs="Times New Roman"/>
          <w:color w:val="auto"/>
          <w:highlight w:val="none"/>
          <w:lang w:val="en-US" w:eastAsia="zh-CN"/>
        </w:rPr>
        <w:t>”（DA00</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）以及“</w:t>
      </w:r>
      <w:r>
        <w:rPr>
          <w:rFonts w:hint="default" w:ascii="Times New Roman" w:hAnsi="Times New Roman" w:cs="Times New Roman"/>
          <w:color w:val="auto"/>
          <w:szCs w:val="20"/>
          <w:highlight w:val="none"/>
          <w:lang w:val="en-US" w:eastAsia="zh-CN"/>
        </w:rPr>
        <w:t>静电油烟吸附+低温等离子</w:t>
      </w:r>
      <w:r>
        <w:rPr>
          <w:rFonts w:hint="default" w:ascii="Times New Roman" w:hAnsi="Times New Roman" w:cs="Times New Roman"/>
          <w:color w:val="auto"/>
          <w:highlight w:val="none"/>
          <w:lang w:val="en-US" w:eastAsia="zh-CN"/>
        </w:rPr>
        <w:t>”（DA00</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2套废气处理设施同时发生故障的概率很小，本次评价假定其中1套废气处理设施发生故障</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该套废气处理设施去除效率为0，</w:t>
      </w:r>
      <w:r>
        <w:rPr>
          <w:rFonts w:hint="default" w:ascii="Times New Roman" w:hAnsi="Times New Roman" w:cs="Times New Roman"/>
          <w:color w:val="auto"/>
          <w:highlight w:val="none"/>
          <w:lang w:val="en-US" w:eastAsia="zh-CN"/>
        </w:rPr>
        <w:t>具体分析如下：</w:t>
      </w:r>
    </w:p>
    <w:p>
      <w:pPr>
        <w:pStyle w:val="24"/>
        <w:numPr>
          <w:ilvl w:val="6"/>
          <w:numId w:val="3"/>
        </w:numPr>
        <w:tabs>
          <w:tab w:val="left" w:pos="420"/>
        </w:tabs>
        <w:bidi w:val="0"/>
        <w:rPr>
          <w:rStyle w:val="19"/>
          <w:rFonts w:hint="default" w:ascii="Times New Roman" w:hAnsi="Times New Roman" w:cs="Times New Roman"/>
          <w:color w:val="auto"/>
          <w:highlight w:val="none"/>
          <w:lang w:val="en-US" w:eastAsia="zh-CN"/>
        </w:rPr>
      </w:pPr>
      <w:r>
        <w:rPr>
          <w:rStyle w:val="19"/>
          <w:rFonts w:hint="default" w:ascii="Times New Roman" w:hAnsi="Times New Roman" w:cs="Times New Roman"/>
          <w:color w:val="auto"/>
          <w:highlight w:val="none"/>
          <w:lang w:val="en-US" w:eastAsia="zh-CN"/>
        </w:rPr>
        <w:t>非正常排放废气污染物排放情况</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394" w:name="_Toc8889"/>
      <w:bookmarkStart w:id="395" w:name="_Toc19413"/>
      <w:bookmarkStart w:id="396" w:name="_Toc22432"/>
      <w:bookmarkStart w:id="397" w:name="_Toc5648"/>
      <w:r>
        <w:rPr>
          <w:rFonts w:hint="default" w:ascii="Times New Roman" w:hAnsi="Times New Roman" w:cs="Times New Roman"/>
          <w:color w:val="auto"/>
          <w:highlight w:val="none"/>
          <w:lang w:val="en-US" w:eastAsia="zh-CN"/>
        </w:rPr>
        <w:t>扩建前后“三本账”分析</w:t>
      </w:r>
    </w:p>
    <w:p>
      <w:pPr>
        <w:bidi w:val="0"/>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项目扩建前后，污染物“三本账”分析情况详见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_Ref27422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表3.6-22</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bidi w:val="0"/>
        <w:rPr>
          <w:rFonts w:hint="eastAsia" w:cs="Times New Roman"/>
          <w:color w:val="auto"/>
          <w:highlight w:val="none"/>
          <w:lang w:val="en-US" w:eastAsia="zh-CN"/>
        </w:rPr>
      </w:pPr>
    </w:p>
    <w:p>
      <w:pPr>
        <w:bidi w:val="0"/>
        <w:rPr>
          <w:rFonts w:hint="eastAsia" w:cs="Times New Roman"/>
          <w:color w:val="auto"/>
          <w:highlight w:val="none"/>
          <w:lang w:val="en-US" w:eastAsia="zh-CN"/>
        </w:rPr>
      </w:pPr>
    </w:p>
    <w:p>
      <w:pPr>
        <w:bidi w:val="0"/>
        <w:rPr>
          <w:rFonts w:hint="eastAsia" w:cs="Times New Roman"/>
          <w:color w:val="auto"/>
          <w:highlight w:val="none"/>
          <w:lang w:val="en-US" w:eastAsia="zh-CN"/>
        </w:r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398" w:name="_Ref27422"/>
      <w:r>
        <w:rPr>
          <w:rFonts w:hint="default" w:ascii="Times New Roman" w:hAnsi="Times New Roman" w:cs="Times New Roman"/>
          <w:color w:val="auto"/>
          <w:highlight w:val="none"/>
          <w:lang w:val="en-US" w:eastAsia="zh-CN"/>
        </w:rPr>
        <w:t>扩建前后“三本账”分析</w:t>
      </w:r>
      <w:bookmarkEnd w:id="398"/>
    </w:p>
    <w:p>
      <w:pPr>
        <w:pStyle w:val="3"/>
        <w:numPr>
          <w:ilvl w:val="1"/>
          <w:numId w:val="3"/>
        </w:numPr>
        <w:bidi w:val="0"/>
        <w:rPr>
          <w:rFonts w:hint="default" w:ascii="Times New Roman" w:hAnsi="Times New Roman" w:cs="Times New Roman"/>
          <w:color w:val="auto"/>
          <w:highlight w:val="none"/>
          <w:lang w:val="en-US" w:eastAsia="zh-CN"/>
        </w:rPr>
      </w:pPr>
      <w:bookmarkStart w:id="399" w:name="_Toc3896"/>
      <w:bookmarkStart w:id="400" w:name="_Toc7328"/>
      <w:bookmarkStart w:id="401" w:name="_Toc29997"/>
      <w:bookmarkStart w:id="402" w:name="_Toc17603"/>
      <w:r>
        <w:rPr>
          <w:rFonts w:hint="default" w:ascii="Times New Roman" w:hAnsi="Times New Roman" w:cs="Times New Roman"/>
          <w:color w:val="auto"/>
          <w:highlight w:val="none"/>
          <w:lang w:val="en-US" w:eastAsia="zh-CN"/>
        </w:rPr>
        <w:t>产业政策符合性分析</w:t>
      </w:r>
      <w:bookmarkEnd w:id="392"/>
      <w:bookmarkEnd w:id="394"/>
      <w:bookmarkEnd w:id="395"/>
      <w:bookmarkEnd w:id="396"/>
      <w:bookmarkEnd w:id="397"/>
      <w:bookmarkEnd w:id="399"/>
      <w:bookmarkEnd w:id="400"/>
      <w:bookmarkEnd w:id="401"/>
      <w:bookmarkEnd w:id="402"/>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利用回收的涤纶纺织下脚料生产PET再生纤维。根据《产业结构调整指导目录》（2019年本），本项目属于“鼓励类：二十、纺织，13、废旧纺织品回收再利用技术、设备的研发和应用，利用聚酯回收材料生产涤纶工业丝、差别化和功能性涤纶长丝、非织造材料等高附加值产品”，同时，项目已取得霞浦县工业和信息化局备案表（闽工信备[2020] J040014号）（见附件</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），因此，项目符合国家和地方产业政策。</w:t>
      </w:r>
    </w:p>
    <w:p>
      <w:pPr>
        <w:pStyle w:val="3"/>
        <w:numPr>
          <w:ilvl w:val="1"/>
          <w:numId w:val="3"/>
        </w:numPr>
        <w:bidi w:val="0"/>
        <w:rPr>
          <w:rFonts w:hint="default" w:ascii="Times New Roman" w:hAnsi="Times New Roman" w:cs="Times New Roman"/>
          <w:color w:val="auto"/>
          <w:highlight w:val="none"/>
          <w:lang w:val="en-US" w:eastAsia="zh-CN"/>
        </w:rPr>
      </w:pPr>
      <w:bookmarkStart w:id="403" w:name="_Toc19336"/>
      <w:bookmarkStart w:id="404" w:name="_Toc28923"/>
      <w:bookmarkStart w:id="405" w:name="_Toc6394"/>
      <w:bookmarkStart w:id="406" w:name="_Toc17600"/>
      <w:bookmarkStart w:id="407" w:name="_Toc14056"/>
      <w:bookmarkStart w:id="408" w:name="_Toc24327"/>
      <w:bookmarkStart w:id="409" w:name="_Toc29658"/>
      <w:bookmarkStart w:id="410" w:name="_Toc32291"/>
      <w:bookmarkStart w:id="411" w:name="_Toc1890"/>
      <w:r>
        <w:rPr>
          <w:rFonts w:hint="default" w:ascii="Times New Roman" w:hAnsi="Times New Roman" w:cs="Times New Roman"/>
          <w:color w:val="auto"/>
          <w:highlight w:val="none"/>
          <w:lang w:val="en-US" w:eastAsia="zh-CN"/>
        </w:rPr>
        <w:t>选址规划符合性分析</w:t>
      </w:r>
      <w:bookmarkEnd w:id="403"/>
      <w:bookmarkEnd w:id="404"/>
      <w:bookmarkEnd w:id="405"/>
      <w:bookmarkEnd w:id="406"/>
      <w:bookmarkEnd w:id="407"/>
      <w:bookmarkEnd w:id="408"/>
      <w:bookmarkEnd w:id="409"/>
      <w:bookmarkEnd w:id="410"/>
      <w:bookmarkEnd w:id="411"/>
    </w:p>
    <w:p>
      <w:pPr>
        <w:pStyle w:val="4"/>
        <w:numPr>
          <w:ilvl w:val="2"/>
          <w:numId w:val="3"/>
        </w:numPr>
        <w:tabs>
          <w:tab w:val="left" w:pos="420"/>
        </w:tabs>
        <w:bidi w:val="0"/>
        <w:rPr>
          <w:rFonts w:hint="default" w:ascii="Times New Roman" w:hAnsi="Times New Roman" w:cs="Times New Roman"/>
          <w:color w:val="auto"/>
          <w:highlight w:val="none"/>
          <w:lang w:val="en-US" w:eastAsia="zh-CN"/>
        </w:rPr>
      </w:pPr>
      <w:bookmarkStart w:id="412" w:name="_Toc1293"/>
      <w:r>
        <w:rPr>
          <w:rFonts w:hint="default" w:ascii="Times New Roman" w:hAnsi="Times New Roman" w:cs="Times New Roman"/>
          <w:color w:val="auto"/>
          <w:highlight w:val="none"/>
          <w:lang w:val="en-US" w:eastAsia="zh-CN"/>
        </w:rPr>
        <w:t>与《宁德市霞浦县牙城镇东洋工业园区控制性详细规划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》的符合性分析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宁德市霞浦县牙城镇东洋工业园区控制性详细规划的原功能定位为东洋工业园是以金属制品业（主要为不锈钢与搪瓷制品）、通用设备制造业（金属铸、锻加工、通用零部件制造）、动物胶制造业、纺织业（服装、布料）、鞋业（橡胶靴鞋制造）为主导产业的现代工业园区。根据宁德市霞浦县牙城镇东洋工业园区控制性详细规划环境影响报告书分析，园区产业部分设置不合理，对部分主导产业进行调整，其中纺织业为推荐，园区禁止引入印染企业，禁止纤维素纤维原料及纤维制造，只推荐利用纺织下脚料、回收PET生产涤纶纤维的项目。环保准入条件：有机废气应进行净化处理，净化效率达到90%以上，清洁生产不低于清洁生产二级水平。</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本项目位于霞浦县东洋工业园区内，项目用地性质为工业用地（详见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_Ref32512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图3.8-1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），主要利用回收的涤纶纺织下脚料生产PET再生纤维，扩建工程全厂废气治理设施处理效率均可达到90%以上，清洁生产为</w:t>
      </w:r>
      <w:r>
        <w:rPr>
          <w:rFonts w:hint="default" w:ascii="Times New Roman" w:hAnsi="Times New Roman" w:cs="Times New Roman"/>
          <w:color w:val="auto"/>
          <w:szCs w:val="20"/>
          <w:highlight w:val="none"/>
          <w:lang w:val="en-US" w:eastAsia="zh-CN"/>
        </w:rPr>
        <w:t>Ⅱ级（国内清洁生产先进水平）。</w:t>
      </w:r>
      <w:r>
        <w:rPr>
          <w:rFonts w:hint="default" w:ascii="Times New Roman" w:hAnsi="Times New Roman" w:cs="Times New Roman"/>
          <w:color w:val="auto"/>
          <w:highlight w:val="none"/>
          <w:lang w:val="en-US" w:eastAsia="zh-CN"/>
        </w:rPr>
        <w:t>因此，本次扩建项目符合园区产业功能定位和环保准入要求。</w:t>
      </w:r>
    </w:p>
    <w:p>
      <w:pPr>
        <w:ind w:left="0" w:leftChars="0" w:firstLine="0" w:firstLineChars="0"/>
        <w:rPr>
          <w:rFonts w:hint="default" w:ascii="Times New Roman" w:hAnsi="Times New Roman" w:cs="Times New Roman"/>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bookmarkStart w:id="413" w:name="_Ref32512"/>
      <w:bookmarkEnd w:id="413"/>
      <w:r>
        <w:rPr>
          <w:rFonts w:hint="default" w:ascii="Times New Roman" w:hAnsi="Times New Roman" w:cs="Times New Roman"/>
          <w:color w:val="auto"/>
          <w:highlight w:val="none"/>
          <w:lang w:val="en-US" w:eastAsia="zh-CN"/>
        </w:rPr>
        <w:t>牙城镇东洋工业园土地利用规划图</w:t>
      </w:r>
    </w:p>
    <w:p>
      <w:pPr>
        <w:pStyle w:val="4"/>
        <w:numPr>
          <w:ilvl w:val="2"/>
          <w:numId w:val="3"/>
        </w:numPr>
        <w:tabs>
          <w:tab w:val="left" w:pos="420"/>
        </w:tabs>
        <w:bidi w:val="0"/>
        <w:rPr>
          <w:rFonts w:hint="default"/>
          <w:color w:val="auto"/>
          <w:lang w:val="en-US" w:eastAsia="zh-CN"/>
        </w:rPr>
      </w:pPr>
      <w:r>
        <w:rPr>
          <w:rFonts w:hint="eastAsia"/>
          <w:color w:val="auto"/>
          <w:lang w:val="en-US" w:eastAsia="zh-CN"/>
        </w:rPr>
        <w:t>与</w:t>
      </w:r>
      <w:r>
        <w:rPr>
          <w:rFonts w:hint="default" w:ascii="Times New Roman" w:hAnsi="Times New Roman" w:cs="Times New Roman"/>
          <w:color w:val="auto"/>
          <w:highlight w:val="none"/>
          <w:lang w:val="en-US" w:eastAsia="zh-CN"/>
        </w:rPr>
        <w:t>《宁德市霞浦县牙城镇东洋工业园区控制性详细规划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审查意见的符合性分析</w:t>
      </w:r>
    </w:p>
    <w:p>
      <w:pPr>
        <w:rPr>
          <w:rFonts w:hint="default" w:cs="Times New Roman"/>
          <w:color w:val="auto"/>
          <w:highlight w:val="none"/>
          <w:lang w:val="en-US" w:eastAsia="zh-CN"/>
        </w:rPr>
      </w:pPr>
      <w:r>
        <w:rPr>
          <w:rFonts w:hint="eastAsia"/>
          <w:color w:val="auto"/>
          <w:lang w:val="en-US" w:eastAsia="zh-CN"/>
        </w:rPr>
        <w:t>根据</w:t>
      </w:r>
      <w:r>
        <w:rPr>
          <w:rFonts w:hint="default" w:ascii="Times New Roman" w:hAnsi="Times New Roman" w:cs="Times New Roman"/>
          <w:color w:val="auto"/>
          <w:highlight w:val="none"/>
          <w:lang w:val="en-US" w:eastAsia="zh-CN"/>
        </w:rPr>
        <w:t>《宁德市霞浦县牙城镇东洋工业园区控制性详细规划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的审查意见（霞环保监﹝2016﹞18号），东洋工业园区位于牙城镇区东侧，总面积约132.09 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范围西至沈海高速公路，东至斗门村，北到东澳水库，南临牙城湾。功能定位：以金属制品业（主要为不锈钢与搪瓷制品）、通用设备制造业（金属铸、锻加工、通用零部件制造）、动物胶制造业、纺织业（服装、布料）、鞋业（橡胶靴鞋制造）为主导产业的现代工业园区。本项目与</w:t>
      </w:r>
      <w:r>
        <w:rPr>
          <w:rFonts w:hint="default" w:ascii="Times New Roman" w:hAnsi="Times New Roman" w:cs="Times New Roman"/>
          <w:color w:val="auto"/>
          <w:highlight w:val="none"/>
          <w:lang w:val="en-US" w:eastAsia="zh-CN"/>
        </w:rPr>
        <w:t>《宁德市霞浦县牙城镇东洋工业园区控制性详细规划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审查意见符合性分析详见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_Ref24766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表3.8-2</w:t>
      </w:r>
      <w:r>
        <w:rPr>
          <w:rFonts w:hint="eastAsia" w:cs="Times New Roman"/>
          <w:color w:val="auto"/>
          <w:highlight w:val="none"/>
          <w:lang w:val="en-US" w:eastAsia="zh-CN"/>
        </w:rPr>
        <w:fldChar w:fldCharType="end"/>
      </w:r>
      <w:r>
        <w:rPr>
          <w:rFonts w:hint="eastAsia" w:cs="Times New Roman"/>
          <w:color w:val="auto"/>
          <w:highlight w:val="none"/>
          <w:lang w:val="en-US" w:eastAsia="zh-CN"/>
        </w:rPr>
        <w:t>。通过分析可知，本次项目的扩建与</w:t>
      </w:r>
      <w:r>
        <w:rPr>
          <w:rFonts w:hint="default" w:ascii="Times New Roman" w:hAnsi="Times New Roman" w:cs="Times New Roman"/>
          <w:color w:val="auto"/>
          <w:highlight w:val="none"/>
          <w:lang w:val="en-US" w:eastAsia="zh-CN"/>
        </w:rPr>
        <w:t>《宁德市霞浦县牙城镇东洋工业园区控制性详细规划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的审查意见（霞环保监﹝2016﹞18号）是相符的。</w:t>
      </w:r>
    </w:p>
    <w:p>
      <w:pPr>
        <w:pStyle w:val="24"/>
        <w:numPr>
          <w:ilvl w:val="6"/>
          <w:numId w:val="3"/>
        </w:numPr>
        <w:tabs>
          <w:tab w:val="left" w:pos="420"/>
        </w:tabs>
        <w:bidi w:val="0"/>
        <w:rPr>
          <w:rFonts w:hint="default"/>
          <w:color w:val="auto"/>
          <w:lang w:val="en-US" w:eastAsia="zh-CN"/>
        </w:rPr>
      </w:pPr>
      <w:bookmarkStart w:id="414" w:name="_Ref24766"/>
      <w:bookmarkEnd w:id="414"/>
      <w:r>
        <w:rPr>
          <w:rFonts w:hint="eastAsia" w:cs="Times New Roman"/>
          <w:color w:val="auto"/>
          <w:highlight w:val="none"/>
          <w:lang w:val="en-US" w:eastAsia="zh-CN"/>
        </w:rPr>
        <w:t>与规划环评审查意见符合性分析</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环境功能区划适应性分析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（1）水环境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扩建项目生产废水经厂内污水处理站处理达标后排入园区污水管网，纳入牙城镇污水处理厂集中处理；生活污水经化粪池处理达牙城镇污水处理厂进水水质标准后，排入园区污水管网，纳入牙城镇污水处理厂集中处理。因此，项目的建设对区域的地表水环境影响不大，项目建设和水环境功能区划相适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（2）大气环境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项目所在区域大气环境为二类功能区，执行《环境空气质量标准》（GB3095-2012）二级标准。根据2021年2月福建省宁德环境监测中心站公布的《宁德市环境质量概要（2020年度）》，2020年霞浦县SO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2.5</w:t>
      </w:r>
      <w:r>
        <w:rPr>
          <w:rFonts w:hint="default" w:ascii="Times New Roman" w:hAnsi="Times New Roman" w:cs="Times New Roman"/>
          <w:color w:val="auto"/>
          <w:highlight w:val="none"/>
          <w:lang w:val="en-US" w:eastAsia="zh-CN"/>
        </w:rPr>
        <w:t>、CO、O</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等六项污染物监测数据，项目所在区域环境空气质量较好，属于达标区域。根据特征因子非甲烷总烃、颗粒物、NO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、氨、硫化氢的现状监测数据，各特征因子均符合本环评提出的控制标准，项目所在区域大气环境尚有一定的环境容量。项目废气污染物排放量小，对周围环境的影响不大。项目选址符合大气环境功能区划要求。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（3）声环境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霞浦县东洋工业园区内，所处区域声环境功能区类别为3类，区域声环境现状符合《声环境质量标准》（GB3096-2008）3类标准要求，项目厂界噪声达标排放，对周边环境影响不大，项目建设满足声环境功能区划要求。</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与周边环境协调性分析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本次扩建项目位于宁德市霞浦县牙城镇工业园1号地块，项目北侧为福建鑫利达纺织有限公司，东侧为福建强盛阀门有限公司，东侧靠沈海高速，南侧隔园区道路为一层村（距本项目约35 m），一层村相对于本项目位于常年主导风向侧风向。此外，项目生产设备较为先进，原材料的来源、运输、使用及污染物的排放均进行严格的控制，各污染物经治理后能够达标排放，对周围环境的影响均可在接受范围内，</w:t>
      </w:r>
      <w:r>
        <w:rPr>
          <w:rFonts w:hint="eastAsia" w:cs="Times New Roman"/>
          <w:color w:val="auto"/>
          <w:highlight w:val="none"/>
          <w:lang w:val="en-US" w:eastAsia="zh-CN"/>
        </w:rPr>
        <w:t>但因考虑到本项目厂界距离最近的敏感目标（一层村）较近，本评价要求建设单位主要产污设施应布置在厂区北侧，生产车间应尽可能密闭，减少无组织废气排放，保证废气处理设施的收集效率，杜绝事故排放，并定期对周边敏感目标开展自行监测，对环境信息进行公开，一旦发现污染物监测浓度增大，应进行自身排查，必要时可加密进行监测，确保对一层村的影响降到最低。因此，建设单位在做好上述措施后，对周边环境影响较小，</w:t>
      </w:r>
      <w:r>
        <w:rPr>
          <w:rFonts w:hint="default" w:ascii="Times New Roman" w:hAnsi="Times New Roman" w:cs="Times New Roman"/>
          <w:color w:val="auto"/>
          <w:highlight w:val="none"/>
          <w:lang w:val="en-US" w:eastAsia="zh-CN"/>
        </w:rPr>
        <w:t>与周边环境的协调性较好。</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选址合理性结论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项目位于宁德市霞浦县牙城镇工业园1号地块，项目用地性质为工业用地，主要从事回收涤纶纺织下脚料生产PET再生纤维活动，项目建设符合规划环评及审查意见要求、符合区域环境功能区划要求，与周边环境协调性较好。因此，项目选址</w:t>
      </w:r>
      <w:r>
        <w:rPr>
          <w:rFonts w:hint="eastAsia" w:cs="Times New Roman"/>
          <w:color w:val="auto"/>
          <w:highlight w:val="none"/>
          <w:lang w:val="en-US" w:eastAsia="zh-CN"/>
        </w:rPr>
        <w:t>基本</w:t>
      </w:r>
      <w:r>
        <w:rPr>
          <w:rFonts w:hint="default" w:ascii="Times New Roman" w:hAnsi="Times New Roman" w:cs="Times New Roman"/>
          <w:color w:val="auto"/>
          <w:highlight w:val="none"/>
          <w:lang w:val="en-US" w:eastAsia="zh-CN"/>
        </w:rPr>
        <w:t>合理。</w:t>
      </w:r>
      <w:r>
        <w:rPr>
          <w:rFonts w:hint="eastAsia" w:cs="Times New Roman"/>
          <w:color w:val="auto"/>
          <w:highlight w:val="none"/>
          <w:lang w:val="en-US" w:eastAsia="zh-CN"/>
        </w:rPr>
        <w:t>主要制约因素是厂区南侧距离一层村太近（仅35m），建设单位应加强环保设施的管理和维护，保证废气处理设施的收集效率和去除效率，最大限度地减少无组织排放对附近村庄的影响，确保污染物稳定达标排放。</w:t>
      </w:r>
    </w:p>
    <w:bookmarkEnd w:id="412"/>
    <w:p>
      <w:pPr>
        <w:pStyle w:val="3"/>
        <w:numPr>
          <w:ilvl w:val="1"/>
          <w:numId w:val="3"/>
        </w:numPr>
        <w:tabs>
          <w:tab w:val="clear" w:pos="420"/>
        </w:tabs>
        <w:bidi w:val="0"/>
        <w:rPr>
          <w:rFonts w:hint="default" w:ascii="Times New Roman" w:hAnsi="Times New Roman" w:cs="Times New Roman"/>
          <w:color w:val="auto"/>
          <w:highlight w:val="none"/>
          <w:lang w:val="en-US" w:eastAsia="zh-CN"/>
        </w:rPr>
      </w:pPr>
      <w:bookmarkStart w:id="415" w:name="_Toc1516"/>
      <w:bookmarkStart w:id="416" w:name="_Toc10614"/>
      <w:bookmarkStart w:id="417" w:name="_Toc9796"/>
      <w:bookmarkStart w:id="418" w:name="_Toc9472"/>
      <w:bookmarkStart w:id="419" w:name="_Toc32729"/>
      <w:bookmarkStart w:id="420" w:name="_Toc9043"/>
      <w:bookmarkStart w:id="421" w:name="_Toc30513"/>
      <w:bookmarkStart w:id="422" w:name="_Toc30405"/>
      <w:bookmarkStart w:id="423" w:name="_Toc13558"/>
      <w:r>
        <w:rPr>
          <w:rFonts w:hint="default" w:ascii="Times New Roman" w:hAnsi="Times New Roman" w:cs="Times New Roman"/>
          <w:color w:val="auto"/>
          <w:highlight w:val="none"/>
          <w:lang w:val="en-US" w:eastAsia="zh-CN"/>
        </w:rPr>
        <w:t>清洁生产分析</w:t>
      </w:r>
      <w:bookmarkEnd w:id="415"/>
      <w:bookmarkEnd w:id="416"/>
      <w:bookmarkEnd w:id="417"/>
      <w:bookmarkEnd w:id="418"/>
      <w:bookmarkEnd w:id="419"/>
      <w:bookmarkEnd w:id="420"/>
      <w:bookmarkEnd w:id="421"/>
      <w:bookmarkEnd w:id="422"/>
      <w:bookmarkEnd w:id="423"/>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清洁生产是指不断采取改进设计、使用清洁的能源和原料、采用先进的工艺技术与设备、改善管理、综合利用等措施，从源头削减污染，提高资源利用效率，减少或者避免生产、服务各环节以及产品使用过程中污染物的产生和排放，以减轻或者消除对人类健康和环境的危害。企业推行清洁生产工艺是解决环境问题的重要手段，是衡量企业可持续发展的标志。</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清洁生产标准</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lang w:val="en-US" w:eastAsia="zh-CN"/>
        </w:rPr>
        <w:t>根据“中华人民共和国国家发展和改革委员会、中华人民共和国生态环境部、中华人民共和国工业和信息化部公告2018年第17号”发布的《合成纤维制造业（再生涤纶）清洁生产评价指标体系》，本次评价对照该标准，从生产工艺及装备指标、资源能源消耗指标、资源综合利用指标、污染物产生指标（末端治理前）和清洁生产管理指标等5个清洁生产指标分析本项目的清洁生产水平，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_Ref9850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表3.9-1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24" w:name="_Ref9850"/>
      <w:r>
        <w:rPr>
          <w:rFonts w:hint="default" w:ascii="Times New Roman" w:hAnsi="Times New Roman" w:cs="Times New Roman"/>
          <w:color w:val="auto"/>
          <w:highlight w:val="none"/>
          <w:lang w:val="en-US" w:eastAsia="zh-CN"/>
        </w:rPr>
        <w:t>合成纤维制造业（再生涤纶）清洁生产评价指标体系技术要求表</w:t>
      </w:r>
      <w:bookmarkEnd w:id="424"/>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25" w:name="_Ref7692"/>
      <w:r>
        <w:rPr>
          <w:rFonts w:hint="default" w:ascii="Times New Roman" w:hAnsi="Times New Roman" w:cs="Times New Roman"/>
          <w:color w:val="auto"/>
          <w:highlight w:val="none"/>
          <w:lang w:val="en-US" w:eastAsia="zh-CN"/>
        </w:rPr>
        <w:t>再生涤纶标准产品折算系数</w:t>
      </w:r>
      <w:bookmarkEnd w:id="425"/>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清洁生产水平评定</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合成纤维制造业（再生涤纶）清洁生产评价指标体系》，对新建再生涤纶企业或项目、现有再生涤纶企业清洁生产水平的评价，是以其清洁生产综合评价指数为依据，对达到一定综合评价指数的企业，分别评定为国际清洁生产领先水平、国内清洁生产先进水平和国内清洁生产一般水平。不同等级清洁生产水平综合评价指数判定值规定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_Ref17849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表3.9-3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26" w:name="_Ref17849"/>
      <w:r>
        <w:rPr>
          <w:rFonts w:hint="default" w:ascii="Times New Roman" w:hAnsi="Times New Roman" w:cs="Times New Roman"/>
          <w:color w:val="auto"/>
          <w:highlight w:val="none"/>
          <w:lang w:val="en-US" w:eastAsia="zh-CN"/>
        </w:rPr>
        <w:t>再生涤纶企业清洁生产水平判定表</w:t>
      </w:r>
      <w:bookmarkEnd w:id="426"/>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_Ref9850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表3.9-1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计算结果，本项目全厂综合评价指数得分为Y</w:t>
      </w:r>
      <w:r>
        <w:rPr>
          <w:rFonts w:hint="default" w:ascii="Times New Roman" w:hAnsi="Times New Roman" w:cs="Times New Roman"/>
          <w:color w:val="auto"/>
          <w:szCs w:val="20"/>
          <w:highlight w:val="none"/>
          <w:vertAlign w:val="subscript"/>
          <w:lang w:val="en-US" w:eastAsia="zh-CN"/>
        </w:rPr>
        <w:t>Ⅱ=</w:t>
      </w:r>
      <w:r>
        <w:rPr>
          <w:rFonts w:hint="default" w:ascii="Times New Roman" w:hAnsi="Times New Roman" w:cs="Times New Roman"/>
          <w:color w:val="auto"/>
          <w:highlight w:val="none"/>
          <w:lang w:val="en-US" w:eastAsia="zh-CN"/>
        </w:rPr>
        <w:t>95.8，且限定性指标全部满足</w:t>
      </w:r>
      <w:r>
        <w:rPr>
          <w:rFonts w:hint="default" w:ascii="Times New Roman" w:hAnsi="Times New Roman" w:cs="Times New Roman"/>
          <w:color w:val="auto"/>
          <w:szCs w:val="20"/>
          <w:highlight w:val="none"/>
          <w:lang w:val="en-US" w:eastAsia="zh-CN"/>
        </w:rPr>
        <w:t>Ⅱ</w:t>
      </w:r>
      <w:r>
        <w:rPr>
          <w:rFonts w:hint="default" w:ascii="Times New Roman" w:hAnsi="Times New Roman" w:cs="Times New Roman"/>
          <w:color w:val="auto"/>
          <w:highlight w:val="none"/>
          <w:lang w:val="en-US" w:eastAsia="zh-CN"/>
        </w:rPr>
        <w:t>级基准值要求。根据《合成纤维制造业（再生涤纶）清洁生产评价指标体系》（2018年第17号公告）中不同等级清洁生产企业综合评价指数评定表（详见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_Ref17849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表3.9-3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）可知，本项目可达</w:t>
      </w:r>
      <w:r>
        <w:rPr>
          <w:rFonts w:hint="default" w:ascii="Times New Roman" w:hAnsi="Times New Roman" w:cs="Times New Roman"/>
          <w:color w:val="auto"/>
          <w:szCs w:val="20"/>
          <w:highlight w:val="none"/>
          <w:lang w:val="en-US" w:eastAsia="zh-CN"/>
        </w:rPr>
        <w:t>国内清洁生产先进水平，符合</w:t>
      </w:r>
      <w:r>
        <w:rPr>
          <w:rFonts w:hint="default" w:ascii="Times New Roman" w:hAnsi="Times New Roman" w:cs="Times New Roman"/>
          <w:color w:val="auto"/>
          <w:highlight w:val="none"/>
          <w:lang w:val="en-US" w:eastAsia="zh-CN"/>
        </w:rPr>
        <w:t>《宁德市霞浦县牙城镇东洋工业园区控制性详细规划环境影响报告书》对纺织产业的环保准入条件——清洁生产不低于行业清洁生产二级水平。</w:t>
      </w:r>
    </w:p>
    <w:p>
      <w:pPr>
        <w:pStyle w:val="4"/>
        <w:bidi w:val="0"/>
        <w:rPr>
          <w:rFonts w:hint="default"/>
          <w:color w:val="auto"/>
          <w:lang w:val="en-US" w:eastAsia="zh-CN"/>
        </w:rPr>
      </w:pPr>
      <w:r>
        <w:rPr>
          <w:rFonts w:hint="eastAsia"/>
          <w:color w:val="auto"/>
          <w:lang w:val="en-US" w:eastAsia="zh-CN"/>
        </w:rPr>
        <w:t>与《取水定额 第45部分：再生涤纶产品》符合性分析</w:t>
      </w:r>
    </w:p>
    <w:p>
      <w:pPr>
        <w:rPr>
          <w:rFonts w:hint="default"/>
          <w:color w:val="auto"/>
          <w:lang w:val="en-US" w:eastAsia="zh-CN"/>
        </w:rPr>
      </w:pPr>
      <w:r>
        <w:rPr>
          <w:rFonts w:hint="eastAsia"/>
          <w:color w:val="auto"/>
          <w:lang w:val="en-US" w:eastAsia="zh-CN"/>
        </w:rPr>
        <w:t>本项目主要生产PET再生短纤维，根据水平衡分析，本项目单位产品取水量优于《取水定额 第45部分：再生涤纶产品》（GB/T18916.45-2019）先进企业取水定额，符合新建、改扩建企业用水定额要求，详见</w:t>
      </w:r>
      <w:r>
        <w:rPr>
          <w:rFonts w:hint="eastAsia"/>
          <w:color w:val="auto"/>
          <w:lang w:val="en-US" w:eastAsia="zh-CN"/>
        </w:rPr>
        <w:fldChar w:fldCharType="begin"/>
      </w:r>
      <w:r>
        <w:rPr>
          <w:rFonts w:hint="eastAsia"/>
          <w:color w:val="auto"/>
          <w:lang w:val="en-US" w:eastAsia="zh-CN"/>
        </w:rPr>
        <w:instrText xml:space="preserve"> REF _Ref27278 \n \h </w:instrText>
      </w:r>
      <w:r>
        <w:rPr>
          <w:rFonts w:hint="eastAsia"/>
          <w:color w:val="auto"/>
          <w:lang w:val="en-US" w:eastAsia="zh-CN"/>
        </w:rPr>
        <w:fldChar w:fldCharType="separate"/>
      </w:r>
      <w:r>
        <w:rPr>
          <w:rFonts w:hint="eastAsia"/>
          <w:color w:val="auto"/>
          <w:lang w:val="en-US" w:eastAsia="zh-CN"/>
        </w:rPr>
        <w:t>表3.9-4</w:t>
      </w:r>
      <w:r>
        <w:rPr>
          <w:rFonts w:hint="eastAsia"/>
          <w:color w:val="auto"/>
          <w:lang w:val="en-US" w:eastAsia="zh-CN"/>
        </w:rPr>
        <w:fldChar w:fldCharType="end"/>
      </w:r>
      <w:r>
        <w:rPr>
          <w:rFonts w:hint="eastAsia"/>
          <w:color w:val="auto"/>
          <w:lang w:val="en-US" w:eastAsia="zh-CN"/>
        </w:rPr>
        <w:t>。</w:t>
      </w: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p>
    <w:p>
      <w:pPr>
        <w:pStyle w:val="24"/>
        <w:bidi w:val="0"/>
        <w:rPr>
          <w:rFonts w:hint="default"/>
          <w:color w:val="auto"/>
          <w:lang w:val="en-US" w:eastAsia="zh-CN"/>
        </w:rPr>
      </w:pPr>
      <w:bookmarkStart w:id="427" w:name="_Ref27278"/>
      <w:r>
        <w:rPr>
          <w:rFonts w:hint="eastAsia"/>
          <w:color w:val="auto"/>
          <w:lang w:val="en-US" w:eastAsia="zh-CN"/>
        </w:rPr>
        <w:t>与《取水定额 第45部分：再生涤纶产品》符合性分析</w:t>
      </w:r>
      <w:bookmarkEnd w:id="427"/>
    </w:p>
    <w:p>
      <w:pPr>
        <w:pStyle w:val="3"/>
        <w:numPr>
          <w:ilvl w:val="1"/>
          <w:numId w:val="3"/>
        </w:numPr>
        <w:bidi w:val="0"/>
        <w:rPr>
          <w:rFonts w:hint="default" w:ascii="Times New Roman" w:hAnsi="Times New Roman" w:eastAsia="宋体" w:cs="Times New Roman"/>
          <w:color w:val="auto"/>
          <w:highlight w:val="none"/>
          <w:lang w:val="en-US" w:eastAsia="zh-CN"/>
        </w:rPr>
      </w:pPr>
      <w:bookmarkStart w:id="428" w:name="_Toc8786"/>
      <w:bookmarkStart w:id="429" w:name="_Toc29926"/>
      <w:bookmarkStart w:id="430" w:name="_Toc22780"/>
      <w:bookmarkStart w:id="431" w:name="_Toc10393"/>
      <w:r>
        <w:rPr>
          <w:rFonts w:hint="default" w:ascii="Times New Roman" w:hAnsi="Times New Roman" w:cs="Times New Roman"/>
          <w:color w:val="auto"/>
          <w:highlight w:val="none"/>
          <w:lang w:val="en-US" w:eastAsia="zh-CN"/>
        </w:rPr>
        <w:t>与国家、省市当前相关环保政策符合性分析</w:t>
      </w:r>
      <w:bookmarkEnd w:id="428"/>
      <w:bookmarkEnd w:id="429"/>
      <w:bookmarkEnd w:id="430"/>
      <w:bookmarkEnd w:id="431"/>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与《循环再利用化学纤维（涤纶）行业规范条件》（2021年第15号公告）符合性分析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本项目主要利用废旧纺织品生产PET再生涤纶纤维，对照中华人民共和国工业和信息部发布的《循环再利用化学纤维（涤纶）行业规范条件》（2021年第15号公告），本项目与其内容相符，具体符合性分析见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_Ref5063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表3.10-1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与“关于调整《进口废物管理名录》的公告”（公告2018年第6号）符合性分析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使用的涤纶织物下脚料不属于生态环境部、商务部、国家发展和改革委员会、海关总署发布的“关于调整《进口废物管理名录》的公告”（公告2018年第6号）中“2018年年底调整为禁止进口的固体废物目录”中“3915901000 聚对苯二甲酸乙二酯废碎料及下脚料”中全部。同时，本环评要求建设单位在采购原料时应严格把关，防止含有危险废物的物料以及禁止进口的PET的废碎料及下脚料、废PET饮料瓶（砖）掺入原料内，一经发现，应立即通知相关部门，将不符合规定的原料清运处置”。因此，本项目符合“关于调整《进口废物管理名录》的公告”（公告2018年第6号）要求。</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32" w:name="_Ref5063"/>
      <w:r>
        <w:rPr>
          <w:rFonts w:hint="default" w:ascii="Times New Roman" w:hAnsi="Times New Roman" w:cs="Times New Roman"/>
          <w:color w:val="auto"/>
          <w:highlight w:val="none"/>
          <w:lang w:val="en-US" w:eastAsia="zh-CN"/>
        </w:rPr>
        <w:t>与《循环再利用化学纤维（涤纶）行业规范条件》（2021年第15号公告）符合性分析</w:t>
      </w:r>
      <w:bookmarkEnd w:id="432"/>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与《水污染防治行动计划》、《福建省水污染防治行动计划工作方案》和《宁德市水污染防治行动计划工作方案》符合性分析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水污染防治行动计划》要求：集中治理工业集聚区水污染。强化经济技术开发区、高新技术产业开发区、出口加工区等工业集聚区污染治理。集聚区内工业废水必须经预处理达到集中处理要求，方可进入污水集中处理设施。新建、升级工业集聚区应同步规划、建设污水、垃圾集中处理等污染治理设施。2017年底前，工业集聚区应按规定建成污水集中处理设施，并安装自动在线监控装置，……。</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福建省水污染防治行动计划工作方案》、《宁德市水污染防治行动计划工作方案》要求：集中治理工业集聚区水污染。……强化经济技术开发区、高新技术产业开发区、出口加工区等工业园区污染集中治理，园区内工业废水必须经预处理达到集中处理要求，方可进入污水集中处理设施，新建、升级工业园区应同步规划、建设污水、垃圾集中处理等污染治理设施。现有省级及以上各类开发区、工业园区应全面实现污水集中治理并安装自动在线监控装置；其他类型开发区、工业园区应于2017年底前建成。逾期未完成的，一律暂停审批和核准其增加水污染物排放的建设项目直至完成整改，逾期6个月未完成的，撤销其园区资格。</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霞浦县牙城镇工业园。项目位于牙城镇污水处理厂的服务范围内，届时项目废水经厂内污水处理站预处理后可纳入牙城镇污水处理厂统一处理。符合《水污染防治行动计划》、《福建省水污染防治行动计划工作方案》和《宁德市水污染防治行动计划工作方案》的相关要求。</w:t>
      </w:r>
    </w:p>
    <w:p>
      <w:pPr>
        <w:pStyle w:val="4"/>
        <w:bidi w:val="0"/>
        <w:rPr>
          <w:rFonts w:hint="default"/>
          <w:color w:val="auto"/>
          <w:lang w:val="en-US" w:eastAsia="zh-CN"/>
        </w:rPr>
      </w:pPr>
      <w:r>
        <w:rPr>
          <w:rFonts w:hint="eastAsia"/>
          <w:color w:val="auto"/>
          <w:lang w:val="en-US" w:eastAsia="zh-CN"/>
        </w:rPr>
        <w:t>与《福建省大气污染防治条例》（2018）符合性分析</w:t>
      </w:r>
    </w:p>
    <w:p>
      <w:pPr>
        <w:rPr>
          <w:rFonts w:hint="eastAsia" w:cs="Times New Roman"/>
          <w:color w:val="auto"/>
          <w:highlight w:val="none"/>
          <w:lang w:val="en-US" w:eastAsia="zh-CN"/>
        </w:rPr>
      </w:pPr>
      <w:r>
        <w:rPr>
          <w:rFonts w:hint="eastAsia"/>
          <w:color w:val="auto"/>
          <w:lang w:val="en-US" w:eastAsia="zh-CN"/>
        </w:rPr>
        <w:t>根据福建省人民代表大会常务委员会发布的《福建省大气污染防治条例》（2018），本项目与</w:t>
      </w:r>
      <w:r>
        <w:rPr>
          <w:rFonts w:hint="eastAsia" w:cs="Times New Roman"/>
          <w:color w:val="auto"/>
          <w:highlight w:val="none"/>
          <w:lang w:val="en-US" w:eastAsia="zh-CN"/>
        </w:rPr>
        <w:t>其符合性分析详见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_Ref937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表3.10-2</w:t>
      </w:r>
      <w:r>
        <w:rPr>
          <w:rFonts w:hint="eastAsia" w:cs="Times New Roman"/>
          <w:color w:val="auto"/>
          <w:highlight w:val="none"/>
          <w:lang w:val="en-US" w:eastAsia="zh-CN"/>
        </w:rPr>
        <w:fldChar w:fldCharType="end"/>
      </w:r>
      <w:r>
        <w:rPr>
          <w:rFonts w:hint="eastAsia" w:cs="Times New Roman"/>
          <w:color w:val="auto"/>
          <w:highlight w:val="none"/>
          <w:lang w:val="en-US" w:eastAsia="zh-CN"/>
        </w:rPr>
        <w:t>。通过分析可知，本项目与</w:t>
      </w:r>
      <w:r>
        <w:rPr>
          <w:rFonts w:hint="eastAsia"/>
          <w:color w:val="auto"/>
          <w:lang w:val="en-US" w:eastAsia="zh-CN"/>
        </w:rPr>
        <w:t>《福建省大气污染防治条例》（2018）</w:t>
      </w:r>
      <w:r>
        <w:rPr>
          <w:rFonts w:hint="eastAsia" w:cs="Times New Roman"/>
          <w:color w:val="auto"/>
          <w:highlight w:val="none"/>
          <w:lang w:val="en-US" w:eastAsia="zh-CN"/>
        </w:rPr>
        <w:t>相符。</w:t>
      </w:r>
    </w:p>
    <w:p>
      <w:pPr>
        <w:pStyle w:val="24"/>
        <w:bidi w:val="0"/>
        <w:rPr>
          <w:rFonts w:hint="default"/>
          <w:color w:val="auto"/>
          <w:lang w:val="en-US" w:eastAsia="zh-CN"/>
        </w:rPr>
      </w:pPr>
      <w:bookmarkStart w:id="433" w:name="_Ref937"/>
      <w:r>
        <w:rPr>
          <w:rFonts w:hint="eastAsia"/>
          <w:color w:val="auto"/>
          <w:lang w:val="en-US" w:eastAsia="zh-CN"/>
        </w:rPr>
        <w:t>与《福建省大气污染防治条例》（2018）</w:t>
      </w:r>
      <w:bookmarkEnd w:id="433"/>
    </w:p>
    <w:p>
      <w:pPr>
        <w:pStyle w:val="4"/>
        <w:bidi w:val="0"/>
        <w:rPr>
          <w:rFonts w:hint="default"/>
          <w:color w:val="auto"/>
          <w:lang w:val="en-US" w:eastAsia="zh-CN"/>
        </w:rPr>
      </w:pPr>
      <w:r>
        <w:rPr>
          <w:rFonts w:hint="default"/>
          <w:color w:val="auto"/>
          <w:lang w:val="en-US" w:eastAsia="zh-CN"/>
        </w:rPr>
        <w:t>与《挥发性有机物（VOCs）污染防治技术政策》</w:t>
      </w:r>
      <w:r>
        <w:rPr>
          <w:rFonts w:hint="eastAsia"/>
          <w:color w:val="auto"/>
          <w:lang w:val="en-US" w:eastAsia="zh-CN"/>
        </w:rPr>
        <w:t>（生态环境部公告2013年第31号）</w:t>
      </w:r>
      <w:r>
        <w:rPr>
          <w:rFonts w:hint="default"/>
          <w:color w:val="auto"/>
          <w:lang w:val="en-US" w:eastAsia="zh-CN"/>
        </w:rPr>
        <w:t>符合性分析</w:t>
      </w:r>
    </w:p>
    <w:p>
      <w:pPr>
        <w:rPr>
          <w:rFonts w:hint="eastAsia" w:cs="Times New Roman"/>
          <w:color w:val="auto"/>
          <w:highlight w:val="none"/>
          <w:lang w:val="en-US" w:eastAsia="zh-CN"/>
        </w:rPr>
      </w:pPr>
      <w:r>
        <w:rPr>
          <w:rFonts w:hint="eastAsia" w:cs="Times New Roman"/>
          <w:color w:val="auto"/>
          <w:highlight w:val="none"/>
          <w:lang w:val="en-US" w:eastAsia="zh-CN"/>
        </w:rPr>
        <w:t>根据生态环境部发布的</w:t>
      </w:r>
      <w:r>
        <w:rPr>
          <w:rFonts w:hint="default" w:ascii="Times New Roman" w:hAnsi="Times New Roman" w:cs="Times New Roman"/>
          <w:color w:val="auto"/>
          <w:highlight w:val="none"/>
          <w:lang w:val="en-US" w:eastAsia="zh-CN"/>
        </w:rPr>
        <w:t>《挥发性有机物（VOCs）污染防治技术政策》</w:t>
      </w:r>
      <w:r>
        <w:rPr>
          <w:rFonts w:hint="eastAsia" w:cs="Times New Roman"/>
          <w:color w:val="auto"/>
          <w:highlight w:val="none"/>
          <w:lang w:val="en-US" w:eastAsia="zh-CN"/>
        </w:rPr>
        <w:t>（公告2013年第31号），本项目与其符合性分析详见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_Ref10184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表3.10-3</w:t>
      </w:r>
      <w:r>
        <w:rPr>
          <w:rFonts w:hint="eastAsia"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通过分析可知，本项目与</w:t>
      </w:r>
      <w:r>
        <w:rPr>
          <w:rFonts w:hint="default" w:ascii="Times New Roman" w:hAnsi="Times New Roman" w:cs="Times New Roman"/>
          <w:color w:val="auto"/>
          <w:highlight w:val="none"/>
          <w:lang w:val="en-US" w:eastAsia="zh-CN"/>
        </w:rPr>
        <w:t>《挥发性有机物（VOCs）污染防治技术政策》</w:t>
      </w:r>
      <w:r>
        <w:rPr>
          <w:rFonts w:hint="eastAsia" w:cs="Times New Roman"/>
          <w:color w:val="auto"/>
          <w:highlight w:val="none"/>
          <w:lang w:val="en-US" w:eastAsia="zh-CN"/>
        </w:rPr>
        <w:t>（公告2013年第31号）相符。</w:t>
      </w:r>
    </w:p>
    <w:p>
      <w:pPr>
        <w:rPr>
          <w:rFonts w:hint="eastAsia" w:cs="Times New Roman"/>
          <w:color w:val="auto"/>
          <w:highlight w:val="none"/>
          <w:lang w:val="en-US" w:eastAsia="zh-CN"/>
        </w:rPr>
      </w:pPr>
    </w:p>
    <w:p>
      <w:pPr>
        <w:rPr>
          <w:rFonts w:hint="eastAsia" w:cs="Times New Roman"/>
          <w:color w:val="auto"/>
          <w:highlight w:val="none"/>
          <w:lang w:val="en-US" w:eastAsia="zh-CN"/>
        </w:rPr>
      </w:pPr>
    </w:p>
    <w:p>
      <w:pPr>
        <w:rPr>
          <w:rFonts w:hint="default" w:cs="Times New Roman"/>
          <w:color w:val="auto"/>
          <w:highlight w:val="none"/>
          <w:lang w:val="en-US" w:eastAsia="zh-CN"/>
        </w:rPr>
      </w:pPr>
    </w:p>
    <w:p>
      <w:pPr>
        <w:pStyle w:val="24"/>
        <w:numPr>
          <w:ilvl w:val="6"/>
          <w:numId w:val="3"/>
        </w:numPr>
        <w:tabs>
          <w:tab w:val="left" w:pos="420"/>
        </w:tabs>
        <w:bidi w:val="0"/>
        <w:rPr>
          <w:rFonts w:hint="default"/>
          <w:color w:val="auto"/>
          <w:lang w:val="en-US" w:eastAsia="zh-CN"/>
        </w:rPr>
      </w:pPr>
      <w:bookmarkStart w:id="434" w:name="_Ref10184"/>
      <w:r>
        <w:rPr>
          <w:rFonts w:hint="eastAsia"/>
          <w:color w:val="auto"/>
          <w:lang w:val="en-US" w:eastAsia="zh-CN"/>
        </w:rPr>
        <w:t>与</w:t>
      </w:r>
      <w:r>
        <w:rPr>
          <w:rFonts w:hint="default" w:ascii="Times New Roman" w:hAnsi="Times New Roman" w:cs="Times New Roman"/>
          <w:color w:val="auto"/>
          <w:highlight w:val="none"/>
          <w:lang w:val="en-US" w:eastAsia="zh-CN"/>
        </w:rPr>
        <w:t>《挥发性有机物（VOCs）污染防治技术政策》</w:t>
      </w:r>
      <w:r>
        <w:rPr>
          <w:rFonts w:hint="eastAsia" w:cs="Times New Roman"/>
          <w:color w:val="auto"/>
          <w:highlight w:val="none"/>
          <w:lang w:val="en-US" w:eastAsia="zh-CN"/>
        </w:rPr>
        <w:t>符合性分析</w:t>
      </w:r>
      <w:bookmarkEnd w:id="434"/>
    </w:p>
    <w:p>
      <w:pPr>
        <w:pStyle w:val="4"/>
        <w:numPr>
          <w:ilvl w:val="2"/>
          <w:numId w:val="3"/>
        </w:numPr>
        <w:tabs>
          <w:tab w:val="left" w:pos="420"/>
        </w:tabs>
        <w:bidi w:val="0"/>
        <w:rPr>
          <w:rFonts w:hint="default"/>
          <w:color w:val="auto"/>
          <w:lang w:val="en-US" w:eastAsia="zh-CN"/>
        </w:rPr>
      </w:pPr>
      <w:r>
        <w:rPr>
          <w:rFonts w:hint="eastAsia"/>
          <w:color w:val="auto"/>
          <w:lang w:val="en-US" w:eastAsia="zh-CN"/>
        </w:rPr>
        <w:t>与《关于加快解决当前挥发性有机物治理突出问题的通知》（环大气〔2021〕65号）符合性分析</w:t>
      </w:r>
    </w:p>
    <w:p>
      <w:pPr>
        <w:rPr>
          <w:rFonts w:hint="default"/>
          <w:color w:val="auto"/>
          <w:lang w:val="en-US" w:eastAsia="zh-CN"/>
        </w:rPr>
      </w:pPr>
      <w:r>
        <w:rPr>
          <w:rFonts w:hint="eastAsia"/>
          <w:color w:val="auto"/>
          <w:lang w:val="en-US" w:eastAsia="zh-CN"/>
        </w:rPr>
        <w:t>根据生态环境部发布的《关于加快解决当前挥发性有机物治理突出问题的通知》（环大气〔2021〕65号），本项目与其符合性分析详见。通过分析可知，本次扩建项目与《关于加快解决当前挥发性有机物治理突出问题的通知》（环大气〔2021〕65号）是相符的。</w:t>
      </w: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3"/>
        </w:numPr>
        <w:bidi w:val="0"/>
        <w:rPr>
          <w:rFonts w:hint="default" w:ascii="Times New Roman" w:hAnsi="Times New Roman" w:cs="Times New Roman"/>
          <w:color w:val="auto"/>
          <w:highlight w:val="none"/>
        </w:rPr>
      </w:pPr>
      <w:bookmarkStart w:id="435" w:name="_Toc13147"/>
      <w:bookmarkStart w:id="436" w:name="_Toc25935"/>
      <w:bookmarkStart w:id="437" w:name="_Toc13384"/>
      <w:bookmarkStart w:id="438" w:name="_Toc27321"/>
      <w:r>
        <w:rPr>
          <w:rFonts w:hint="default" w:ascii="Times New Roman" w:hAnsi="Times New Roman" w:cs="Times New Roman"/>
          <w:color w:val="auto"/>
          <w:highlight w:val="none"/>
          <w:lang w:val="en-US" w:eastAsia="zh-CN"/>
        </w:rPr>
        <w:t>环境现状调查与评价</w:t>
      </w:r>
      <w:bookmarkEnd w:id="435"/>
      <w:bookmarkEnd w:id="436"/>
      <w:bookmarkEnd w:id="437"/>
      <w:bookmarkEnd w:id="438"/>
    </w:p>
    <w:p>
      <w:pPr>
        <w:pStyle w:val="3"/>
        <w:numPr>
          <w:ilvl w:val="1"/>
          <w:numId w:val="3"/>
        </w:numPr>
        <w:bidi w:val="0"/>
        <w:rPr>
          <w:rFonts w:hint="default" w:ascii="Times New Roman" w:hAnsi="Times New Roman" w:cs="Times New Roman"/>
          <w:color w:val="auto"/>
          <w:highlight w:val="none"/>
          <w:lang w:val="en-US" w:eastAsia="zh-CN"/>
        </w:rPr>
      </w:pPr>
      <w:bookmarkStart w:id="439" w:name="_Toc15012"/>
      <w:bookmarkStart w:id="440" w:name="_Toc6918"/>
      <w:bookmarkStart w:id="441" w:name="_Toc25696"/>
      <w:bookmarkStart w:id="442" w:name="_Toc1338"/>
      <w:r>
        <w:rPr>
          <w:rFonts w:hint="default" w:ascii="Times New Roman" w:hAnsi="Times New Roman" w:cs="Times New Roman"/>
          <w:color w:val="auto"/>
          <w:highlight w:val="none"/>
          <w:lang w:val="en-US" w:eastAsia="zh-CN"/>
        </w:rPr>
        <w:t>自然环境概况</w:t>
      </w:r>
      <w:bookmarkEnd w:id="439"/>
      <w:bookmarkEnd w:id="440"/>
      <w:bookmarkEnd w:id="441"/>
      <w:bookmarkEnd w:id="442"/>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地理位置</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牙城镇位于霞浦县东北部，地处闽东沿海，位于东经120°06´～120°15´，北纬26°56´～27°01´，全镇土地总面积108.9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。牙城镇东濒东海，与福鼎市嵛山镇（海岛）隔海相望，南连霞浦县三沙镇，西接霞浦县水门畲族乡，西北、北和东北三面分别与福鼎市的磻溪镇、太姥山镇和硖门畲族乡为邻。</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val="en-US" w:eastAsia="zh-CN"/>
        </w:rPr>
        <w:t>年产5万吨PET再生纤维生产线项目属于扩建项目，新购置一宗地块，由霞浦县自然资源局出让，位于牙城镇工业园西南侧。根据现场勘查及总平规划，扩建项目地理坐标为：东经120°11´54.42″，北纬26°59´1.39″，项目北侧为福建鑫利达纺织有限公司，东侧为福建强城阀门有限公司、福建丰瑞不锈钢有限公司，南侧为一层村，沈海高速从项目西部穿过，对外交通十分便捷。项目用地为工业用地，评价范围内无珍惜物种和文物保护单位等。项目地理位置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_Ref18100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，周边环境示意图见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_Ref20020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，周边现状照片见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_Ref27039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图4.1-3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749290" cy="8361045"/>
            <wp:effectExtent l="0" t="0" r="3810" b="1905"/>
            <wp:docPr id="23" name="图片 23" descr="地理位置图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地理位置图PS"/>
                    <pic:cNvPicPr>
                      <a:picLocks noChangeAspect="1"/>
                    </pic:cNvPicPr>
                  </pic:nvPicPr>
                  <pic:blipFill>
                    <a:blip r:embed="rId46"/>
                    <a:stretch>
                      <a:fillRect/>
                    </a:stretch>
                  </pic:blipFill>
                  <pic:spPr>
                    <a:xfrm>
                      <a:off x="0" y="0"/>
                      <a:ext cx="5749290" cy="8361045"/>
                    </a:xfrm>
                    <a:prstGeom prst="rect">
                      <a:avLst/>
                    </a:prstGeom>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bookmarkStart w:id="443" w:name="_Ref18100"/>
      <w:r>
        <w:rPr>
          <w:rFonts w:hint="default" w:ascii="Times New Roman" w:hAnsi="Times New Roman" w:cs="Times New Roman"/>
          <w:color w:val="auto"/>
          <w:highlight w:val="none"/>
          <w:lang w:val="en-US" w:eastAsia="zh-CN"/>
        </w:rPr>
        <w:t>本项目地理位置图</w:t>
      </w:r>
      <w:bookmarkEnd w:id="443"/>
    </w:p>
    <w:p>
      <w:pPr>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753100" cy="7795260"/>
            <wp:effectExtent l="0" t="0" r="0" b="15240"/>
            <wp:docPr id="25" name="图片 25" descr="周边关系图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周边关系图PS"/>
                    <pic:cNvPicPr>
                      <a:picLocks noChangeAspect="1"/>
                    </pic:cNvPicPr>
                  </pic:nvPicPr>
                  <pic:blipFill>
                    <a:blip r:embed="rId47"/>
                    <a:stretch>
                      <a:fillRect/>
                    </a:stretch>
                  </pic:blipFill>
                  <pic:spPr>
                    <a:xfrm>
                      <a:off x="0" y="0"/>
                      <a:ext cx="5753100" cy="7795260"/>
                    </a:xfrm>
                    <a:prstGeom prst="rect">
                      <a:avLst/>
                    </a:prstGeom>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444" w:name="_Ref20020"/>
      <w:r>
        <w:rPr>
          <w:rFonts w:hint="default" w:ascii="Times New Roman" w:hAnsi="Times New Roman" w:cs="Times New Roman"/>
          <w:color w:val="auto"/>
          <w:highlight w:val="none"/>
          <w:lang w:val="en-US" w:eastAsia="zh-CN"/>
        </w:rPr>
        <w:t>周边环境示意图</w:t>
      </w:r>
      <w:bookmarkEnd w:id="444"/>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2"/>
        <w:numPr>
          <w:ilvl w:val="7"/>
          <w:numId w:val="3"/>
        </w:numPr>
        <w:bidi w:val="0"/>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bookmarkStart w:id="445" w:name="_Ref20030"/>
      <w:bookmarkStart w:id="446" w:name="_Ref27039"/>
      <w:r>
        <w:rPr>
          <w:rFonts w:hint="default" w:ascii="Times New Roman" w:hAnsi="Times New Roman" w:cs="Times New Roman"/>
          <w:color w:val="auto"/>
          <w:highlight w:val="none"/>
          <w:lang w:val="en-US" w:eastAsia="zh-CN"/>
        </w:rPr>
        <w:t>项目周边现状照片</w:t>
      </w:r>
      <w:bookmarkEnd w:id="445"/>
      <w:bookmarkEnd w:id="446"/>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气候条件</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霞浦属中亚热带季风湿润气候区，气候温暖，年平均气温16～19 ℃，春夏秋冬持续时间平均为89天、127天、81天、68天，春夏季降雨量占全年总量的83%。全年以东南风为主导风向，沿海地区以东北风、西南风居多，具有明显的季风特点。气候要素垂直差异明显，山岳地带随海拔高度每上升100米，年平均气温约降低0.56 ℃。海岛地区受海洋气候调节，气温高温低、低温高，日较差小于各地。</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春季：入春后，气候逐渐回暖，月平均气温9～20 ℃。少数年份受北方冷空气影响，出现倒春寒天气。山区和沿海局部地区有冰雹出现。月平均降雨日18～21天，季降雨量约468毫米，占全年总降雨量的32%。季海雾日30天左右，多数出现在3～5月。</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夏季：初夏仍有梅雨天气，少数年份梅雨寒可持续到6月下旬。7月份进入酷暑季节，平均气温25～29℃。7～9月是台风、雷雨季，台风暴雨频繁，雨量集中，降雨量占全年总量的35%。</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秋季：气候凉爽干燥，日平均气温在20 ℃以下。受冷空气影响，偶有秋寒天气出现。月平均降雨日在10天以下，季降雨量约127毫米，占全年降雨量的9%。12月中旬，大部地区进入霜期。</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冬季：入冬后气温急剧下降，1～2月份为严冬季节，月平均气温8.6～8.7 ℃，出现降雪天气。季风以东北风为主。雨量稀少，季降雨量118毫米，占全年降雨量的8%。</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（1）日照数</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累年月平均日照时数，最多的是7月份255.9小时，最少的是2月份84.7小时。累年年平均日照百分率（实照时数与可照时数的百分比）为41%，累年月平均日照百分率7月份最大，达到61%；2月份最小，为27%。</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（2）气温</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县境海拔700米以下的大部地区，日平均气温都在0 ℃以上。全县累年年平均气温16～19 ℃，年平均气温最低的是山区柏洋乡16.1 ℃，最高的是沿海三沙镇18.8 ℃，县城18.6 ℃。一年当中，7月份最热，1月份最冷。</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（3）降雨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全县累年年平均降雨量1100～1800毫米，降雨量分布从沿海向西北山区逐渐递增：东南部半岛、岛屿地区1199.5毫米，中部及东北部丘陵、平原地区1400毫米，西北部山区1640毫米。降雨季节分布，7～9月份台风雷雨季降雨量占全年总降雨量的35%，5～6月份梅雨季降雨量占29%，10月至次年2月份秋冬季降雨量占17%，3～4月份春雨季降雨量占19%。</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（4）干燥度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西北部干燥度0.86～0.92，属于湿润区，其他地区干燥度1.07～1.38，均属半湿润区。一年当中，7月份气温高、蒸发量大，全境干燥度1.14～3.45，北部山区属半湿润区，沿海地区为干旱区；10～12月份枯水季节，各地湿润状况较差，干燥度1.5～3.61，基本处于干旱状态。</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（5）湿度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累年年平均相对湿度79.2%。夏半年(3～8月)平均相对湿度82.7%，最大的是6月份84.8%；冬半年(9～2月)平均相对湿度75.6%，最小的是10月份73.3%。山区和海岛年平均相对湿度都在80%以上，内陆地区多数在80%以下。冬半年山区相对湿度比沿海地区大，夏半年沿海地区相对湿度比山区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（6）风况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当地多年平均风速1.7 m/s，最大风速为34 m/s，风向为东；冬季多东北风，12月份最多风向为西南西，频率为24%；夏季7～8月份，风向最多为东北东，频率分别为15%和31%。全年大雨六级风日数平均8 天，多出现在7～9月，台风入侵平均每年三次，亦以7～9月为多。</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多年平均雾日数为6.3 d，多发生在1～5月，以4月为最多，年最多雾日数达14 d。</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（8）台风</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本区属北太平洋西岸低纬地带。常受西太平洋及南海台风的袭击和影响，登陆、影响霞浦县的台风年均为4～5个，在本区登陆及对本区有影响的台风一般出现在5～11月，主要集中在7～9月。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规划区所在地牙城镇年均温约18.8 ℃，1月均温约8.5 ℃，7月均温约27.7 ℃，年降水量约1500 mm，3～6月多雾。</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地形地貌</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地势西北高、东南低，自西北向东南大致呈三级阶梯状下降。地貌复杂，各类地貌参杂交织，比例相差甚大。北部、西北部山地区，由低山、丘陵和山间盆谷组成，山地为主，丘谷次之；中部丘陵、平原区，由低山、丘陵、丘间盆谷和平原组成，丘陵面积占绝对优势，低山零星分布，丘谷发育；东南沿海半岛、岛屿花岗岩丘陵区，由低山、丘陵、盆谷、平原和滩涂海洋组成，花岗岩类丘陵占绝对优势，低山、盆谷和平原面积较少。</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（1）县内山地属剥蚀侵蚀—构造地貌，面积约325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，占全县陆地面积的21.82%。其中中山面积约30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，占山地面积的9.23%。</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（2）县内丘陵属剥蚀—侵蚀地貌，面积1073.5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，占全县陆地面积的72.07%。</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（3）县内的山间盆谷、丘间盆谷和平原，面积仅91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占全县陆地面积的6.11%。县内主要构造体系。由一系列北北东、北东走向的断裂带和火山喷发带组成，境内主要山脉、山岭和海岸线的布局均受其影响，循构造线展布。明显断裂带有2条：福鼎秦屿——霞浦水门断裂带，由一组北北东向压性、压扭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断裂组成，北起福鼎巽城，南延霞浦城郊，断续出露约40 km。断裂带岩石受强烈挤压而破碎，花岗岩成为破碎花岗岩结构，局部地段糜棱岩化；霞浦柏洋——福安松罗断裂带，由柏洋、横江、松罗等4条北东20～35度断裂组成，延伸10～20 km，属压性断裂，断裂带岩石受挤压破碎，局部硅化。</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火山喷发带由一系列北北东向火山喷发带组成，有福鼎前岐——霞浦州洋火山喷发带、霞浦溪南——宁德礁溪火山喷发带、柘荣城关——霞浦柏洋大岭——福安赛岐火山喷发带。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背山面海，属沿海丘陵山地地貌，以丘陵为主。镇域内大部分微型平原属于山前平原，为山洪冲击而成。镇区内平原面积广阔，大部分建设在滩涂上，属于滨海平原，是因有周期性的海潮入侵，形成海积层和九都溪河流冲积层的相互交错而形成的滨海平原。</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水文概况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牙城湾区域中心位置坐标为120°11′13″ E，26°58′22″ N，东侧为入海口，其余为丘陵山地环抱。海域面积约16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，岸线曲折，长约25 km。</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福建省闽东海洋环境监测中心于2005年11月在牙城湾海域进行潮流和潮位观测。潮流观测站位：①在海湾口门处设1个潮流观测站位（a），进行24小时（11月2日~3日）连续同步观测。②在海湾内设1个临时潮位观测站位（b），进行72小时（11月2日~5日）连续同步观测。根据其编制的《霞浦县（牙城）工业项目集中点填海工程海域使用论证报告书（报批稿）》（2005年12月）牙城湾海域的水文动力情况如下： </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（1）潮流</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潮流特征值实测潮流特征见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_Ref24756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，流速流向过程曲线见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_Ref26098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图4.1-4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和</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_Ref26163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图4.1-5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_Ref24756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可以看出：①该站落潮流为ENE，涨潮流为WSW，海流呈往复流。根据牙城湾临时验潮站实测资料以及邻近验潮站三沙站历年潮汐观测资料，该海域潮型为正规半日潮，每日出现两次涨、落潮。可以判定牙城湾海域潮流为正规半日潮往复流；②各层平均涨潮流速均大于平均落潮流速。因此，该海域平均涨潮流速大于平均落潮流速；③各层之间平均涨、落潮流方向基本一致，涨潮流向为WSW，落潮流向ENE，底层流速略小于中、表层流速。因为水深较浅，海流垂直变化不大。</w:t>
      </w:r>
    </w:p>
    <w:p>
      <w:pPr>
        <w:pStyle w:val="24"/>
        <w:numPr>
          <w:ilvl w:val="6"/>
          <w:numId w:val="4"/>
        </w:numPr>
        <w:tabs>
          <w:tab w:val="left" w:pos="420"/>
        </w:tabs>
        <w:bidi w:val="0"/>
        <w:rPr>
          <w:rFonts w:hint="default" w:ascii="Times New Roman" w:hAnsi="Times New Roman" w:cs="Times New Roman"/>
          <w:color w:val="auto"/>
          <w:highlight w:val="none"/>
          <w:lang w:val="en-US" w:eastAsia="zh-CN"/>
        </w:rPr>
      </w:pPr>
      <w:bookmarkStart w:id="447" w:name="_Ref24756"/>
      <w:bookmarkEnd w:id="447"/>
      <w:r>
        <w:rPr>
          <w:rFonts w:hint="default" w:ascii="Times New Roman" w:hAnsi="Times New Roman" w:cs="Times New Roman"/>
          <w:color w:val="auto"/>
          <w:highlight w:val="none"/>
          <w:lang w:val="en-US" w:eastAsia="zh-CN"/>
        </w:rPr>
        <w:t>牙城湾实测潮流特征值</w:t>
      </w:r>
    </w:p>
    <w:p>
      <w:pPr>
        <w:ind w:left="0" w:leftChars="0" w:firstLine="0" w:firstLineChars="0"/>
        <w:jc w:val="center"/>
        <w:rPr>
          <w:rFonts w:hint="default" w:ascii="Times New Roman" w:hAnsi="Times New Roman" w:cs="Times New Roman"/>
          <w:color w:val="auto"/>
          <w:kern w:val="0"/>
          <w:highlight w:val="none"/>
        </w:rPr>
      </w:pPr>
    </w:p>
    <w:p>
      <w:pPr>
        <w:ind w:left="0" w:leftChars="0" w:firstLine="0" w:firstLineChars="0"/>
        <w:jc w:val="center"/>
        <w:rPr>
          <w:rFonts w:hint="default" w:ascii="Times New Roman" w:hAnsi="Times New Roman" w:cs="Times New Roman"/>
          <w:color w:val="auto"/>
          <w:kern w:val="0"/>
          <w:highlight w:val="none"/>
        </w:rPr>
      </w:pPr>
    </w:p>
    <w:p>
      <w:pPr>
        <w:pStyle w:val="22"/>
        <w:numPr>
          <w:ilvl w:val="7"/>
          <w:numId w:val="3"/>
        </w:numPr>
        <w:bidi w:val="0"/>
        <w:rPr>
          <w:rFonts w:hint="default" w:ascii="Times New Roman" w:hAnsi="Times New Roman" w:cs="Times New Roman"/>
          <w:color w:val="auto"/>
          <w:highlight w:val="none"/>
          <w:lang w:val="en-US" w:eastAsia="zh-CN"/>
        </w:rPr>
      </w:pPr>
      <w:bookmarkStart w:id="448" w:name="_Ref26098"/>
      <w:r>
        <w:rPr>
          <w:rFonts w:hint="default" w:ascii="Times New Roman" w:hAnsi="Times New Roman" w:cs="Times New Roman"/>
          <w:color w:val="auto"/>
          <w:highlight w:val="none"/>
          <w:lang w:val="en-US" w:eastAsia="zh-CN"/>
        </w:rPr>
        <w:t>表层和0.6H海流过程曲线</w:t>
      </w:r>
      <w:bookmarkEnd w:id="448"/>
    </w:p>
    <w:p>
      <w:pPr>
        <w:ind w:left="0" w:leftChars="0" w:firstLine="0" w:firstLineChars="0"/>
        <w:jc w:val="center"/>
        <w:rPr>
          <w:rFonts w:hint="default" w:ascii="Times New Roman" w:hAnsi="Times New Roman" w:cs="Times New Roman"/>
          <w:color w:val="auto"/>
          <w:kern w:val="0"/>
          <w:highlight w:val="none"/>
        </w:rPr>
      </w:pPr>
    </w:p>
    <w:p>
      <w:pPr>
        <w:pStyle w:val="22"/>
        <w:numPr>
          <w:ilvl w:val="7"/>
          <w:numId w:val="3"/>
        </w:numPr>
        <w:bidi w:val="0"/>
        <w:rPr>
          <w:rFonts w:hint="default" w:ascii="Times New Roman" w:hAnsi="Times New Roman" w:cs="Times New Roman"/>
          <w:color w:val="auto"/>
          <w:highlight w:val="none"/>
          <w:lang w:val="en-US" w:eastAsia="zh-CN"/>
        </w:rPr>
      </w:pPr>
      <w:bookmarkStart w:id="449" w:name="_Ref26163"/>
      <w:r>
        <w:rPr>
          <w:rFonts w:hint="default" w:ascii="Times New Roman" w:hAnsi="Times New Roman" w:cs="Times New Roman"/>
          <w:color w:val="auto"/>
          <w:highlight w:val="none"/>
          <w:lang w:val="en-US" w:eastAsia="zh-CN"/>
        </w:rPr>
        <w:t>底层海流过程曲线</w:t>
      </w:r>
      <w:bookmarkEnd w:id="449"/>
    </w:p>
    <w:p>
      <w:pPr>
        <w:ind w:left="0" w:leftChars="0" w:firstLine="0" w:firstLineChars="0"/>
        <w:jc w:val="center"/>
        <w:rPr>
          <w:rFonts w:hint="default" w:ascii="Times New Roman" w:hAnsi="Times New Roman" w:cs="Times New Roman"/>
          <w:color w:val="auto"/>
          <w:kern w:val="0"/>
          <w:highlight w:val="none"/>
        </w:rPr>
      </w:pPr>
    </w:p>
    <w:p>
      <w:pPr>
        <w:pStyle w:val="22"/>
        <w:numPr>
          <w:ilvl w:val="7"/>
          <w:numId w:val="3"/>
        </w:numPr>
        <w:bidi w:val="0"/>
        <w:rPr>
          <w:rFonts w:hint="default" w:ascii="Times New Roman" w:hAnsi="Times New Roman" w:cs="Times New Roman"/>
          <w:color w:val="auto"/>
          <w:highlight w:val="none"/>
          <w:lang w:val="en-US" w:eastAsia="zh-CN"/>
        </w:rPr>
      </w:pPr>
      <w:bookmarkStart w:id="450" w:name="_Ref26287"/>
      <w:r>
        <w:rPr>
          <w:rFonts w:hint="default" w:ascii="Times New Roman" w:hAnsi="Times New Roman" w:cs="Times New Roman"/>
          <w:color w:val="auto"/>
          <w:highlight w:val="none"/>
          <w:lang w:val="en-US" w:eastAsia="zh-CN"/>
        </w:rPr>
        <w:t>牙城湾大潮期潮位曲线</w:t>
      </w:r>
      <w:bookmarkEnd w:id="450"/>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（2）潮汐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潮位观测结果见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_Ref26670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，潮位变化曲线见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_Ref26287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图4.1-6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b号观测站观测的72小时内，最高潮位为753 cm，出现在11月4日（农历十月初三）11时07分；最低潮位为166 cm，出现在11月4日（农历十月初三）04时50分。平均潮差513 cm，最大潮差587 cm，最小潮差429 cm。</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（3）波浪</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湾海域地处闽东北，冬季受季风的影响比较大，特别是从每年的10月开始到来年的2月份间有80%的海浪来自偏北方向，其后从3~5月份开始，偏南的风浪逐渐增强，到6~8月，大约有50%的海浪来自偏南方向，9月份偏北向的海浪进一步增强，成为主要风向。</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（4）潮位特征</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当地主要特征潮位为（基准面：黄海平均海平面）：历时最高潮位：4.25 m（1966年9月3日）；历史最低潮位-3.72 m；平均高潮位2.36 m；平均低潮位-1.97 m；平均海平面0.29 m；最大潮差7.38 m（1964年）；最小潮差1.03 m（1966年10月）；平均潮差4.23 m；平均涨潮历时6：05；平均落潮历时6：20。</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（5）海流</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霞浦海区的海流有风海流和倾斜流。风海流主要为台湾暖流，每年冬春季节，在东北风持续作用下，台湾暖流部分水体深入到霞浦海区台山与四礵列岛连线以东25米等深线外；倾斜流主要是闽浙沿岸水，春夏季节，在大量降水作用下，鳌江、瓯江两大水系和霞浦七都溪、罗汉溪、杯溪、长溪三河，以及邻县的交溪、穆阳溪、霍童溪、金溪等江河径流骤增(年径流量总和约为78亿立方米)，注入海洋。闽浙沿岸水与台湾暖流外洋水的交汇以台山与四礵列岛连线为界，一般表现为春夏季沿岸水势力强，向连线东至东南伸展；秋冬季沿岸水势力弱，向连线西至西北退缩，外洋水势力相随消长。海区常形成一至数道明显或隐约可见的分界线，俗称“流隔”。 </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（6）水温</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霞浦近岸海域年平均水温变动范围为18.8～21.1 ℃，月平均水温10～29 ℃。一般5～9月份属于夏季性水温，内海高于外海，表层高于底层；11月至翌年3月份属于冬季性水温，外海高于内海，底层高于表层；4月份和10月份处于冬、夏性水温的转折，其变化为抛物线形升降。日间水温变化为大潮水温低，小潮水温高，相差1～2 ℃。</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（7）河流</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highlight w:val="none"/>
          <w:lang w:val="en-US" w:eastAsia="zh-CN"/>
        </w:rPr>
        <w:t>霞浦县境内有干流长1公里以上的河流24条，略呈树枝状水系，多数河流源于北部山地，顺势由东南入海，多年平均径流量13.38亿立方米。夏季水丰，冬季偏枯。主要河流有杯溪、罗汉溪、七都溪、长溪三河，溪水清澈，含沙量少。</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51" w:name="_Ref26670"/>
      <w:r>
        <w:rPr>
          <w:rFonts w:hint="default" w:ascii="Times New Roman" w:hAnsi="Times New Roman" w:cs="Times New Roman"/>
          <w:color w:val="auto"/>
          <w:highlight w:val="none"/>
          <w:lang w:val="en-US" w:eastAsia="zh-CN"/>
        </w:rPr>
        <w:t>牙城湾潮位观测结果</w:t>
      </w:r>
      <w:bookmarkEnd w:id="451"/>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土壤、植被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根据土壤普查，霞浦县土地总面积223.43万亩，其中山地、耕地土壤面积180万亩，共分7个土类、15个亚类、34个土属、51个土种。7大土类分别为红壤、黄壤、紫色土、潮土、风沙土、盐土、水稻土。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县境原生植被以常绿槠类阔叶林为主要类型，经长期人为的强度干涉，逐步演替为次生乔木、灌丛、草被以及人工针叶植被，仅在少数僻地和风水林、封山育林地残留原生或次生天然植被轮廓。此外，人工栽培的果树、茶树、农田作物等植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以及东洋工业区周边山体植被分布林木以针叶林为主，主要有马尾松林和杉木林，并分别组成不同的生物群落，马尾松—杜鹃+檵木+柃木—芒萁群落；杉木—乌饭+梅叶冬青—芒萁群落，此外还有部分毛竹林。而人工种植的林木主要有木麻黄、橘树、榕树等。规划区所在区域土壤多为红壤、潮土、风沙土和盐土，区域风蚀较严重，由于防护林治理有效，水土流失不明显。规划园区目前园区道路硬化已经完成，剩余荒地主要面向企业开发，主要植株为芦苇等其他野草。</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本次扩建属于新增地块，地块区域范围内基本无原生植被，目前土地已平整，地表覆盖少量杂草。</w:t>
      </w: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自然资源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（1）水资源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霞浦境内水系呈树枝状分布，干流长1公里以上的河流24条，多年平均径流量13.38 亿立方米。主要河流有杯溪、罗汉溪、七都溪、三河、长溪，总流域面积635.2平方公里，干流长134.5公里。</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根据宁德市水资源公报，2010年霞浦县地表水资源总量15.23亿m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，地下水资源量2.695亿m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，水资源总量15.23亿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，多年平均水资源总量15.01 亿m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。尽管本区域水资源相对丰富，但由于水资源分布不均等问题，霞浦境内部分地区水资源紧缺。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（2）矿产资源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霞浦县探明的矿物有金属和非金属等10多种，都具有开采价值，且品位较高。主要是铜、水晶、花岗岩、辉绿岩、石英石、石英矿、闪长岩、沸石、高岭土、紫陶土、铁、褐铁、白马辉钼矿、银、贝壳、海沙和稀土矿等。其中储藏量丰富，有较大开采利用价值的是海砂，其储量为2000万t，含硅量达85%以上，可作为玻璃原料，主要分布在三沙镇青官蓝、长春镇大京、北壁乡东冲等处；其次是沸石，储量约200万t。沸石主要分布在下浒镇马坑、虾山、雷江、溪南镇东安岛等地。据勘测，花岗岩储量约4920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，各乡镇广泛分布，花色品种多；高岭土3200万t，矿点主要分布在盐田乡牛旺头、大屿头、浒屿、太平桥、溪南镇青山、下山、沙江镇小马、柏洋乡横江、西宅。</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本规划区内无地下矿藏资源。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（3）海洋及渔业资源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霞浦县东南港湾众多，大小港口作业点共138个，主要有“两洋三湾四港”（东吾洋、官井洋，三沙湾、福宁湾、牙城湾，三沙港、东冲港、吕峡港、盐田港），捕捞、养殖、航运等海洋经济在闽东地区属首屈一指。海域面积29592.6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，浅水、滩涂面积 696 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，海岸线长404 km，大小岛屿194个（其中，东冲半岛形如卧虎拱卫闽东内海），均居福建省各沿海县（市）的首位。特别是：拥有溪南、三沙、北壁等宝贵的天然深水岸线和充裕的土地后备资源，蕴藏着发展石化加工、船舶修造、能源生产等重化产业的战略优势。霞浦县拥有港阔水深岸线长的天然优势，海域面积广阔，沿海港口众多，海岸线长达404 km，占福建省的八分之一，占宁德市的近一半，居全省各县市首位，其中天然深水岸线长约42 km，可建3~50万吨级深水泊位130多个，沿岸许多地方具备建港条件。宁德港霞浦（溪南）深水港区具备港阔、水深、岸线长、建港腹地大等凸显优势，是发展大型临海工业的首先之地，为全国稀缺、不可多得的深水港群资源。霞浦县拥有渔船3000多艘，常年水产品总产量约占宁德市40%以上。当地海洋鱼类700多种，滩涂生物200余种，主产大黄鱼、石斑鱼、滩涂鱼和海带、牡蛎及蟹、蛏、蛤、蚶等，沙江剑蛏、牙城七都、盐田花蛤饮誉省内外，年水产品总量均在30万吨以上，居福建省各沿海县（市）的第二位。</w:t>
      </w:r>
    </w:p>
    <w:p>
      <w:pPr>
        <w:pStyle w:val="3"/>
        <w:numPr>
          <w:ilvl w:val="1"/>
          <w:numId w:val="4"/>
        </w:numPr>
        <w:bidi w:val="0"/>
        <w:rPr>
          <w:rFonts w:hint="default" w:ascii="Times New Roman" w:hAnsi="Times New Roman" w:cs="Times New Roman"/>
          <w:color w:val="auto"/>
          <w:highlight w:val="none"/>
          <w:lang w:val="en-US" w:eastAsia="zh-CN"/>
        </w:rPr>
      </w:pPr>
      <w:bookmarkStart w:id="452" w:name="_Toc24595"/>
      <w:bookmarkStart w:id="453" w:name="_Toc32709"/>
      <w:bookmarkStart w:id="454" w:name="_Toc29295"/>
      <w:bookmarkStart w:id="455" w:name="_Toc4318"/>
      <w:r>
        <w:rPr>
          <w:rFonts w:hint="default" w:ascii="Times New Roman" w:hAnsi="Times New Roman" w:cs="Times New Roman"/>
          <w:color w:val="auto"/>
          <w:highlight w:val="none"/>
          <w:lang w:val="en-US" w:eastAsia="zh-CN"/>
        </w:rPr>
        <w:t>宁德市霞浦县牙城镇东洋工业园概况</w:t>
      </w:r>
      <w:bookmarkEnd w:id="452"/>
      <w:bookmarkEnd w:id="453"/>
      <w:bookmarkEnd w:id="454"/>
      <w:bookmarkEnd w:id="455"/>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园区概况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霞浦县牙城工业集中区（霞浦县牙城镇东洋工业园区）位于牙城镇东侧，距沈海高速牙城互通口700 m，总面积约132.09 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，规划区范围西至沈海高速公路，东至斗门村，北到东澳水库，南临牙城湾，地理位置优越。</w:t>
      </w: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规划功能定位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园区规划的产业为：以金属制品业（主要为不锈钢与搪瓷制品）、通用设备制造业（金属铸、锻加工、通用零部件制造）、动物胶制造业、纺织业（服装、布料）、鞋业（橡胶靴鞋制造）为主导产业的现代工业园区。</w:t>
      </w: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产业规划布局</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结合现状工业园区布局特点，依托入口处横向园区路，规划总体布局形成“南区、北区”的功能分区。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南区：为污水处理、商服配套、公园绿地、滞洪区等功能组块构成。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北区：主要为工业用地。</w:t>
      </w: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园区环保基础设施建设情况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（1）污水收集及处理情况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规划范围内建有2个污水处理厂，分别为：霞浦县振兴污水处理有限公司建成运营牙城工业园区污水处理厂和霞浦县凤洁污水处理有限公司运营的牙城镇污水处理厂。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牙城工业园区污水处理厂已建成运营规模为1000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/d（设计规模为4000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/d），该污水处理厂仅处理园区内金属制品企业产生的生产废水，并建设了中水回用系统，将处理后的尾水回用于金属制品企业。</w:t>
      </w:r>
    </w:p>
    <w:p>
      <w:pPr>
        <w:keepNext w:val="0"/>
        <w:keepLines w:val="0"/>
        <w:widowControl/>
        <w:suppressLineNumbers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牙城镇污水处理厂</w:t>
      </w:r>
      <w:r>
        <w:rPr>
          <w:rFonts w:hint="default" w:ascii="Times New Roman" w:hAnsi="Times New Roman" w:eastAsia="宋体" w:cs="Times New Roman"/>
          <w:color w:val="auto"/>
          <w:kern w:val="0"/>
          <w:sz w:val="24"/>
          <w:szCs w:val="24"/>
          <w:highlight w:val="none"/>
          <w:lang w:val="en-US" w:eastAsia="zh-CN" w:bidi="ar"/>
        </w:rPr>
        <w:t>已经建成规模为4000 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/d的生活污水处理厂，用于工业园区生活污水、牙城镇区生活污水的处理，尾水排放口位于东澳水库排洪渠，尾水排放口安装了COD、氨氮、TP、TN在线监测系统</w:t>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（2）集中供热规划</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园区未进行集中供热规划，但建有燃气站——霞浦新奥燃气有限公司</w:t>
      </w:r>
      <w:r>
        <w:rPr>
          <w:rFonts w:hint="default" w:ascii="Times New Roman" w:hAnsi="Times New Roman" w:cs="Times New Roman"/>
          <w:color w:val="auto"/>
          <w:szCs w:val="21"/>
          <w:highlight w:val="none"/>
          <w:lang w:val="en-US" w:eastAsia="zh-CN"/>
        </w:rPr>
        <w:t>，设有2座60 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vertAlign w:val="baseline"/>
          <w:lang w:val="en-US" w:eastAsia="zh-CN"/>
        </w:rPr>
        <w:t xml:space="preserve"> </w:t>
      </w:r>
      <w:r>
        <w:rPr>
          <w:rFonts w:hint="default" w:ascii="Times New Roman" w:hAnsi="Times New Roman" w:cs="Times New Roman"/>
          <w:color w:val="auto"/>
          <w:szCs w:val="21"/>
          <w:highlight w:val="none"/>
          <w:lang w:val="en-US" w:eastAsia="zh-CN"/>
        </w:rPr>
        <w:t>LNG立式储罐，高峰小时气化能力为3000标准立方米。</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（3）一般工业固废收集及处置场所规划</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牙城东洋工业园区规划未明确一般工业固体废物、生活垃圾、危险废物处理处置规划。其规划环评建议，东洋工业园区一般工业固体废物应通过综合利用、外售等方式进行处理处置，生活垃圾依托霞浦县生活垃圾填埋场进行处置，危险废物委托有资质单位处置。</w:t>
      </w:r>
    </w:p>
    <w:p>
      <w:pPr>
        <w:pStyle w:val="4"/>
        <w:numPr>
          <w:ilvl w:val="2"/>
          <w:numId w:val="3"/>
        </w:numPr>
        <w:tabs>
          <w:tab w:val="left" w:pos="420"/>
        </w:tabs>
        <w:bidi w:val="0"/>
        <w:rPr>
          <w:rFonts w:hint="default"/>
          <w:color w:val="auto"/>
          <w:highlight w:val="none"/>
          <w:lang w:val="en-US" w:eastAsia="zh-CN"/>
        </w:rPr>
      </w:pPr>
      <w:r>
        <w:rPr>
          <w:rFonts w:hint="eastAsia"/>
          <w:color w:val="auto"/>
          <w:highlight w:val="none"/>
          <w:lang w:val="en-US" w:eastAsia="zh-CN"/>
        </w:rPr>
        <w:t>项目周边企业污染源调查</w:t>
      </w:r>
    </w:p>
    <w:p>
      <w:pPr>
        <w:rPr>
          <w:rFonts w:hint="eastAsia"/>
          <w:color w:val="auto"/>
          <w:highlight w:val="none"/>
          <w:lang w:val="en-US" w:eastAsia="zh-CN"/>
        </w:rPr>
      </w:pPr>
      <w:r>
        <w:rPr>
          <w:rFonts w:hint="eastAsia"/>
          <w:color w:val="auto"/>
          <w:highlight w:val="none"/>
          <w:lang w:val="en-US" w:eastAsia="zh-CN"/>
        </w:rPr>
        <w:t>牙城镇工业园主要规划产业为：金属制品业、通用设备制造业、纺织业、动物明教制造业、鞋业等，项目周边主要排污企业及排污情况详见</w:t>
      </w:r>
      <w:r>
        <w:rPr>
          <w:rFonts w:hint="eastAsia"/>
          <w:color w:val="auto"/>
          <w:highlight w:val="none"/>
          <w:lang w:val="en-US" w:eastAsia="zh-CN"/>
        </w:rPr>
        <w:fldChar w:fldCharType="begin"/>
      </w:r>
      <w:r>
        <w:rPr>
          <w:rFonts w:hint="eastAsia"/>
          <w:color w:val="auto"/>
          <w:highlight w:val="none"/>
          <w:lang w:val="en-US" w:eastAsia="zh-CN"/>
        </w:rPr>
        <w:instrText xml:space="preserve"> REF _Ref5485 \n \h </w:instrText>
      </w:r>
      <w:r>
        <w:rPr>
          <w:rFonts w:hint="eastAsia"/>
          <w:color w:val="auto"/>
          <w:highlight w:val="none"/>
          <w:lang w:val="en-US" w:eastAsia="zh-CN"/>
        </w:rPr>
        <w:fldChar w:fldCharType="separate"/>
      </w:r>
      <w:r>
        <w:rPr>
          <w:rFonts w:hint="eastAsia"/>
          <w:color w:val="auto"/>
          <w:highlight w:val="none"/>
          <w:lang w:val="en-US" w:eastAsia="zh-CN"/>
        </w:rPr>
        <w:t>表4.2-1</w:t>
      </w:r>
      <w:r>
        <w:rPr>
          <w:rFonts w:hint="eastAsia"/>
          <w:color w:val="auto"/>
          <w:highlight w:val="none"/>
          <w:lang w:val="en-US" w:eastAsia="zh-CN"/>
        </w:rPr>
        <w:fldChar w:fldCharType="end"/>
      </w:r>
      <w:r>
        <w:rPr>
          <w:rFonts w:hint="eastAsia"/>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456" w:name="_Ref5485"/>
      <w:r>
        <w:rPr>
          <w:rFonts w:hint="eastAsia"/>
          <w:color w:val="auto"/>
          <w:highlight w:val="none"/>
          <w:lang w:val="en-US" w:eastAsia="zh-CN"/>
        </w:rPr>
        <w:t>项目周边企业</w:t>
      </w:r>
      <w:bookmarkEnd w:id="456"/>
      <w:r>
        <w:rPr>
          <w:rFonts w:hint="eastAsia"/>
          <w:color w:val="auto"/>
          <w:highlight w:val="none"/>
          <w:lang w:val="en-US" w:eastAsia="zh-CN"/>
        </w:rPr>
        <w:t>情况一览表</w:t>
      </w:r>
    </w:p>
    <w:p>
      <w:pPr>
        <w:pStyle w:val="3"/>
        <w:numPr>
          <w:ilvl w:val="1"/>
          <w:numId w:val="4"/>
        </w:numPr>
        <w:bidi w:val="0"/>
        <w:rPr>
          <w:rFonts w:hint="default" w:ascii="Times New Roman" w:hAnsi="Times New Roman" w:cs="Times New Roman"/>
          <w:color w:val="auto"/>
          <w:highlight w:val="none"/>
          <w:lang w:val="en-US" w:eastAsia="zh-CN"/>
        </w:rPr>
      </w:pPr>
      <w:bookmarkStart w:id="457" w:name="_Toc28568"/>
      <w:bookmarkStart w:id="458" w:name="_Toc29006"/>
      <w:bookmarkStart w:id="459" w:name="_Toc11249"/>
      <w:bookmarkStart w:id="460" w:name="_Toc1248"/>
      <w:r>
        <w:rPr>
          <w:rFonts w:hint="default" w:ascii="Times New Roman" w:hAnsi="Times New Roman" w:cs="Times New Roman"/>
          <w:color w:val="auto"/>
          <w:highlight w:val="none"/>
          <w:lang w:val="en-US" w:eastAsia="zh-CN"/>
        </w:rPr>
        <w:t>环境质量现状调查与评价</w:t>
      </w:r>
      <w:bookmarkEnd w:id="457"/>
      <w:bookmarkEnd w:id="458"/>
      <w:bookmarkEnd w:id="459"/>
      <w:bookmarkEnd w:id="460"/>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环境空气质量现状调查与评价</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本项目大气环境影响评价工作等级为</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级，</w:t>
      </w: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《环境影响评价技术导则 大气环境》（HJ2.2-2018）要求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级评价项目环境空气质量现状调查内容应包含</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所在区域环境质量达标情况和项目所在区域污染物环境质量</w:t>
      </w:r>
      <w:r>
        <w:rPr>
          <w:rFonts w:hint="default" w:ascii="Times New Roman" w:hAnsi="Times New Roman" w:cs="Times New Roman"/>
          <w:color w:val="auto"/>
          <w:highlight w:val="none"/>
          <w:lang w:val="en-US" w:eastAsia="zh-CN"/>
        </w:rPr>
        <w:t>现状</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本项目大气评价范围内</w:t>
      </w:r>
      <w:r>
        <w:rPr>
          <w:rFonts w:hint="default" w:ascii="Times New Roman" w:hAnsi="Times New Roman" w:cs="Times New Roman"/>
          <w:color w:val="auto"/>
          <w:highlight w:val="none"/>
        </w:rPr>
        <w:t>环境空气功能区划</w:t>
      </w:r>
      <w:r>
        <w:rPr>
          <w:rFonts w:hint="default" w:ascii="Times New Roman" w:hAnsi="Times New Roman" w:cs="Times New Roman"/>
          <w:color w:val="auto"/>
          <w:highlight w:val="none"/>
          <w:lang w:eastAsia="zh-CN"/>
        </w:rPr>
        <w:t>均</w:t>
      </w:r>
      <w:r>
        <w:rPr>
          <w:rFonts w:hint="default" w:ascii="Times New Roman" w:hAnsi="Times New Roman" w:cs="Times New Roman"/>
          <w:color w:val="auto"/>
          <w:highlight w:val="none"/>
        </w:rPr>
        <w:t>为二类区</w:t>
      </w:r>
      <w:r>
        <w:rPr>
          <w:rFonts w:hint="default" w:ascii="Times New Roman" w:hAnsi="Times New Roman" w:cs="Times New Roman"/>
          <w:color w:val="auto"/>
          <w:highlight w:val="none"/>
          <w:lang w:eastAsia="zh-CN"/>
        </w:rPr>
        <w:t>，因此本评价仅调查项目所在区域及大气评价范围内大气环境</w:t>
      </w:r>
      <w:r>
        <w:rPr>
          <w:rFonts w:hint="default" w:ascii="Times New Roman" w:hAnsi="Times New Roman" w:cs="Times New Roman"/>
          <w:color w:val="auto"/>
          <w:highlight w:val="none"/>
        </w:rPr>
        <w:t>质量达标情况和项目所在区域污染物环境质量</w:t>
      </w:r>
      <w:r>
        <w:rPr>
          <w:rFonts w:hint="default" w:ascii="Times New Roman" w:hAnsi="Times New Roman" w:cs="Times New Roman"/>
          <w:color w:val="auto"/>
          <w:highlight w:val="none"/>
          <w:lang w:val="en-US" w:eastAsia="zh-CN"/>
        </w:rPr>
        <w:t>现状。</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区域环境质量达标情况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根据202</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年2月福建省宁德环境监测中心站公布的《宁德市环境质量概要（20</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年度）》，20</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年霞浦县SO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年均浓度分别为9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、18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eastAsia" w:cs="Times New Roman"/>
          <w:color w:val="auto"/>
          <w:highlight w:val="none"/>
          <w:lang w:val="en-US" w:eastAsia="zh-CN"/>
        </w:rPr>
        <w:t>37</w:t>
      </w:r>
      <w:r>
        <w:rPr>
          <w:rFonts w:hint="default" w:ascii="Times New Roman" w:hAnsi="Times New Roman" w:cs="Times New Roman"/>
          <w:color w:val="auto"/>
          <w:highlight w:val="none"/>
        </w:rPr>
        <w:t xml:space="preserve">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w:t>
      </w:r>
      <w:r>
        <w:rPr>
          <w:rFonts w:hint="eastAsia" w:cs="Times New Roman"/>
          <w:color w:val="auto"/>
          <w:highlight w:val="none"/>
          <w:lang w:val="en-US" w:eastAsia="zh-CN"/>
        </w:rPr>
        <w:t>1</w:t>
      </w:r>
      <w:r>
        <w:rPr>
          <w:rFonts w:hint="default" w:ascii="Times New Roman" w:hAnsi="Times New Roman" w:cs="Times New Roman"/>
          <w:color w:val="auto"/>
          <w:highlight w:val="none"/>
        </w:rPr>
        <w:t xml:space="preserve">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；CO 24小时平均第95百分位数为1.</w:t>
      </w:r>
      <w:r>
        <w:rPr>
          <w:rFonts w:hint="eastAsia" w:cs="Times New Roman"/>
          <w:color w:val="auto"/>
          <w:highlight w:val="none"/>
          <w:lang w:val="en-US" w:eastAsia="zh-CN"/>
        </w:rPr>
        <w:t xml:space="preserve">2 </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日最大8小时平均第90百分位数为</w:t>
      </w:r>
      <w:r>
        <w:rPr>
          <w:rFonts w:hint="eastAsia" w:cs="Times New Roman"/>
          <w:color w:val="auto"/>
          <w:highlight w:val="none"/>
          <w:lang w:val="en-US" w:eastAsia="zh-CN"/>
        </w:rPr>
        <w:t>91</w:t>
      </w:r>
      <w:r>
        <w:rPr>
          <w:rFonts w:hint="default" w:ascii="Times New Roman" w:hAnsi="Times New Roman" w:cs="Times New Roman"/>
          <w:color w:val="auto"/>
          <w:highlight w:val="none"/>
        </w:rPr>
        <w:t xml:space="preserve">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；各污染物平均浓度均优于《环境空气质量标准》（GB3095-2012）中二级标准限值</w:t>
      </w:r>
      <w:r>
        <w:rPr>
          <w:rFonts w:hint="eastAsia" w:cs="Times New Roman"/>
          <w:color w:val="auto"/>
          <w:highlight w:val="none"/>
          <w:lang w:eastAsia="zh-CN"/>
        </w:rPr>
        <w:t>，</w:t>
      </w:r>
      <w:r>
        <w:rPr>
          <w:rFonts w:hint="default" w:ascii="Times New Roman" w:hAnsi="Times New Roman" w:cs="Times New Roman"/>
          <w:color w:val="auto"/>
          <w:highlight w:val="none"/>
        </w:rPr>
        <w:t>大气环境质量较好，属于达标区域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具体</w:t>
      </w:r>
      <w:r>
        <w:rPr>
          <w:rFonts w:hint="default" w:ascii="Times New Roman" w:hAnsi="Times New Roman" w:cs="Times New Roman"/>
          <w:color w:val="auto"/>
          <w:highlight w:val="none"/>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_Ref31314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_Ref65681669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61" w:name="_Ref31314"/>
      <w:r>
        <w:rPr>
          <w:rFonts w:hint="default" w:ascii="Times New Roman" w:hAnsi="Times New Roman" w:cs="Times New Roman"/>
          <w:color w:val="auto"/>
          <w:highlight w:val="none"/>
          <w:lang w:val="en-US" w:eastAsia="zh-CN"/>
        </w:rPr>
        <w:t>2019年霞浦县大气环境达标天数情况统计</w:t>
      </w:r>
      <w:bookmarkEnd w:id="461"/>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62" w:name="_Ref65681669"/>
      <w:r>
        <w:rPr>
          <w:rFonts w:hint="default" w:ascii="Times New Roman" w:hAnsi="Times New Roman" w:cs="Times New Roman"/>
          <w:color w:val="auto"/>
          <w:highlight w:val="none"/>
          <w:lang w:val="en-US" w:eastAsia="zh-CN"/>
        </w:rPr>
        <w:t>2019年霞浦县</w:t>
      </w:r>
      <w:r>
        <w:rPr>
          <w:rFonts w:hint="default" w:ascii="Times New Roman" w:hAnsi="Times New Roman" w:cs="Times New Roman"/>
          <w:color w:val="auto"/>
          <w:highlight w:val="none"/>
        </w:rPr>
        <w:t>区域空气质量现状评价表</w:t>
      </w:r>
      <w:bookmarkEnd w:id="462"/>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区域</w:t>
      </w:r>
      <w:r>
        <w:rPr>
          <w:rFonts w:hint="default" w:ascii="Times New Roman" w:hAnsi="Times New Roman" w:cs="Times New Roman"/>
          <w:color w:val="auto"/>
          <w:highlight w:val="none"/>
          <w:lang w:val="en-US" w:eastAsia="zh-CN"/>
        </w:rPr>
        <w:t>特征</w:t>
      </w:r>
      <w:r>
        <w:rPr>
          <w:rFonts w:hint="default" w:ascii="Times New Roman" w:hAnsi="Times New Roman" w:cs="Times New Roman"/>
          <w:color w:val="auto"/>
          <w:highlight w:val="none"/>
        </w:rPr>
        <w:t>污染物环境质量</w:t>
      </w:r>
      <w:r>
        <w:rPr>
          <w:rFonts w:hint="default" w:ascii="Times New Roman" w:hAnsi="Times New Roman" w:cs="Times New Roman"/>
          <w:color w:val="auto"/>
          <w:highlight w:val="none"/>
          <w:lang w:val="en-US" w:eastAsia="zh-CN"/>
        </w:rPr>
        <w:t>现状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highlight w:val="none"/>
          <w:lang w:val="en-US" w:eastAsia="zh-CN"/>
        </w:rPr>
        <w:t>根据本项目工程分析章节，扩建工程投入运营后，大气特征污染物主要有</w:t>
      </w:r>
      <w:r>
        <w:rPr>
          <w:rFonts w:hint="default" w:ascii="Times New Roman" w:hAnsi="Times New Roman" w:cs="Times New Roman"/>
          <w:color w:val="auto"/>
          <w:highlight w:val="none"/>
          <w:lang w:val="en-US" w:eastAsia="zh-CN"/>
        </w:rPr>
        <w:t>氨、硫化氢、</w:t>
      </w:r>
      <w:r>
        <w:rPr>
          <w:rFonts w:hint="default" w:ascii="Times New Roman" w:hAnsi="Times New Roman" w:cs="Times New Roman"/>
          <w:color w:val="auto"/>
          <w:highlight w:val="none"/>
        </w:rPr>
        <w:t>非甲烷总烃、</w:t>
      </w:r>
      <w:r>
        <w:rPr>
          <w:rFonts w:hint="default" w:ascii="Times New Roman" w:hAnsi="Times New Roman" w:cs="Times New Roman"/>
          <w:color w:val="auto"/>
          <w:highlight w:val="none"/>
          <w:lang w:val="en-US" w:eastAsia="zh-CN"/>
        </w:rPr>
        <w:t>颗粒物、NO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（1）监测因子及点位布设</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为了进一步了解评价区内特征污染物环境质量达标情况，</w:t>
      </w:r>
      <w:r>
        <w:rPr>
          <w:rFonts w:hint="default" w:ascii="Times New Roman" w:hAnsi="Times New Roman" w:cs="Times New Roman"/>
          <w:color w:val="auto"/>
          <w:highlight w:val="none"/>
        </w:rPr>
        <w:t>本次评价非甲烷总烃</w:t>
      </w:r>
      <w:r>
        <w:rPr>
          <w:rFonts w:hint="default" w:ascii="Times New Roman" w:hAnsi="Times New Roman" w:cs="Times New Roman"/>
          <w:color w:val="auto"/>
          <w:highlight w:val="none"/>
          <w:lang w:val="en-US" w:eastAsia="zh-CN"/>
        </w:rPr>
        <w:t>引用福建天安环境检测评价有限公司</w:t>
      </w:r>
      <w:r>
        <w:rPr>
          <w:rFonts w:hint="default" w:ascii="Times New Roman" w:hAnsi="Times New Roman" w:cs="Times New Roman"/>
          <w:color w:val="auto"/>
          <w:highlight w:val="none"/>
        </w:rPr>
        <w:t>于2020年</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日～2020年</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对福建省钜泰钢管有限公司《钜泰年产2800吨不锈钢管生产线改建项目环境影响报告表》的现状监测数据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氨、硫化氢引用福建创投环境检测有限公司于2020年11月16日~11月22日对《霞浦县城乡医疗卫生建设项目环境影响报告书》中对牙城中心卫生院新院项目的现状监测数据。</w:t>
      </w:r>
      <w:r>
        <w:rPr>
          <w:rFonts w:hint="default" w:ascii="Times New Roman" w:hAnsi="Times New Roman" w:cs="Times New Roman"/>
          <w:color w:val="auto"/>
          <w:sz w:val="24"/>
          <w:szCs w:val="24"/>
          <w:highlight w:val="none"/>
        </w:rPr>
        <w:t>引用的监</w:t>
      </w:r>
      <w:r>
        <w:rPr>
          <w:rFonts w:hint="default" w:ascii="Times New Roman" w:hAnsi="Times New Roman" w:cs="Times New Roman"/>
          <w:color w:val="auto"/>
          <w:highlight w:val="none"/>
        </w:rPr>
        <w:t>测点位及监测项目详见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_Ref5528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，监测点位详见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_Ref26055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图4.3-1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63" w:name="_Ref5528"/>
      <w:r>
        <w:rPr>
          <w:rFonts w:hint="default" w:ascii="Times New Roman" w:hAnsi="Times New Roman" w:cs="Times New Roman"/>
          <w:color w:val="auto"/>
          <w:highlight w:val="none"/>
          <w:lang w:val="en-US" w:eastAsia="zh-CN"/>
        </w:rPr>
        <w:t>引用污染物环境质量现状监测点位及项目表</w:t>
      </w:r>
      <w:bookmarkEnd w:id="463"/>
    </w:p>
    <w:p>
      <w:pPr>
        <w:spacing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（2）评价方法</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大气环境》（HJ2.2-2018），分别对各监测点位不同污染物的短期浓度进行环境质量现状评价。评价方法选用评价指数法。指数</w:t>
      </w:r>
      <w:r>
        <w:rPr>
          <w:rFonts w:hint="default" w:ascii="Times New Roman" w:hAnsi="Times New Roman" w:cs="Times New Roman"/>
          <w:color w:val="auto"/>
          <w:position w:val="-12"/>
          <w:highlight w:val="none"/>
        </w:rPr>
        <w:object>
          <v:shape id="_x0000_i1046" o:spt="75" type="#_x0000_t75" style="height:18pt;width:11pt;" o:ole="t" filled="f" o:preferrelative="t" stroked="f" coordsize="21600,21600">
            <v:path/>
            <v:fill on="f" focussize="0,0"/>
            <v:stroke on="f"/>
            <v:imagedata r:id="rId49" o:title=""/>
            <o:lock v:ext="edit" aspectratio="t"/>
            <w10:wrap type="none"/>
            <w10:anchorlock/>
          </v:shape>
          <o:OLEObject Type="Embed" ProgID="Equation.KSEE3" ShapeID="_x0000_i1046" DrawAspect="Content" ObjectID="_1468075735" r:id="rId48">
            <o:LockedField>false</o:LockedField>
          </o:OLEObject>
        </w:object>
      </w:r>
      <w:r>
        <w:rPr>
          <w:rFonts w:hint="default" w:ascii="Times New Roman" w:hAnsi="Times New Roman" w:cs="Times New Roman"/>
          <w:color w:val="auto"/>
          <w:highlight w:val="none"/>
        </w:rPr>
        <w:t>的定义如下：</w:t>
      </w:r>
    </w:p>
    <w:p>
      <w:pPr>
        <w:bidi w:val="0"/>
        <w:ind w:left="0" w:leftChars="0" w:firstLine="0" w:firstLineChars="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position w:val="-30"/>
          <w:highlight w:val="none"/>
        </w:rPr>
        <w:object>
          <v:shape id="_x0000_i1047" o:spt="75" type="#_x0000_t75" style="height:34pt;width:41pt;" o:ole="t" filled="f" o:preferrelative="t" stroked="f" coordsize="21600,21600">
            <v:path/>
            <v:fill on="f" focussize="0,0"/>
            <v:stroke on="f"/>
            <v:imagedata r:id="rId51" o:title=""/>
            <o:lock v:ext="edit" aspectratio="t"/>
            <w10:wrap type="none"/>
            <w10:anchorlock/>
          </v:shape>
          <o:OLEObject Type="Embed" ProgID="Equation.KSEE3" ShapeID="_x0000_i1047" DrawAspect="Content" ObjectID="_1468075736" r:id="rId50">
            <o:LockedField>false</o:LockedField>
          </o:OLEObject>
        </w:objec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position w:val="-12"/>
          <w:highlight w:val="none"/>
        </w:rPr>
        <w:object>
          <v:shape id="_x0000_i1048" o:spt="75" type="#_x0000_t75" style="height:18pt;width:13.95pt;" o:ole="t" filled="f" o:preferrelative="t" stroked="f" coordsize="21600,21600">
            <v:path/>
            <v:fill on="f" focussize="0,0"/>
            <v:stroke on="f"/>
            <v:imagedata r:id="rId53" o:title=""/>
            <o:lock v:ext="edit" aspectratio="t"/>
            <w10:wrap type="none"/>
            <w10:anchorlock/>
          </v:shape>
          <o:OLEObject Type="Embed" ProgID="Equation.KSEE3" ShapeID="_x0000_i1048" DrawAspect="Content" ObjectID="_1468075737" r:id="rId52">
            <o:LockedField>false</o:LockedField>
          </o:OLEObject>
        </w:objec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某种污染因子不同取样时间的浓度测值，mg/m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lang w:eastAsia="zh-CN"/>
        </w:rPr>
        <w:object>
          <v:shape id="_x0000_i1049" o:spt="75" type="#_x0000_t75" style="height:18pt;width:18pt;" o:ole="t" filled="f" o:preferrelative="t" stroked="f" coordsize="21600,21600">
            <v:path/>
            <v:fill on="f" focussize="0,0"/>
            <v:stroke on="f"/>
            <v:imagedata r:id="rId55" o:title=""/>
            <o:lock v:ext="edit" aspectratio="t"/>
            <w10:wrap type="none"/>
            <w10:anchorlock/>
          </v:shape>
          <o:OLEObject Type="Embed" ProgID="Equation.KSEE3" ShapeID="_x0000_i1049" DrawAspect="Content" ObjectID="_1468075738" r:id="rId54">
            <o:LockedField>false</o:LockedField>
          </o:OLEObject>
        </w:objec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环境空气质量标准，mg/m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（3）评价标准</w:t>
      </w:r>
    </w:p>
    <w:p>
      <w:pPr>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本项目所在地环境空气功能区划为二类区，区域环境空气质量执行《环境空气质量标准》（GB3095-2012）</w:t>
      </w:r>
      <w:r>
        <w:rPr>
          <w:rFonts w:hint="default" w:ascii="Times New Roman" w:hAnsi="Times New Roman" w:cs="Times New Roman"/>
          <w:color w:val="auto"/>
          <w:sz w:val="24"/>
          <w:highlight w:val="none"/>
          <w:lang w:val="en-US" w:eastAsia="zh-CN"/>
        </w:rPr>
        <w:t>及其修改单</w:t>
      </w:r>
      <w:r>
        <w:rPr>
          <w:rFonts w:hint="default" w:ascii="Times New Roman" w:hAnsi="Times New Roman" w:cs="Times New Roman"/>
          <w:color w:val="auto"/>
          <w:sz w:val="24"/>
          <w:highlight w:val="none"/>
        </w:rPr>
        <w:t>中的二级标准，其他污染物氨、硫化氢执行《环境影响评价技术导则 大气环境》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HJ2.2-2018</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附录D表D.1其他污染物空气质量浓度参考限值，</w:t>
      </w:r>
      <w:r>
        <w:rPr>
          <w:rFonts w:hint="default" w:ascii="Times New Roman" w:hAnsi="Times New Roman" w:cs="Times New Roman"/>
          <w:color w:val="auto"/>
          <w:highlight w:val="none"/>
        </w:rPr>
        <w:t>非甲烷总烃</w:t>
      </w:r>
      <w:r>
        <w:rPr>
          <w:rFonts w:hint="default" w:ascii="Times New Roman" w:hAnsi="Times New Roman" w:cs="Times New Roman"/>
          <w:color w:val="auto"/>
          <w:highlight w:val="none"/>
          <w:lang w:val="en-US" w:eastAsia="zh-CN"/>
        </w:rPr>
        <w:t>参照执行《大气污染物综合排放详解》，</w:t>
      </w:r>
      <w:r>
        <w:rPr>
          <w:rFonts w:hint="default" w:ascii="Times New Roman" w:hAnsi="Times New Roman" w:cs="Times New Roman"/>
          <w:color w:val="auto"/>
          <w:sz w:val="24"/>
          <w:highlight w:val="none"/>
        </w:rPr>
        <w:t>具体标准值参见总论章节</w:t>
      </w:r>
      <w:r>
        <w:rPr>
          <w:rFonts w:hint="default" w:ascii="Times New Roman" w:hAnsi="Times New Roman" w:cs="Times New Roman"/>
          <w:color w:val="auto"/>
          <w:sz w:val="24"/>
          <w:highlight w:val="none"/>
          <w:lang w:eastAsia="zh-CN"/>
        </w:rPr>
        <w:t>。</w:t>
      </w:r>
    </w:p>
    <w:p>
      <w:pP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（4）监测及分析方法</w:t>
      </w:r>
    </w:p>
    <w:p>
      <w:pPr>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监测方法按照《环境空气质量手工监测技术规范》和《空气和废气监测分析方法》进行环境空气质量监测，分析方法按《环境空气质量标准》（GB3095-2012）中的有关规定执行</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分析方法见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_Ref11324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表4.3-4</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rPr>
      </w:pPr>
      <w:bookmarkStart w:id="464" w:name="_Ref11324"/>
      <w:r>
        <w:rPr>
          <w:rFonts w:hint="default" w:ascii="Times New Roman" w:hAnsi="Times New Roman" w:cs="Times New Roman"/>
          <w:color w:val="auto"/>
          <w:highlight w:val="none"/>
          <w:lang w:val="en-US" w:eastAsia="zh-CN"/>
        </w:rPr>
        <w:t>环境空气质量分析方法</w:t>
      </w:r>
      <w:bookmarkEnd w:id="464"/>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931"/>
        <w:gridCol w:w="5153"/>
        <w:gridCol w:w="219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jc w:val="center"/>
        </w:trPr>
        <w:tc>
          <w:tcPr>
            <w:tcW w:w="1931" w:type="dxa"/>
            <w:tcBorders>
              <w:tl2br w:val="nil"/>
              <w:tr2bl w:val="nil"/>
            </w:tcBorders>
            <w:vAlign w:val="center"/>
          </w:tcPr>
          <w:p>
            <w:pPr>
              <w:pStyle w:val="21"/>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检测项目</w:t>
            </w:r>
          </w:p>
        </w:tc>
        <w:tc>
          <w:tcPr>
            <w:tcW w:w="5153" w:type="dxa"/>
            <w:tcBorders>
              <w:tl2br w:val="nil"/>
              <w:tr2bl w:val="nil"/>
            </w:tcBorders>
            <w:vAlign w:val="center"/>
          </w:tcPr>
          <w:p>
            <w:pPr>
              <w:pStyle w:val="21"/>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检测标准名称及编号</w:t>
            </w:r>
          </w:p>
        </w:tc>
        <w:tc>
          <w:tcPr>
            <w:tcW w:w="2197" w:type="dxa"/>
            <w:tcBorders>
              <w:tl2br w:val="nil"/>
              <w:tr2bl w:val="nil"/>
            </w:tcBorders>
            <w:vAlign w:val="center"/>
          </w:tcPr>
          <w:p>
            <w:pPr>
              <w:pStyle w:val="21"/>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方法检出限</w:t>
            </w:r>
          </w:p>
          <w:p>
            <w:pPr>
              <w:pStyle w:val="21"/>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3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非甲烷总烃</w:t>
            </w:r>
          </w:p>
        </w:tc>
        <w:tc>
          <w:tcPr>
            <w:tcW w:w="515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环境空气 总烃、甲烷和非甲烷总烃的测定 直接进样-气相色谱法</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HJ 604-2017</w:t>
            </w:r>
            <w:r>
              <w:rPr>
                <w:rFonts w:hint="default" w:ascii="Times New Roman" w:hAnsi="Times New Roman" w:cs="Times New Roman"/>
                <w:color w:val="auto"/>
                <w:sz w:val="21"/>
                <w:szCs w:val="21"/>
                <w:highlight w:val="none"/>
                <w:lang w:eastAsia="zh-CN"/>
              </w:rPr>
              <w:t>）</w:t>
            </w:r>
          </w:p>
        </w:tc>
        <w:tc>
          <w:tcPr>
            <w:tcW w:w="219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0.07</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31" w:type="dxa"/>
            <w:tcBorders>
              <w:tl2br w:val="nil"/>
              <w:tr2bl w:val="nil"/>
            </w:tcBorders>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氨</w:t>
            </w:r>
          </w:p>
        </w:tc>
        <w:tc>
          <w:tcPr>
            <w:tcW w:w="5153" w:type="dxa"/>
            <w:tcBorders>
              <w:tl2br w:val="nil"/>
              <w:tr2bl w:val="nil"/>
            </w:tcBorders>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 xml:space="preserve">环境空气 氨的测定 </w:t>
            </w:r>
            <w:r>
              <w:rPr>
                <w:rFonts w:hint="default" w:ascii="Times New Roman" w:hAnsi="Times New Roman" w:cs="Times New Roman"/>
                <w:color w:val="auto"/>
                <w:sz w:val="21"/>
                <w:szCs w:val="21"/>
                <w:highlight w:val="none"/>
                <w:lang w:val="en-US" w:eastAsia="zh-CN"/>
              </w:rPr>
              <w:t>次氯酸钠-水杨酸</w:t>
            </w:r>
            <w:r>
              <w:rPr>
                <w:rFonts w:hint="default" w:ascii="Times New Roman" w:hAnsi="Times New Roman" w:cs="Times New Roman"/>
                <w:color w:val="auto"/>
                <w:sz w:val="21"/>
                <w:szCs w:val="21"/>
                <w:highlight w:val="none"/>
              </w:rPr>
              <w:t>分光光度法（HJ 53</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2009）</w:t>
            </w:r>
          </w:p>
        </w:tc>
        <w:tc>
          <w:tcPr>
            <w:tcW w:w="2197" w:type="dxa"/>
            <w:tcBorders>
              <w:tl2br w:val="nil"/>
              <w:tr2bl w:val="nil"/>
            </w:tcBorders>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0.0</w:t>
            </w:r>
            <w:r>
              <w:rPr>
                <w:rFonts w:hint="default" w:ascii="Times New Roman" w:hAnsi="Times New Roman" w:cs="Times New Roman"/>
                <w:color w:val="auto"/>
                <w:sz w:val="21"/>
                <w:szCs w:val="21"/>
                <w:highlight w:val="none"/>
                <w:lang w:val="en-US" w:eastAsia="zh-CN"/>
              </w:rPr>
              <w:t xml:space="preserve">04 </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31" w:type="dxa"/>
            <w:tcBorders>
              <w:tl2br w:val="nil"/>
              <w:tr2bl w:val="nil"/>
            </w:tcBorders>
            <w:vAlign w:val="center"/>
          </w:tcPr>
          <w:p>
            <w:pPr>
              <w:pStyle w:val="2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5153" w:type="dxa"/>
            <w:tcBorders>
              <w:tl2br w:val="nil"/>
              <w:tr2bl w:val="nil"/>
            </w:tcBorders>
            <w:vAlign w:val="center"/>
          </w:tcPr>
          <w:p>
            <w:pPr>
              <w:pStyle w:val="21"/>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空气质量监测 亚甲基蓝分光光度法《空 气和废气监测分析方法》（第四版增补版） 第三篇 第一章 十一（二）</w:t>
            </w:r>
          </w:p>
        </w:tc>
        <w:tc>
          <w:tcPr>
            <w:tcW w:w="2197" w:type="dxa"/>
            <w:tcBorders>
              <w:tl2br w:val="nil"/>
              <w:tr2bl w:val="nil"/>
            </w:tcBorders>
            <w:vAlign w:val="center"/>
          </w:tcPr>
          <w:p>
            <w:pPr>
              <w:pStyle w:val="21"/>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0.001</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监测结果</w:t>
      </w:r>
    </w:p>
    <w:p>
      <w:pP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本次引用评价范围内大气环境质量监测的特征因子监测结果见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_Ref11795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rPr>
      </w:pPr>
      <w:bookmarkStart w:id="465" w:name="_Ref11795"/>
      <w:r>
        <w:rPr>
          <w:rFonts w:hint="default" w:ascii="Times New Roman" w:hAnsi="Times New Roman" w:cs="Times New Roman"/>
          <w:color w:val="auto"/>
          <w:highlight w:val="none"/>
          <w:lang w:val="en-US" w:eastAsia="zh-CN"/>
        </w:rPr>
        <w:t>引用特征污染物大气环境质量监测结果</w:t>
      </w:r>
      <w:bookmarkEnd w:id="465"/>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_Ref11795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引用的监测结果可知，</w:t>
      </w:r>
      <w:r>
        <w:rPr>
          <w:rFonts w:hint="default" w:ascii="Times New Roman" w:hAnsi="Times New Roman" w:cs="Times New Roman"/>
          <w:color w:val="auto"/>
          <w:highlight w:val="none"/>
        </w:rPr>
        <w:t>非甲烷总烃</w:t>
      </w:r>
      <w:r>
        <w:rPr>
          <w:rFonts w:hint="default" w:ascii="Times New Roman" w:hAnsi="Times New Roman" w:cs="Times New Roman"/>
          <w:color w:val="auto"/>
          <w:highlight w:val="none"/>
          <w:lang w:val="en-US" w:eastAsia="zh-CN"/>
        </w:rPr>
        <w:t>可满足《大气污染物综合排放详解》要</w:t>
      </w:r>
      <w:r>
        <w:rPr>
          <w:rFonts w:hint="default" w:ascii="Times New Roman" w:hAnsi="Times New Roman" w:cs="Times New Roman"/>
          <w:color w:val="auto"/>
          <w:sz w:val="24"/>
          <w:szCs w:val="24"/>
          <w:highlight w:val="none"/>
          <w:lang w:val="en-US" w:eastAsia="zh-CN"/>
        </w:rPr>
        <w:t>求；氨</w:t>
      </w:r>
      <w:r>
        <w:rPr>
          <w:rFonts w:hint="default" w:ascii="Times New Roman" w:hAnsi="Times New Roman" w:cs="Times New Roman"/>
          <w:color w:val="auto"/>
          <w:highlight w:val="none"/>
          <w:lang w:val="en-US" w:eastAsia="zh-CN"/>
        </w:rPr>
        <w:t>、硫化氢的监测浓度均满足</w:t>
      </w:r>
      <w:r>
        <w:rPr>
          <w:rFonts w:hint="default" w:ascii="Times New Roman" w:hAnsi="Times New Roman" w:cs="Times New Roman"/>
          <w:color w:val="auto"/>
          <w:highlight w:val="none"/>
        </w:rPr>
        <w:t>《环境影响评价技术导则 大气环境》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HJ2.2-2018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附录D表D.1其他污染物空气质量浓度参考限值</w:t>
      </w:r>
      <w:r>
        <w:rPr>
          <w:rFonts w:hint="default" w:ascii="Times New Roman" w:hAnsi="Times New Roman" w:cs="Times New Roman"/>
          <w:color w:val="auto"/>
          <w:highlight w:val="none"/>
          <w:lang w:val="en-US" w:eastAsia="zh-CN"/>
        </w:rPr>
        <w:t>。由此表明，本项目评价区域范围内总体环境空气质量现状较好，各监测点位未出现超标现象。</w:t>
      </w: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海水质量现状调查与评价</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本项目附近海域为牙城湾，根据</w:t>
      </w:r>
      <w:r>
        <w:rPr>
          <w:rFonts w:hint="default" w:ascii="Times New Roman" w:hAnsi="Times New Roman" w:cs="Times New Roman"/>
          <w:color w:val="auto"/>
          <w:highlight w:val="none"/>
        </w:rPr>
        <w:t>2021年2月福建省宁德环境监测中心站公布的《宁德市环境质量概要（2020年度）》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霞浦牙城湾七都溪口水质类别为四类，不满足《海水水质标准》（GB3097-1997）第二类水质标准，超标因子为无机氮，具体详见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_Ref15961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eastAsia="zh-CN"/>
        </w:rPr>
      </w:pPr>
      <w:bookmarkStart w:id="466" w:name="_Ref15961"/>
      <w:r>
        <w:rPr>
          <w:rFonts w:hint="default" w:ascii="Times New Roman" w:hAnsi="Times New Roman" w:cs="Times New Roman"/>
          <w:color w:val="auto"/>
          <w:highlight w:val="none"/>
        </w:rPr>
        <w:t>《宁德市环境质量概要（2020年度）》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摘录</w:t>
      </w:r>
      <w:r>
        <w:rPr>
          <w:rFonts w:hint="default" w:ascii="Times New Roman" w:hAnsi="Times New Roman" w:cs="Times New Roman"/>
          <w:color w:val="auto"/>
          <w:highlight w:val="none"/>
          <w:lang w:eastAsia="zh-CN"/>
        </w:rPr>
        <w:t>）</w:t>
      </w:r>
      <w:bookmarkEnd w:id="466"/>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地下水水质现状调查与评价</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为了解项目区域地下水环境质量，本次评价引用</w:t>
      </w:r>
      <w:r>
        <w:rPr>
          <w:rFonts w:hint="default" w:ascii="Times New Roman" w:hAnsi="Times New Roman" w:cs="Times New Roman"/>
          <w:color w:val="auto"/>
          <w:highlight w:val="none"/>
          <w:lang w:val="en-US" w:eastAsia="zh-CN"/>
        </w:rPr>
        <w:t>福建天安环境检测评价有限公司</w:t>
      </w:r>
      <w:r>
        <w:rPr>
          <w:rFonts w:hint="default" w:ascii="Times New Roman" w:hAnsi="Times New Roman" w:cs="Times New Roman"/>
          <w:color w:val="auto"/>
          <w:highlight w:val="none"/>
        </w:rPr>
        <w:t>于2020年</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对福建省钜泰钢管有限公司《钜泰年产2800吨不锈钢管生产线改建项目环境影响报告表》对区域地下水水质的</w:t>
      </w:r>
      <w:r>
        <w:rPr>
          <w:rFonts w:hint="default" w:ascii="Times New Roman" w:hAnsi="Times New Roman" w:cs="Times New Roman"/>
          <w:color w:val="auto"/>
          <w:sz w:val="24"/>
          <w:szCs w:val="24"/>
          <w:highlight w:val="none"/>
          <w:lang w:val="en-US" w:eastAsia="zh-CN"/>
        </w:rPr>
        <w:t>现状监测。</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（1）监测点位</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根据牙城镇工业园地下水系的流向和分布特征，引用监测点位3个，具体布置位置详见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_Ref17754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表4.3-7</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及</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_Ref26055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图4.3-1</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rPr>
          <w:rFonts w:hint="default" w:ascii="Times New Roman" w:hAnsi="Times New Roman" w:cs="Times New Roman"/>
          <w:color w:val="auto"/>
          <w:sz w:val="24"/>
          <w:szCs w:val="24"/>
          <w:highlight w:val="none"/>
          <w:lang w:val="en-US" w:eastAsia="zh-CN"/>
        </w:rPr>
      </w:pPr>
    </w:p>
    <w:p>
      <w:pPr>
        <w:rPr>
          <w:rFonts w:hint="default" w:ascii="Times New Roman" w:hAnsi="Times New Roman" w:cs="Times New Roman"/>
          <w:color w:val="auto"/>
          <w:sz w:val="24"/>
          <w:szCs w:val="24"/>
          <w:highlight w:val="none"/>
          <w:lang w:val="en-US" w:eastAsia="zh-CN"/>
        </w:rPr>
      </w:pPr>
    </w:p>
    <w:p>
      <w:pPr>
        <w:rPr>
          <w:rFonts w:hint="default" w:ascii="Times New Roman" w:hAnsi="Times New Roman" w:cs="Times New Roman"/>
          <w:color w:val="auto"/>
          <w:sz w:val="24"/>
          <w:szCs w:val="24"/>
          <w:highlight w:val="none"/>
          <w:lang w:val="en-US" w:eastAsia="zh-CN"/>
        </w:r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67" w:name="_Ref17754"/>
      <w:r>
        <w:rPr>
          <w:rFonts w:hint="default" w:ascii="Times New Roman" w:hAnsi="Times New Roman" w:cs="Times New Roman"/>
          <w:color w:val="auto"/>
          <w:highlight w:val="none"/>
          <w:lang w:val="en-US" w:eastAsia="zh-CN"/>
        </w:rPr>
        <w:t>地下水引用监测点位一览表</w:t>
      </w:r>
      <w:bookmarkEnd w:id="467"/>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（2）监测因子</w:t>
      </w:r>
    </w:p>
    <w:p>
      <w:pP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①基本离子：</w:t>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p>
    <w:p>
      <w:pPr>
        <w:rPr>
          <w:rFonts w:hint="default" w:ascii="Times New Roman" w:hAnsi="Times New Roman" w:cs="Times New Roman"/>
          <w:color w:val="auto"/>
          <w:kern w:val="0"/>
          <w:sz w:val="24"/>
          <w:szCs w:val="21"/>
          <w:highlight w:val="none"/>
          <w:lang w:val="en-US" w:eastAsia="zh-CN"/>
        </w:rPr>
      </w:pPr>
      <w:r>
        <w:rPr>
          <w:rFonts w:hint="default" w:ascii="Times New Roman" w:hAnsi="Times New Roman" w:cs="Times New Roman"/>
          <w:color w:val="auto"/>
          <w:sz w:val="24"/>
          <w:szCs w:val="24"/>
          <w:highlight w:val="none"/>
          <w:lang w:val="en-US" w:eastAsia="zh-CN"/>
        </w:rPr>
        <w:t>②基本指标及特征指标：pH、氨氮、硝酸盐、亚硝酸盐、六价铬、氟、铁、高锰酸盐指数、石油类</w:t>
      </w:r>
      <w:r>
        <w:rPr>
          <w:rFonts w:hint="default" w:ascii="Times New Roman" w:hAnsi="Times New Roman" w:cs="Times New Roman"/>
          <w:color w:val="auto"/>
          <w:kern w:val="0"/>
          <w:sz w:val="24"/>
          <w:szCs w:val="21"/>
          <w:highlight w:val="none"/>
          <w:lang w:val="en-US" w:eastAsia="zh-CN"/>
        </w:rPr>
        <w:t>。</w:t>
      </w:r>
    </w:p>
    <w:p>
      <w:pPr>
        <w:rPr>
          <w:rFonts w:hint="default" w:ascii="Times New Roman" w:hAnsi="Times New Roman" w:cs="Times New Roman"/>
          <w:color w:val="auto"/>
          <w:kern w:val="0"/>
          <w:sz w:val="24"/>
          <w:szCs w:val="21"/>
          <w:highlight w:val="none"/>
          <w:lang w:val="en-US" w:eastAsia="zh-CN"/>
        </w:rPr>
      </w:pPr>
      <w:r>
        <w:rPr>
          <w:rFonts w:hint="default" w:ascii="Times New Roman" w:hAnsi="Times New Roman" w:cs="Times New Roman"/>
          <w:color w:val="auto"/>
          <w:kern w:val="0"/>
          <w:sz w:val="24"/>
          <w:szCs w:val="21"/>
          <w:highlight w:val="none"/>
          <w:lang w:val="en-US" w:eastAsia="zh-CN"/>
        </w:rPr>
        <w:t>（3）监测频次</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共1天，1次/天。</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（4）分析方法</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根据本项目的特点和导则的要求，监测项目与分析方法详见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_Ref18620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表4.3-8</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68" w:name="_Ref18620"/>
      <w:r>
        <w:rPr>
          <w:rFonts w:hint="default" w:ascii="Times New Roman" w:hAnsi="Times New Roman" w:cs="Times New Roman"/>
          <w:color w:val="auto"/>
          <w:highlight w:val="none"/>
          <w:lang w:val="en-US" w:eastAsia="zh-CN"/>
        </w:rPr>
        <w:t>引用地下水水质监测分析方法</w:t>
      </w:r>
      <w:bookmarkEnd w:id="468"/>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09"/>
        <w:gridCol w:w="5733"/>
        <w:gridCol w:w="1335"/>
        <w:gridCol w:w="100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5733"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检测标准（方法）名称及编号（含年号）</w:t>
            </w: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004"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方法检出限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5733"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水质pH值的测定 玻璃电极法 GB6920-86</w:t>
            </w: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04"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钾</w:t>
            </w:r>
          </w:p>
        </w:tc>
        <w:tc>
          <w:tcPr>
            <w:tcW w:w="5733" w:type="dxa"/>
            <w:vMerge w:val="restart"/>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rPr>
              <w:t>水质 钾和钠的测定 火焰原子吸收分光光度法 GB 11904-1989</w:t>
            </w:r>
          </w:p>
        </w:tc>
        <w:tc>
          <w:tcPr>
            <w:tcW w:w="1335"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0.05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钠</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cs="Times New Roman"/>
                <w:color w:val="auto"/>
                <w:highlight w:val="none"/>
                <w:lang w:val="en-US" w:eastAsia="zh-CN"/>
              </w:rPr>
            </w:pPr>
          </w:p>
        </w:tc>
        <w:tc>
          <w:tcPr>
            <w:tcW w:w="1335"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钙</w:t>
            </w:r>
          </w:p>
        </w:tc>
        <w:tc>
          <w:tcPr>
            <w:tcW w:w="5733" w:type="dxa"/>
            <w:vMerge w:val="restart"/>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rPr>
              <w:t>水质 钙和镁的测定 火焰原子吸收分光光度法 GB 11905-1989</w:t>
            </w:r>
          </w:p>
        </w:tc>
        <w:tc>
          <w:tcPr>
            <w:tcW w:w="1335"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0.02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镁</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cs="Times New Roman"/>
                <w:color w:val="auto"/>
                <w:highlight w:val="none"/>
                <w:lang w:val="en-US" w:eastAsia="zh-CN"/>
              </w:rPr>
            </w:pPr>
          </w:p>
        </w:tc>
        <w:tc>
          <w:tcPr>
            <w:tcW w:w="1335"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0.002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铁</w:t>
            </w:r>
          </w:p>
        </w:tc>
        <w:tc>
          <w:tcPr>
            <w:tcW w:w="5733"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水质 铁、锰的测定 火焰原子吸收分光光度法 GB11911-1989</w:t>
            </w:r>
          </w:p>
        </w:tc>
        <w:tc>
          <w:tcPr>
            <w:tcW w:w="1335"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六价铬</w:t>
            </w:r>
          </w:p>
        </w:tc>
        <w:tc>
          <w:tcPr>
            <w:tcW w:w="5733"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 xml:space="preserve">水质 六价铬的测定 </w:t>
            </w:r>
            <w:r>
              <w:rPr>
                <w:rFonts w:hint="default" w:ascii="Times New Roman" w:hAnsi="Times New Roman" w:cs="Times New Roman"/>
                <w:color w:val="auto"/>
                <w:highlight w:val="none"/>
              </w:rPr>
              <w:t>二苯碳酰二肼分光光度法 GB</w:t>
            </w:r>
            <w:r>
              <w:rPr>
                <w:rFonts w:hint="default" w:ascii="Times New Roman" w:hAnsi="Times New Roman" w:cs="Times New Roman"/>
                <w:color w:val="auto"/>
                <w:highlight w:val="none"/>
                <w:lang w:val="en-US" w:eastAsia="zh-CN"/>
              </w:rPr>
              <w:t xml:space="preserve"> 7467-1987</w:t>
            </w:r>
          </w:p>
        </w:tc>
        <w:tc>
          <w:tcPr>
            <w:tcW w:w="1335"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0.004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5733"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水质 氨氮的测定 纳氏试剂分光光度法 GB535-2009</w:t>
            </w: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0.02</w:t>
            </w:r>
            <w:r>
              <w:rPr>
                <w:rFonts w:hint="default" w:ascii="Times New Roman" w:hAnsi="Times New Roman" w:cs="Times New Roman"/>
                <w:color w:val="auto"/>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高</w:t>
            </w:r>
            <w:r>
              <w:rPr>
                <w:rFonts w:hint="eastAsia" w:cs="Times New Roman"/>
                <w:color w:val="auto"/>
                <w:highlight w:val="none"/>
                <w:lang w:val="en-US" w:eastAsia="zh-CN"/>
              </w:rPr>
              <w:t>锰</w:t>
            </w:r>
            <w:r>
              <w:rPr>
                <w:rFonts w:hint="default" w:ascii="Times New Roman" w:hAnsi="Times New Roman" w:cs="Times New Roman"/>
                <w:color w:val="auto"/>
                <w:highlight w:val="none"/>
                <w:lang w:val="en-US" w:eastAsia="zh-CN"/>
              </w:rPr>
              <w:t>酸盐指数</w:t>
            </w:r>
          </w:p>
        </w:tc>
        <w:tc>
          <w:tcPr>
            <w:tcW w:w="5733"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水质 高锰酸盐指数的测定 GB11892-1989</w:t>
            </w:r>
          </w:p>
        </w:tc>
        <w:tc>
          <w:tcPr>
            <w:tcW w:w="1335"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石油类</w:t>
            </w:r>
          </w:p>
        </w:tc>
        <w:tc>
          <w:tcPr>
            <w:tcW w:w="5733"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水质 石油类的测定 紫外分光光度法 HJ970-2018</w:t>
            </w: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F</w:t>
            </w:r>
            <w:r>
              <w:rPr>
                <w:rFonts w:hint="default" w:ascii="Times New Roman" w:hAnsi="Times New Roman" w:cs="Times New Roman"/>
                <w:color w:val="auto"/>
                <w:highlight w:val="none"/>
                <w:vertAlign w:val="superscript"/>
              </w:rPr>
              <w:t>-</w:t>
            </w:r>
          </w:p>
        </w:tc>
        <w:tc>
          <w:tcPr>
            <w:tcW w:w="5733" w:type="dxa"/>
            <w:vMerge w:val="restart"/>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水质 无机阴离子（F</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、Br</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、PO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的测定 离子色谱法 HJ 84-2016</w:t>
            </w: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0.006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0.007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硝酸盐</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0.016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亚硝酸盐</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0.016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p>
        </w:tc>
        <w:tc>
          <w:tcPr>
            <w:tcW w:w="1335"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0.018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p>
        </w:tc>
        <w:tc>
          <w:tcPr>
            <w:tcW w:w="5733" w:type="dxa"/>
            <w:vMerge w:val="restart"/>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酸碱指示剂滴定法（B）《水和废水监测分析方法》（第四版增补版）中国环境科学出版社第三篇第一章第十二条（一）</w:t>
            </w:r>
          </w:p>
        </w:tc>
        <w:tc>
          <w:tcPr>
            <w:tcW w:w="1335"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1209" w:type="dxa"/>
            <w:tcBorders>
              <w:tl2br w:val="nil"/>
              <w:tr2bl w:val="nil"/>
            </w:tcBorders>
            <w:shd w:val="clear" w:color="auto" w:fill="auto"/>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p>
        </w:tc>
        <w:tc>
          <w:tcPr>
            <w:tcW w:w="5733" w:type="dxa"/>
            <w:vMerge w:val="continue"/>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p>
        </w:tc>
        <w:tc>
          <w:tcPr>
            <w:tcW w:w="1335"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04" w:type="dxa"/>
            <w:tcBorders>
              <w:tl2br w:val="nil"/>
              <w:tr2bl w:val="nil"/>
            </w:tcBorders>
            <w:vAlign w:val="center"/>
          </w:tcPr>
          <w:p>
            <w:pPr>
              <w:pStyle w:val="21"/>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bl>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（5）评价标准</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本次引用的地下水水质执行</w:t>
      </w:r>
      <w:r>
        <w:rPr>
          <w:rFonts w:hint="default" w:ascii="Times New Roman" w:hAnsi="Times New Roman" w:cs="Times New Roman"/>
          <w:color w:val="auto"/>
          <w:highlight w:val="none"/>
          <w:lang w:val="en-US" w:eastAsia="zh-CN"/>
        </w:rPr>
        <w:t>《地下水质量标准》（GB/T14848-2017）中的Ⅲ类标准。</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（6）地下水评价方法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 地下水环境》（HJ610-2016），地下水评价方法采用标准指数法。标准指数＞1，表明该水质因子已超标，标准指数越大，超标越严重。标准指数计算公式分为以下两种情况：</w:t>
      </w:r>
    </w:p>
    <w:p>
      <w:pPr>
        <w:spacing w:line="36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a）对于评价标准为定值的水质因子，其标准指数计算方法如下：</w:t>
      </w:r>
    </w:p>
    <w:p>
      <w:pPr>
        <w:spacing w:line="360" w:lineRule="auto"/>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30"/>
          <w:highlight w:val="none"/>
          <w:lang w:val="en-US" w:eastAsia="zh-CN"/>
        </w:rPr>
        <w:object>
          <v:shape id="_x0000_i1050" o:spt="75" type="#_x0000_t75" style="height:34pt;width:41pt;" o:ole="t" filled="f" o:preferrelative="t" stroked="f" coordsize="21600,21600">
            <v:path/>
            <v:fill on="f" focussize="0,0"/>
            <v:stroke on="f"/>
            <v:imagedata r:id="rId57" o:title=""/>
            <o:lock v:ext="edit" aspectratio="t"/>
            <w10:wrap type="none"/>
            <w10:anchorlock/>
          </v:shape>
          <o:OLEObject Type="Embed" ProgID="Equation.KSEE3" ShapeID="_x0000_i1050" DrawAspect="Content" ObjectID="_1468075739" r:id="rId56">
            <o:LockedField>false</o:LockedField>
          </o:OLEObject>
        </w:object>
      </w:r>
    </w:p>
    <w:p>
      <w:pPr>
        <w:bidi w:val="0"/>
        <w:spacing w:line="36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2"/>
          <w:highlight w:val="none"/>
          <w:lang w:val="en-US" w:eastAsia="zh-CN"/>
        </w:rPr>
        <w:object>
          <v:shape id="_x0000_i1051" o:spt="75" type="#_x0000_t75" style="height:18pt;width:12pt;" o:ole="t" filled="f" o:preferrelative="t" stroked="f" coordsize="21600,21600">
            <v:path/>
            <v:fill on="f" focussize="0,0"/>
            <v:stroke on="f"/>
            <v:imagedata r:id="rId59" o:title=""/>
            <o:lock v:ext="edit" aspectratio="t"/>
            <w10:wrap type="none"/>
            <w10:anchorlock/>
          </v:shape>
          <o:OLEObject Type="Embed" ProgID="Equation.KSEE3" ShapeID="_x0000_i1051" DrawAspect="Content" ObjectID="_1468075740" r:id="rId58">
            <o:LockedField>false</o:LockedField>
          </o:OLEObject>
        </w:object>
      </w:r>
      <w:r>
        <w:rPr>
          <w:rFonts w:hint="default" w:ascii="Times New Roman" w:hAnsi="Times New Roman" w:cs="Times New Roman"/>
          <w:color w:val="auto"/>
          <w:highlight w:val="none"/>
          <w:lang w:val="en-US" w:eastAsia="zh-CN"/>
        </w:rPr>
        <w:t>——第</w:t>
      </w:r>
      <w:r>
        <w:rPr>
          <w:rFonts w:hint="default" w:ascii="Times New Roman" w:hAnsi="Times New Roman" w:cs="Times New Roman"/>
          <w:color w:val="auto"/>
          <w:position w:val="-6"/>
          <w:highlight w:val="none"/>
          <w:lang w:val="en-US" w:eastAsia="zh-CN"/>
        </w:rPr>
        <w:object>
          <v:shape id="_x0000_i1052" o:spt="75" type="#_x0000_t75" style="height:13pt;width:6.95pt;" o:ole="t" filled="f" o:preferrelative="t" stroked="f" coordsize="21600,21600">
            <v:path/>
            <v:fill on="f" focussize="0,0"/>
            <v:stroke on="f"/>
            <v:imagedata r:id="rId61" o:title=""/>
            <o:lock v:ext="edit" aspectratio="t"/>
            <w10:wrap type="none"/>
            <w10:anchorlock/>
          </v:shape>
          <o:OLEObject Type="Embed" ProgID="Equation.KSEE3" ShapeID="_x0000_i1052" DrawAspect="Content" ObjectID="_1468075741" r:id="rId60">
            <o:LockedField>false</o:LockedField>
          </o:OLEObject>
        </w:object>
      </w:r>
      <w:r>
        <w:rPr>
          <w:rFonts w:hint="default" w:ascii="Times New Roman" w:hAnsi="Times New Roman" w:cs="Times New Roman"/>
          <w:color w:val="auto"/>
          <w:highlight w:val="none"/>
          <w:lang w:val="en-US" w:eastAsia="zh-CN"/>
        </w:rPr>
        <w:t>个水质因子的标准指数，无量纲；</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2"/>
          <w:highlight w:val="none"/>
          <w:lang w:val="en-US" w:eastAsia="zh-CN"/>
        </w:rPr>
        <w:object>
          <v:shape id="_x0000_i1053" o:spt="75" type="#_x0000_t75" style="height:18pt;width:13.95pt;" o:ole="t" filled="f" o:preferrelative="t" stroked="f" coordsize="21600,21600">
            <v:path/>
            <v:fill on="f" focussize="0,0"/>
            <v:stroke on="f"/>
            <v:imagedata r:id="rId63" o:title=""/>
            <o:lock v:ext="edit" aspectratio="t"/>
            <w10:wrap type="none"/>
            <w10:anchorlock/>
          </v:shape>
          <o:OLEObject Type="Embed" ProgID="Equation.KSEE3" ShapeID="_x0000_i1053" DrawAspect="Content" ObjectID="_1468075742" r:id="rId62">
            <o:LockedField>false</o:LockedField>
          </o:OLEObject>
        </w:object>
      </w:r>
      <w:r>
        <w:rPr>
          <w:rFonts w:hint="default" w:ascii="Times New Roman" w:hAnsi="Times New Roman" w:cs="Times New Roman"/>
          <w:color w:val="auto"/>
          <w:highlight w:val="none"/>
          <w:lang w:val="en-US" w:eastAsia="zh-CN"/>
        </w:rPr>
        <w:t>——第</w:t>
      </w:r>
      <w:r>
        <w:rPr>
          <w:rFonts w:hint="default" w:ascii="Times New Roman" w:hAnsi="Times New Roman" w:cs="Times New Roman"/>
          <w:color w:val="auto"/>
          <w:position w:val="-6"/>
          <w:highlight w:val="none"/>
          <w:lang w:val="en-US" w:eastAsia="zh-CN"/>
        </w:rPr>
        <w:object>
          <v:shape id="_x0000_i1054" o:spt="75" type="#_x0000_t75" style="height:13pt;width:6.95pt;" o:ole="t" filled="f" o:preferrelative="t" stroked="f" coordsize="21600,21600">
            <v:path/>
            <v:fill on="f" focussize="0,0"/>
            <v:stroke on="f"/>
            <v:imagedata r:id="rId61" o:title=""/>
            <o:lock v:ext="edit" aspectratio="t"/>
            <w10:wrap type="none"/>
            <w10:anchorlock/>
          </v:shape>
          <o:OLEObject Type="Embed" ProgID="Equation.KSEE3" ShapeID="_x0000_i1054" DrawAspect="Content" ObjectID="_1468075743" r:id="rId64">
            <o:LockedField>false</o:LockedField>
          </o:OLEObject>
        </w:object>
      </w:r>
      <w:r>
        <w:rPr>
          <w:rFonts w:hint="default" w:ascii="Times New Roman" w:hAnsi="Times New Roman" w:cs="Times New Roman"/>
          <w:color w:val="auto"/>
          <w:highlight w:val="none"/>
          <w:lang w:val="en-US" w:eastAsia="zh-CN"/>
        </w:rPr>
        <w:t>个水质因子的监测浓度值，mg/L；</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2"/>
          <w:highlight w:val="none"/>
          <w:lang w:val="en-US" w:eastAsia="zh-CN"/>
        </w:rPr>
        <w:object>
          <v:shape id="_x0000_i1055" o:spt="75" type="#_x0000_t75" style="height:18pt;width:17pt;" o:ole="t" filled="f" o:preferrelative="t" stroked="f" coordsize="21600,21600">
            <v:path/>
            <v:fill on="f" focussize="0,0"/>
            <v:stroke on="f"/>
            <v:imagedata r:id="rId66" o:title=""/>
            <o:lock v:ext="edit" aspectratio="t"/>
            <w10:wrap type="none"/>
            <w10:anchorlock/>
          </v:shape>
          <o:OLEObject Type="Embed" ProgID="Equation.KSEE3" ShapeID="_x0000_i1055" DrawAspect="Content" ObjectID="_1468075744" r:id="rId65">
            <o:LockedField>false</o:LockedField>
          </o:OLEObject>
        </w:object>
      </w:r>
      <w:r>
        <w:rPr>
          <w:rFonts w:hint="default" w:ascii="Times New Roman" w:hAnsi="Times New Roman" w:cs="Times New Roman"/>
          <w:color w:val="auto"/>
          <w:highlight w:val="none"/>
          <w:lang w:val="en-US" w:eastAsia="zh-CN"/>
        </w:rPr>
        <w:t>——第</w:t>
      </w:r>
      <w:r>
        <w:rPr>
          <w:rFonts w:hint="default" w:ascii="Times New Roman" w:hAnsi="Times New Roman" w:cs="Times New Roman"/>
          <w:color w:val="auto"/>
          <w:position w:val="-6"/>
          <w:highlight w:val="none"/>
          <w:lang w:val="en-US" w:eastAsia="zh-CN"/>
        </w:rPr>
        <w:object>
          <v:shape id="_x0000_i1056" o:spt="75" type="#_x0000_t75" style="height:13pt;width:6.95pt;" o:ole="t" filled="f" o:preferrelative="t" stroked="f" coordsize="21600,21600">
            <v:path/>
            <v:fill on="f" focussize="0,0"/>
            <v:stroke on="f"/>
            <v:imagedata r:id="rId61" o:title=""/>
            <o:lock v:ext="edit" aspectratio="t"/>
            <w10:wrap type="none"/>
            <w10:anchorlock/>
          </v:shape>
          <o:OLEObject Type="Embed" ProgID="Equation.KSEE3" ShapeID="_x0000_i1056" DrawAspect="Content" ObjectID="_1468075745" r:id="rId67">
            <o:LockedField>false</o:LockedField>
          </o:OLEObject>
        </w:object>
      </w:r>
      <w:r>
        <w:rPr>
          <w:rFonts w:hint="default" w:ascii="Times New Roman" w:hAnsi="Times New Roman" w:cs="Times New Roman"/>
          <w:color w:val="auto"/>
          <w:highlight w:val="none"/>
          <w:lang w:val="en-US" w:eastAsia="zh-CN"/>
        </w:rPr>
        <w:t>个水质因子的标准浓度值，mg/L。</w:t>
      </w:r>
    </w:p>
    <w:p>
      <w:pPr>
        <w:bidi w:val="0"/>
        <w:spacing w:line="36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b）对于评价标准为区间值的水质因子（如pH值），其标准指数计算方法如下：</w:t>
      </w:r>
    </w:p>
    <w:p>
      <w:pPr>
        <w:adjustRightInd/>
        <w:snapToGrid/>
        <w:spacing w:line="360" w:lineRule="auto"/>
        <w:ind w:left="0" w:leftChars="0" w:firstLine="0" w:firstLineChars="0"/>
        <w:jc w:val="center"/>
        <w:rPr>
          <w:rFonts w:hint="default" w:ascii="Times New Roman" w:hAnsi="Times New Roman" w:cs="Times New Roman"/>
          <w:color w:val="auto"/>
          <w:position w:val="-50"/>
          <w:szCs w:val="24"/>
          <w:highlight w:val="none"/>
        </w:rPr>
      </w:pPr>
      <w:r>
        <w:rPr>
          <w:rFonts w:hint="default" w:ascii="Times New Roman" w:hAnsi="Times New Roman" w:eastAsia="宋体" w:cs="Times New Roman"/>
          <w:color w:val="auto"/>
          <w:kern w:val="0"/>
          <w:position w:val="-30"/>
          <w:sz w:val="24"/>
          <w:szCs w:val="24"/>
          <w:highlight w:val="none"/>
          <w:lang w:eastAsia="zh-CN"/>
        </w:rPr>
        <w:object>
          <v:shape id="_x0000_i1057" o:spt="75" type="#_x0000_t75" style="height:34pt;width:85.95pt;" o:ole="t" filled="f" o:preferrelative="t" stroked="f" coordsize="21600,21600">
            <v:path/>
            <v:fill on="f" focussize="0,0"/>
            <v:stroke on="f"/>
            <v:imagedata r:id="rId69" o:title=""/>
            <o:lock v:ext="edit" aspectratio="t"/>
            <w10:wrap type="none"/>
            <w10:anchorlock/>
          </v:shape>
          <o:OLEObject Type="Embed" ProgID="Equation.KSEE3" ShapeID="_x0000_i1057" DrawAspect="Content" ObjectID="_1468075746" r:id="rId68">
            <o:LockedField>false</o:LockedField>
          </o:OLEObject>
        </w:object>
      </w:r>
      <w:r>
        <w:rPr>
          <w:rFonts w:hint="default" w:ascii="Times New Roman" w:hAnsi="Times New Roman" w:cs="Times New Roman"/>
          <w:color w:val="auto"/>
          <w:position w:val="-10"/>
          <w:szCs w:val="24"/>
          <w:highlight w:val="none"/>
        </w:rPr>
        <w:object>
          <v:shape id="_x0000_i1058" o:spt="75" type="#_x0000_t75" style="height:16pt;width:88pt;" o:ole="t" filled="f" o:preferrelative="t" stroked="f" coordsize="21600,21600">
            <v:path/>
            <v:fill on="f" focussize="0,0"/>
            <v:stroke on="f"/>
            <v:imagedata r:id="rId71" o:title=""/>
            <o:lock v:ext="edit" aspectratio="t"/>
            <w10:wrap type="none"/>
            <w10:anchorlock/>
          </v:shape>
          <o:OLEObject Type="Embed" ProgID="Equation.KSEE3" ShapeID="_x0000_i1058" DrawAspect="Content" ObjectID="_1468075747" r:id="rId70">
            <o:LockedField>false</o:LockedField>
          </o:OLEObject>
        </w:object>
      </w:r>
    </w:p>
    <w:p>
      <w:pPr>
        <w:adjustRightInd/>
        <w:snapToGrid/>
        <w:spacing w:line="360" w:lineRule="auto"/>
        <w:ind w:left="0" w:leftChars="0" w:firstLine="0" w:firstLineChars="0"/>
        <w:jc w:val="center"/>
        <w:rPr>
          <w:rFonts w:hint="default" w:ascii="Times New Roman" w:hAnsi="Times New Roman" w:cs="Times New Roman"/>
          <w:color w:val="auto"/>
          <w:position w:val="-50"/>
          <w:szCs w:val="24"/>
          <w:highlight w:val="none"/>
          <w:lang w:eastAsia="zh-CN"/>
        </w:rPr>
      </w:pPr>
      <w:r>
        <w:rPr>
          <w:rFonts w:hint="default" w:ascii="Times New Roman" w:hAnsi="Times New Roman" w:eastAsia="宋体" w:cs="Times New Roman"/>
          <w:color w:val="auto"/>
          <w:kern w:val="0"/>
          <w:position w:val="-30"/>
          <w:sz w:val="24"/>
          <w:szCs w:val="24"/>
          <w:highlight w:val="none"/>
          <w:lang w:eastAsia="zh-CN"/>
        </w:rPr>
        <w:object>
          <v:shape id="_x0000_i1059" o:spt="75" type="#_x0000_t75" style="height:34pt;width:85.95pt;" o:ole="t" filled="f" o:preferrelative="t" stroked="f" coordsize="21600,21600">
            <v:path/>
            <v:fill on="f" focussize="0,0"/>
            <v:stroke on="f"/>
            <v:imagedata r:id="rId73" o:title=""/>
            <o:lock v:ext="edit" aspectratio="t"/>
            <w10:wrap type="none"/>
            <w10:anchorlock/>
          </v:shape>
          <o:OLEObject Type="Embed" ProgID="Equation.KSEE3" ShapeID="_x0000_i1059" DrawAspect="Content" ObjectID="_1468075748" r:id="rId72">
            <o:LockedField>false</o:LockedField>
          </o:OLEObject>
        </w:object>
      </w:r>
      <w:r>
        <w:rPr>
          <w:rFonts w:hint="default" w:ascii="Times New Roman" w:hAnsi="Times New Roman" w:cs="Times New Roman"/>
          <w:color w:val="auto"/>
          <w:position w:val="-10"/>
          <w:szCs w:val="24"/>
          <w:highlight w:val="none"/>
        </w:rPr>
        <w:object>
          <v:shape id="_x0000_i1060" o:spt="75" type="#_x0000_t75" style="height:16pt;width:87pt;" o:ole="t" filled="f" o:preferrelative="t" stroked="f" coordsize="21600,21600">
            <v:path/>
            <v:fill on="f" focussize="0,0"/>
            <v:stroke on="f"/>
            <v:imagedata r:id="rId75" o:title=""/>
            <o:lock v:ext="edit" aspectratio="t"/>
            <w10:wrap type="none"/>
            <w10:anchorlock/>
          </v:shape>
          <o:OLEObject Type="Embed" ProgID="Equation.KSEE3" ShapeID="_x0000_i1060" DrawAspect="Content" ObjectID="_1468075749" r:id="rId74">
            <o:LockedField>false</o:LockedField>
          </o:OLEObject>
        </w:object>
      </w:r>
    </w:p>
    <w:p>
      <w:pPr>
        <w:adjustRightInd/>
        <w:snapToGrid/>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720" w:firstLineChars="3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position w:val="-14"/>
          <w:sz w:val="24"/>
          <w:szCs w:val="24"/>
          <w:highlight w:val="none"/>
        </w:rPr>
        <w:object>
          <v:shape id="_x0000_i1061" o:spt="75" type="#_x0000_t75" style="height:19pt;width:20pt;" o:ole="t" filled="f" o:preferrelative="t" stroked="f" coordsize="21600,21600">
            <v:path/>
            <v:fill on="f" focussize="0,0"/>
            <v:stroke on="f"/>
            <v:imagedata r:id="rId77" o:title=""/>
            <o:lock v:ext="edit" aspectratio="t"/>
            <w10:wrap type="none"/>
            <w10:anchorlock/>
          </v:shape>
          <o:OLEObject Type="Embed" ProgID="Equation.KSEE3" ShapeID="_x0000_i1061" DrawAspect="Content" ObjectID="_1468075750" r:id="rId76">
            <o:LockedField>false</o:LockedField>
          </o:OLEObject>
        </w:objec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pH</w:t>
      </w:r>
      <w:r>
        <w:rPr>
          <w:rFonts w:hint="default" w:ascii="Times New Roman" w:hAnsi="Times New Roman" w:cs="Times New Roman"/>
          <w:color w:val="auto"/>
          <w:sz w:val="24"/>
          <w:szCs w:val="24"/>
          <w:highlight w:val="none"/>
        </w:rPr>
        <w:t>的</w:t>
      </w:r>
      <w:r>
        <w:rPr>
          <w:rFonts w:hint="default" w:ascii="Times New Roman" w:hAnsi="Times New Roman" w:cs="Times New Roman"/>
          <w:color w:val="auto"/>
          <w:sz w:val="24"/>
          <w:szCs w:val="24"/>
          <w:highlight w:val="none"/>
          <w:lang w:val="en-US" w:eastAsia="zh-CN"/>
        </w:rPr>
        <w:t>标准</w:t>
      </w:r>
      <w:r>
        <w:rPr>
          <w:rFonts w:hint="default" w:ascii="Times New Roman" w:hAnsi="Times New Roman" w:cs="Times New Roman"/>
          <w:color w:val="auto"/>
          <w:sz w:val="24"/>
          <w:szCs w:val="24"/>
          <w:highlight w:val="none"/>
        </w:rPr>
        <w:t>指数</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无量纲</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720" w:firstLineChars="3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position w:val="-10"/>
          <w:sz w:val="24"/>
          <w:szCs w:val="24"/>
          <w:highlight w:val="none"/>
        </w:rPr>
        <w:object>
          <v:shape id="_x0000_i1062" o:spt="75" type="#_x0000_t75" style="height:16pt;width:22pt;" o:ole="t" filled="f" o:preferrelative="t" stroked="f" coordsize="21600,21600">
            <v:path/>
            <v:fill on="f" focussize="0,0"/>
            <v:stroke on="f"/>
            <v:imagedata r:id="rId79" o:title=""/>
            <o:lock v:ext="edit" aspectratio="t"/>
            <w10:wrap type="none"/>
            <w10:anchorlock/>
          </v:shape>
          <o:OLEObject Type="Embed" ProgID="Equation.KSEE3" ShapeID="_x0000_i1062" DrawAspect="Content" ObjectID="_1468075751" r:id="rId78">
            <o:LockedField>false</o:LockedField>
          </o:OLEObject>
        </w:object>
      </w:r>
      <w:r>
        <w:rPr>
          <w:rFonts w:hint="default" w:ascii="Times New Roman" w:hAnsi="Times New Roman" w:cs="Times New Roman"/>
          <w:color w:val="auto"/>
          <w:sz w:val="24"/>
          <w:szCs w:val="24"/>
          <w:highlight w:val="none"/>
        </w:rPr>
        <w:t>——pH</w:t>
      </w:r>
      <w:r>
        <w:rPr>
          <w:rFonts w:hint="default" w:ascii="Times New Roman" w:hAnsi="Times New Roman" w:cs="Times New Roman"/>
          <w:color w:val="auto"/>
          <w:sz w:val="24"/>
          <w:szCs w:val="24"/>
          <w:highlight w:val="none"/>
          <w:lang w:val="en-US" w:eastAsia="zh-CN"/>
        </w:rPr>
        <w:t>监测值</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720" w:firstLineChars="3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position w:val="-12"/>
          <w:sz w:val="24"/>
          <w:szCs w:val="24"/>
          <w:highlight w:val="none"/>
        </w:rPr>
        <w:object>
          <v:shape id="_x0000_i1063" o:spt="75" type="#_x0000_t75" style="height:18pt;width:28pt;" o:ole="t" filled="f" o:preferrelative="t" stroked="f" coordsize="21600,21600">
            <v:path/>
            <v:fill on="f" focussize="0,0"/>
            <v:stroke on="f"/>
            <v:imagedata r:id="rId81" o:title=""/>
            <o:lock v:ext="edit" aspectratio="t"/>
            <w10:wrap type="none"/>
            <w10:anchorlock/>
          </v:shape>
          <o:OLEObject Type="Embed" ProgID="Equation.KSEE3" ShapeID="_x0000_i1063" DrawAspect="Content" ObjectID="_1468075752" r:id="rId80">
            <o:LockedField>false</o:LockedField>
          </o:OLEObject>
        </w:objec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标准中</w:t>
      </w:r>
      <w:r>
        <w:rPr>
          <w:rFonts w:hint="default" w:ascii="Times New Roman" w:hAnsi="Times New Roman" w:cs="Times New Roman"/>
          <w:color w:val="auto"/>
          <w:sz w:val="24"/>
          <w:szCs w:val="24"/>
          <w:highlight w:val="none"/>
        </w:rPr>
        <w:t>pH</w:t>
      </w:r>
      <w:r>
        <w:rPr>
          <w:rFonts w:hint="default" w:ascii="Times New Roman" w:hAnsi="Times New Roman" w:cs="Times New Roman"/>
          <w:color w:val="auto"/>
          <w:sz w:val="24"/>
          <w:szCs w:val="24"/>
          <w:highlight w:val="none"/>
          <w:lang w:val="en-US" w:eastAsia="zh-CN"/>
        </w:rPr>
        <w:t>的上</w:t>
      </w:r>
      <w:r>
        <w:rPr>
          <w:rFonts w:hint="default" w:ascii="Times New Roman" w:hAnsi="Times New Roman" w:cs="Times New Roman"/>
          <w:color w:val="auto"/>
          <w:sz w:val="24"/>
          <w:szCs w:val="24"/>
          <w:highlight w:val="none"/>
        </w:rPr>
        <w:t>限</w:t>
      </w:r>
      <w:r>
        <w:rPr>
          <w:rFonts w:hint="default" w:ascii="Times New Roman" w:hAnsi="Times New Roman" w:cs="Times New Roman"/>
          <w:color w:val="auto"/>
          <w:sz w:val="24"/>
          <w:szCs w:val="24"/>
          <w:highlight w:val="none"/>
          <w:lang w:val="en-US" w:eastAsia="zh-CN"/>
        </w:rPr>
        <w:t>值</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720" w:firstLineChars="300"/>
        <w:textAlignment w:val="auto"/>
        <w:rPr>
          <w:rFonts w:hint="default" w:ascii="Times New Roman" w:hAnsi="Times New Roman" w:cs="Times New Roman"/>
          <w:color w:val="auto"/>
          <w:kern w:val="0"/>
          <w:position w:val="-12"/>
          <w:sz w:val="24"/>
          <w:szCs w:val="24"/>
          <w:highlight w:val="none"/>
          <w:lang w:val="en-US" w:eastAsia="zh-CN"/>
        </w:rPr>
      </w:pPr>
      <w:r>
        <w:rPr>
          <w:rFonts w:hint="default" w:ascii="Times New Roman" w:hAnsi="Times New Roman" w:cs="Times New Roman"/>
          <w:color w:val="auto"/>
          <w:kern w:val="0"/>
          <w:position w:val="-12"/>
          <w:sz w:val="24"/>
          <w:szCs w:val="24"/>
          <w:highlight w:val="none"/>
        </w:rPr>
        <w:object>
          <v:shape id="_x0000_i1064" o:spt="75" type="#_x0000_t75" style="height:18pt;width:28pt;" o:ole="t" filled="f" o:preferrelative="t" stroked="f" coordsize="21600,21600">
            <v:path/>
            <v:fill on="f" focussize="0,0"/>
            <v:stroke on="f"/>
            <v:imagedata r:id="rId83" o:title=""/>
            <o:lock v:ext="edit" aspectratio="t"/>
            <w10:wrap type="none"/>
            <w10:anchorlock/>
          </v:shape>
          <o:OLEObject Type="Embed" ProgID="Equation.KSEE3" ShapeID="_x0000_i1064" DrawAspect="Content" ObjectID="_1468075753" r:id="rId82">
            <o:LockedField>false</o:LockedField>
          </o:OLEObject>
        </w:object>
      </w:r>
      <w:r>
        <w:rPr>
          <w:rFonts w:hint="default" w:ascii="Times New Roman" w:hAnsi="Times New Roman" w:cs="Times New Roman"/>
          <w:color w:val="auto"/>
          <w:kern w:val="0"/>
          <w:position w:val="-12"/>
          <w:sz w:val="24"/>
          <w:szCs w:val="24"/>
          <w:highlight w:val="none"/>
        </w:rPr>
        <w:t>——</w:t>
      </w:r>
      <w:r>
        <w:rPr>
          <w:rFonts w:hint="default" w:ascii="Times New Roman" w:hAnsi="Times New Roman" w:cs="Times New Roman"/>
          <w:color w:val="auto"/>
          <w:kern w:val="0"/>
          <w:position w:val="-12"/>
          <w:sz w:val="24"/>
          <w:szCs w:val="24"/>
          <w:highlight w:val="none"/>
          <w:lang w:val="en-US" w:eastAsia="zh-CN"/>
        </w:rPr>
        <w:t>标准中</w:t>
      </w:r>
      <w:r>
        <w:rPr>
          <w:rFonts w:hint="default" w:ascii="Times New Roman" w:hAnsi="Times New Roman" w:cs="Times New Roman"/>
          <w:color w:val="auto"/>
          <w:kern w:val="0"/>
          <w:position w:val="-12"/>
          <w:sz w:val="24"/>
          <w:szCs w:val="24"/>
          <w:highlight w:val="none"/>
        </w:rPr>
        <w:t>pH</w:t>
      </w:r>
      <w:r>
        <w:rPr>
          <w:rFonts w:hint="default" w:ascii="Times New Roman" w:hAnsi="Times New Roman" w:cs="Times New Roman"/>
          <w:color w:val="auto"/>
          <w:kern w:val="0"/>
          <w:position w:val="-12"/>
          <w:sz w:val="24"/>
          <w:szCs w:val="24"/>
          <w:highlight w:val="none"/>
          <w:lang w:val="en-US" w:eastAsia="zh-CN"/>
        </w:rPr>
        <w:t>的下限值</w:t>
      </w:r>
      <w:r>
        <w:rPr>
          <w:rFonts w:hint="default" w:ascii="Times New Roman" w:hAnsi="Times New Roman" w:cs="Times New Roman"/>
          <w:color w:val="auto"/>
          <w:kern w:val="0"/>
          <w:position w:val="-12"/>
          <w:sz w:val="24"/>
          <w:szCs w:val="24"/>
          <w:highlight w:val="none"/>
        </w:rPr>
        <w:t>。</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（7）监测结果与评价</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地下水水质监测结果见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_Ref22832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表4.3-9</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，地下水环境质量现状评价结果见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_Ref15520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rPr>
          <w:rFonts w:hint="default" w:ascii="Times New Roman" w:hAnsi="Times New Roman" w:cs="Times New Roman"/>
          <w:color w:val="auto"/>
          <w:sz w:val="24"/>
          <w:szCs w:val="24"/>
          <w:highlight w:val="none"/>
          <w:lang w:val="en-US" w:eastAsia="zh-CN"/>
        </w:rPr>
      </w:pPr>
    </w:p>
    <w:p>
      <w:pPr>
        <w:rPr>
          <w:rFonts w:hint="default" w:ascii="Times New Roman" w:hAnsi="Times New Roman" w:cs="Times New Roman"/>
          <w:color w:val="auto"/>
          <w:sz w:val="24"/>
          <w:szCs w:val="24"/>
          <w:highlight w:val="none"/>
          <w:lang w:val="en-US" w:eastAsia="zh-CN"/>
        </w:rPr>
      </w:pPr>
    </w:p>
    <w:p>
      <w:pPr>
        <w:rPr>
          <w:rFonts w:hint="default" w:ascii="Times New Roman" w:hAnsi="Times New Roman" w:cs="Times New Roman"/>
          <w:color w:val="auto"/>
          <w:sz w:val="24"/>
          <w:szCs w:val="24"/>
          <w:highlight w:val="none"/>
          <w:lang w:val="en-US" w:eastAsia="zh-CN"/>
        </w:r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69" w:name="_Ref22832"/>
      <w:r>
        <w:rPr>
          <w:rFonts w:hint="default" w:ascii="Times New Roman" w:hAnsi="Times New Roman" w:cs="Times New Roman"/>
          <w:color w:val="auto"/>
          <w:highlight w:val="none"/>
          <w:lang w:val="en-US" w:eastAsia="zh-CN"/>
        </w:rPr>
        <w:t>地下水水质监测结果</w:t>
      </w:r>
      <w:bookmarkEnd w:id="469"/>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0" w:name="_Ref15520"/>
      <w:bookmarkStart w:id="471" w:name="_Ref22842"/>
      <w:r>
        <w:rPr>
          <w:rFonts w:hint="default" w:ascii="Times New Roman" w:hAnsi="Times New Roman" w:cs="Times New Roman"/>
          <w:color w:val="auto"/>
          <w:highlight w:val="none"/>
          <w:lang w:val="en-US" w:eastAsia="zh-CN"/>
        </w:rPr>
        <w:t>地下水环境质量现状评价结果</w:t>
      </w:r>
      <w:bookmarkEnd w:id="470"/>
      <w:bookmarkEnd w:id="471"/>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从以上表格可知，各监测点位的各监测因子均能符合《地下水质量标准》（GB/T14848-2017）Ⅲ类质量标准限值要求，表明项目区域的地下水环境质量总体较好。</w:t>
      </w:r>
    </w:p>
    <w:p>
      <w:pPr>
        <w:rPr>
          <w:rFonts w:hint="default" w:ascii="Times New Roman" w:hAnsi="Times New Roman" w:cs="Times New Roman"/>
          <w:color w:val="auto"/>
          <w:sz w:val="24"/>
          <w:szCs w:val="24"/>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jc w:val="center"/>
        <w:rPr>
          <w:rFonts w:hint="default" w:ascii="Times New Roman" w:hAnsi="Times New Roman" w:cs="Times New Roman"/>
          <w:color w:val="auto"/>
          <w:sz w:val="24"/>
          <w:szCs w:val="24"/>
          <w:highlight w:val="none"/>
          <w:lang w:val="en-US" w:eastAsia="zh-CN"/>
        </w:rPr>
      </w:pPr>
    </w:p>
    <w:p>
      <w:pPr>
        <w:pStyle w:val="22"/>
        <w:numPr>
          <w:ilvl w:val="7"/>
          <w:numId w:val="3"/>
        </w:numPr>
        <w:bidi w:val="0"/>
        <w:jc w:val="center"/>
        <w:rPr>
          <w:rFonts w:hint="default" w:ascii="Times New Roman" w:hAnsi="Times New Roman" w:cs="Times New Roman"/>
          <w:color w:val="auto"/>
          <w:highlight w:val="none"/>
          <w:lang w:val="en-US" w:eastAsia="zh-CN"/>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bookmarkStart w:id="472" w:name="_Ref26055"/>
      <w:r>
        <w:rPr>
          <w:rFonts w:hint="default" w:ascii="Times New Roman" w:hAnsi="Times New Roman" w:cs="Times New Roman"/>
          <w:color w:val="auto"/>
          <w:highlight w:val="none"/>
          <w:lang w:val="en-US" w:eastAsia="zh-CN"/>
        </w:rPr>
        <w:t>大气、地下水监测点位图</w:t>
      </w:r>
      <w:bookmarkEnd w:id="472"/>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声环境现状调查与评价</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为了解项目所在区域声环境现状</w:t>
      </w:r>
      <w:r>
        <w:rPr>
          <w:rFonts w:hint="default" w:ascii="Times New Roman" w:hAnsi="Times New Roman" w:cs="Times New Roman"/>
          <w:color w:val="auto"/>
          <w:sz w:val="24"/>
          <w:szCs w:val="24"/>
          <w:highlight w:val="none"/>
          <w:lang w:val="en-US" w:eastAsia="zh-CN"/>
        </w:rPr>
        <w:t>，建设单位委托</w:t>
      </w:r>
      <w:r>
        <w:rPr>
          <w:rFonts w:hint="default" w:ascii="Times New Roman" w:hAnsi="Times New Roman" w:cs="Times New Roman"/>
          <w:color w:val="auto"/>
          <w:szCs w:val="20"/>
          <w:highlight w:val="none"/>
          <w:lang w:val="en-US" w:eastAsia="zh-CN"/>
        </w:rPr>
        <w:t>厦门科仪检测技术有限公司</w:t>
      </w:r>
      <w:r>
        <w:rPr>
          <w:rFonts w:hint="default" w:ascii="Times New Roman" w:hAnsi="Times New Roman" w:cs="Times New Roman"/>
          <w:color w:val="auto"/>
          <w:sz w:val="24"/>
          <w:szCs w:val="24"/>
          <w:highlight w:val="none"/>
          <w:lang w:val="en-US" w:eastAsia="zh-CN"/>
        </w:rPr>
        <w:t>于2020年9月23日对</w:t>
      </w:r>
      <w:r>
        <w:rPr>
          <w:rFonts w:hint="default" w:ascii="Times New Roman" w:hAnsi="Times New Roman" w:cs="Times New Roman"/>
          <w:color w:val="auto"/>
          <w:highlight w:val="none"/>
          <w:lang w:val="en-US" w:eastAsia="zh-CN"/>
        </w:rPr>
        <w:t>本项目厂界及周边敏感点的声环境现状进行监测</w:t>
      </w:r>
      <w:r>
        <w:rPr>
          <w:rFonts w:hint="default" w:ascii="Times New Roman" w:hAnsi="Times New Roman" w:cs="Times New Roman"/>
          <w:color w:val="auto"/>
          <w:sz w:val="24"/>
          <w:szCs w:val="24"/>
          <w:highlight w:val="none"/>
          <w:lang w:val="en-US" w:eastAsia="zh-CN"/>
        </w:rPr>
        <w:t>。</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（1）监测点位</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共布设5个监测点位，详见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_Ref13019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表4.3-11</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，监测点位图详见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_Ref24768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图4.3-2</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3" w:name="_Ref13019"/>
      <w:r>
        <w:rPr>
          <w:rFonts w:hint="default" w:ascii="Times New Roman" w:hAnsi="Times New Roman" w:cs="Times New Roman"/>
          <w:color w:val="auto"/>
          <w:highlight w:val="none"/>
          <w:lang w:val="en-US" w:eastAsia="zh-CN"/>
        </w:rPr>
        <w:t>噪声监测点位布设情况</w:t>
      </w:r>
      <w:bookmarkEnd w:id="473"/>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2681"/>
        <w:gridCol w:w="1858"/>
        <w:gridCol w:w="1581"/>
        <w:gridCol w:w="21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点位</w:t>
            </w:r>
          </w:p>
        </w:tc>
        <w:tc>
          <w:tcPr>
            <w:tcW w:w="2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点位名称</w:t>
            </w:r>
          </w:p>
        </w:tc>
        <w:tc>
          <w:tcPr>
            <w:tcW w:w="1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监测位置</w:t>
            </w:r>
          </w:p>
        </w:tc>
        <w:tc>
          <w:tcPr>
            <w:tcW w:w="15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监测因子</w:t>
            </w:r>
          </w:p>
        </w:tc>
        <w:tc>
          <w:tcPr>
            <w:tcW w:w="213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N1</w:t>
            </w:r>
          </w:p>
        </w:tc>
        <w:tc>
          <w:tcPr>
            <w:tcW w:w="2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项目北</w:t>
            </w:r>
            <w:r>
              <w:rPr>
                <w:rFonts w:hint="default" w:ascii="Times New Roman" w:hAnsi="Times New Roman" w:cs="Times New Roman"/>
                <w:color w:val="auto"/>
                <w:szCs w:val="20"/>
                <w:highlight w:val="none"/>
              </w:rPr>
              <w:t>侧</w:t>
            </w:r>
          </w:p>
        </w:tc>
        <w:tc>
          <w:tcPr>
            <w:tcW w:w="1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eastAsia="zh-CN"/>
              </w:rPr>
              <w:t>场界</w:t>
            </w:r>
            <w:r>
              <w:rPr>
                <w:rFonts w:hint="default" w:ascii="Times New Roman" w:hAnsi="Times New Roman" w:cs="Times New Roman"/>
                <w:color w:val="auto"/>
                <w:szCs w:val="20"/>
                <w:highlight w:val="none"/>
              </w:rPr>
              <w:t>外1m</w:t>
            </w:r>
          </w:p>
        </w:tc>
        <w:tc>
          <w:tcPr>
            <w:tcW w:w="158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等效A声级</w:t>
            </w:r>
          </w:p>
        </w:tc>
        <w:tc>
          <w:tcPr>
            <w:tcW w:w="213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昼间、夜间各1次，每次10</w:t>
            </w:r>
            <w:r>
              <w:rPr>
                <w:rFonts w:hint="default" w:ascii="Times New Roman" w:hAnsi="Times New Roman" w:cs="Times New Roman"/>
                <w:color w:val="auto"/>
                <w:szCs w:val="20"/>
                <w:highlight w:val="none"/>
                <w:lang w:val="en-US" w:eastAsia="zh-CN"/>
              </w:rPr>
              <w:t xml:space="preserve"> </w:t>
            </w:r>
            <w:r>
              <w:rPr>
                <w:rFonts w:hint="default" w:ascii="Times New Roman" w:hAnsi="Times New Roman" w:cs="Times New Roman"/>
                <w:color w:val="auto"/>
                <w:szCs w:val="20"/>
                <w:highlight w:val="none"/>
              </w:rPr>
              <w:t>min，测1天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w:t>
            </w:r>
          </w:p>
        </w:tc>
        <w:tc>
          <w:tcPr>
            <w:tcW w:w="2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项目南侧</w:t>
            </w:r>
          </w:p>
        </w:tc>
        <w:tc>
          <w:tcPr>
            <w:tcW w:w="1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eastAsia="zh-CN"/>
              </w:rPr>
              <w:t>场界</w:t>
            </w:r>
            <w:r>
              <w:rPr>
                <w:rFonts w:hint="default" w:ascii="Times New Roman" w:hAnsi="Times New Roman" w:cs="Times New Roman"/>
                <w:color w:val="auto"/>
                <w:szCs w:val="20"/>
                <w:highlight w:val="none"/>
              </w:rPr>
              <w:t>外1m</w:t>
            </w:r>
          </w:p>
        </w:tc>
        <w:tc>
          <w:tcPr>
            <w:tcW w:w="15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13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N3</w:t>
            </w:r>
          </w:p>
        </w:tc>
        <w:tc>
          <w:tcPr>
            <w:tcW w:w="2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项目西侧</w:t>
            </w:r>
          </w:p>
        </w:tc>
        <w:tc>
          <w:tcPr>
            <w:tcW w:w="1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eastAsia="zh-CN"/>
              </w:rPr>
              <w:t>场界</w:t>
            </w:r>
            <w:r>
              <w:rPr>
                <w:rFonts w:hint="default" w:ascii="Times New Roman" w:hAnsi="Times New Roman" w:cs="Times New Roman"/>
                <w:color w:val="auto"/>
                <w:szCs w:val="20"/>
                <w:highlight w:val="none"/>
              </w:rPr>
              <w:t>外1m</w:t>
            </w:r>
          </w:p>
        </w:tc>
        <w:tc>
          <w:tcPr>
            <w:tcW w:w="15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13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N4</w:t>
            </w:r>
          </w:p>
        </w:tc>
        <w:tc>
          <w:tcPr>
            <w:tcW w:w="2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项目</w:t>
            </w:r>
            <w:r>
              <w:rPr>
                <w:rFonts w:hint="default" w:ascii="Times New Roman" w:hAnsi="Times New Roman" w:cs="Times New Roman"/>
                <w:color w:val="auto"/>
                <w:szCs w:val="20"/>
                <w:highlight w:val="none"/>
                <w:lang w:val="en-US" w:eastAsia="zh-CN"/>
              </w:rPr>
              <w:t>东</w:t>
            </w:r>
            <w:r>
              <w:rPr>
                <w:rFonts w:hint="default" w:ascii="Times New Roman" w:hAnsi="Times New Roman" w:cs="Times New Roman"/>
                <w:color w:val="auto"/>
                <w:szCs w:val="20"/>
                <w:highlight w:val="none"/>
              </w:rPr>
              <w:t>侧</w:t>
            </w:r>
          </w:p>
        </w:tc>
        <w:tc>
          <w:tcPr>
            <w:tcW w:w="1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eastAsia="zh-CN"/>
              </w:rPr>
              <w:t>场界</w:t>
            </w:r>
            <w:r>
              <w:rPr>
                <w:rFonts w:hint="default" w:ascii="Times New Roman" w:hAnsi="Times New Roman" w:cs="Times New Roman"/>
                <w:color w:val="auto"/>
                <w:szCs w:val="20"/>
                <w:highlight w:val="none"/>
              </w:rPr>
              <w:t>外1m</w:t>
            </w:r>
          </w:p>
        </w:tc>
        <w:tc>
          <w:tcPr>
            <w:tcW w:w="15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13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N5</w:t>
            </w:r>
          </w:p>
        </w:tc>
        <w:tc>
          <w:tcPr>
            <w:tcW w:w="26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项目南侧居民点（一层村）</w:t>
            </w:r>
          </w:p>
        </w:tc>
        <w:tc>
          <w:tcPr>
            <w:tcW w:w="1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建筑物外1 m</w:t>
            </w:r>
          </w:p>
        </w:tc>
        <w:tc>
          <w:tcPr>
            <w:tcW w:w="15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13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r>
    </w:tbl>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（2）分析方法</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参照《环境影响评价技术导则-声环境》（HJ/T2.4-2009）、《城市区域环境噪声测量方法》（GB/T14623-93）、《环境监测技术规范（噪声部分）》所规定的方法进行环境声环境现状调查，分析方法详见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_Ref13799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表4.3-12</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4" w:name="_Ref13799"/>
      <w:r>
        <w:rPr>
          <w:rFonts w:hint="default" w:ascii="Times New Roman" w:hAnsi="Times New Roman" w:cs="Times New Roman"/>
          <w:color w:val="auto"/>
          <w:highlight w:val="none"/>
          <w:lang w:val="en-US" w:eastAsia="zh-CN"/>
        </w:rPr>
        <w:t>声环境监测分析方法</w:t>
      </w:r>
      <w:bookmarkEnd w:id="474"/>
    </w:p>
    <w:tbl>
      <w:tblPr>
        <w:tblStyle w:val="17"/>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367"/>
        <w:gridCol w:w="3567"/>
        <w:gridCol w:w="1652"/>
        <w:gridCol w:w="2700"/>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trPr>
        <w:tc>
          <w:tcPr>
            <w:tcW w:w="1367"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检测项目</w:t>
            </w:r>
          </w:p>
        </w:tc>
        <w:tc>
          <w:tcPr>
            <w:tcW w:w="3567"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检测方法</w:t>
            </w:r>
          </w:p>
        </w:tc>
        <w:tc>
          <w:tcPr>
            <w:tcW w:w="1652"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检出限</w:t>
            </w:r>
          </w:p>
        </w:tc>
        <w:tc>
          <w:tcPr>
            <w:tcW w:w="2700"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检测仪器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trPr>
        <w:tc>
          <w:tcPr>
            <w:tcW w:w="1367"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环境噪声</w:t>
            </w:r>
          </w:p>
        </w:tc>
        <w:tc>
          <w:tcPr>
            <w:tcW w:w="3567"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 GB 3096-2008</w:t>
            </w:r>
          </w:p>
        </w:tc>
        <w:tc>
          <w:tcPr>
            <w:tcW w:w="1652" w:type="dxa"/>
            <w:tcBorders>
              <w:tl2br w:val="nil"/>
              <w:tr2bl w:val="nil"/>
            </w:tcBorders>
            <w:vAlign w:val="center"/>
          </w:tcPr>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35dB(A)</w:t>
            </w:r>
          </w:p>
        </w:tc>
        <w:tc>
          <w:tcPr>
            <w:tcW w:w="2700" w:type="dxa"/>
            <w:tcBorders>
              <w:tl2br w:val="nil"/>
              <w:tr2bl w:val="nil"/>
            </w:tcBorders>
            <w:vAlign w:val="center"/>
          </w:tcPr>
          <w:p>
            <w:pPr>
              <w:pStyle w:val="21"/>
              <w:bidi w:val="0"/>
              <w:spacing w:line="240" w:lineRule="auto"/>
              <w:rPr>
                <w:rFonts w:hint="default" w:ascii="Times New Roman" w:hAnsi="Times New Roman" w:cs="Times New Roman"/>
                <w:color w:val="auto"/>
                <w:highlight w:val="none"/>
              </w:rPr>
            </w:pPr>
            <w:r>
              <w:rPr>
                <w:rFonts w:hint="default" w:ascii="Times New Roman" w:hAnsi="Times New Roman" w:eastAsia="宋体" w:cs="Times New Roman"/>
                <w:i w:val="0"/>
                <w:color w:val="auto"/>
                <w:kern w:val="0"/>
                <w:sz w:val="21"/>
                <w:szCs w:val="21"/>
                <w:highlight w:val="none"/>
                <w:u w:val="none"/>
                <w:lang w:val="en-US" w:eastAsia="zh-CN" w:bidi="ar-SA"/>
              </w:rPr>
              <w:t>精密噪声频谱分析仪HS5660C/YQ082</w:t>
            </w:r>
          </w:p>
        </w:tc>
      </w:tr>
    </w:tbl>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（3）评价标准</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项目厂界声环境质量执行《声环境质量标准》（GB3096－2008）中3类标准，周边敏感目标声环境质量执行《声环境质量标准》（GB3096－2008）中2类标准。</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（4）监测结果与评价</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声环境质量现状监测结果详见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_Ref14054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表4.3-13</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5" w:name="_Ref14054"/>
      <w:r>
        <w:rPr>
          <w:rFonts w:hint="default" w:ascii="Times New Roman" w:hAnsi="Times New Roman" w:cs="Times New Roman"/>
          <w:color w:val="auto"/>
          <w:highlight w:val="none"/>
          <w:lang w:val="en-US" w:eastAsia="zh-CN"/>
        </w:rPr>
        <w:t>项目厂界环境噪声监测结果</w:t>
      </w:r>
      <w:bookmarkEnd w:id="475"/>
    </w:p>
    <w:p>
      <w:pPr>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_Ref14054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表4.3-13</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的监测结果可知，项目所在区域厂界昼间、夜间噪声均能满足《声环境质量标准》（GB3096-2008）中3类标准要求；周边敏感目标（一层村）昼间、夜间噪声均能满足《声环境质量标准》（GB3096-2008）中2类标准要求，声环境质量现状较好。</w:t>
      </w:r>
    </w:p>
    <w:p>
      <w:pPr>
        <w:pStyle w:val="4"/>
        <w:numPr>
          <w:ilvl w:val="2"/>
          <w:numId w:val="4"/>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土壤环境质量现状调查与评价</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为了解本项目评价区土壤环境质量现状，建设单位委托</w:t>
      </w:r>
      <w:r>
        <w:rPr>
          <w:rFonts w:hint="default" w:ascii="Times New Roman" w:hAnsi="Times New Roman" w:cs="Times New Roman"/>
          <w:color w:val="auto"/>
          <w:szCs w:val="20"/>
          <w:highlight w:val="none"/>
          <w:lang w:val="en-US" w:eastAsia="zh-CN"/>
        </w:rPr>
        <w:t>厦门科仪检测技术有限公司</w:t>
      </w:r>
      <w:r>
        <w:rPr>
          <w:rFonts w:hint="default" w:ascii="Times New Roman" w:hAnsi="Times New Roman" w:cs="Times New Roman"/>
          <w:color w:val="auto"/>
          <w:sz w:val="24"/>
          <w:szCs w:val="24"/>
          <w:highlight w:val="none"/>
          <w:lang w:val="en-US" w:eastAsia="zh-CN"/>
        </w:rPr>
        <w:t>于2021年8月19日对项目厂区内的土壤环境质量进行了现状监测和结果分析。</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（1）监测点位及监测因子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highlight w:val="none"/>
          <w:lang w:val="en-US" w:eastAsia="zh-CN"/>
        </w:rPr>
        <w:t>本次评价共布置3个监测点位，</w:t>
      </w:r>
      <w:r>
        <w:rPr>
          <w:rFonts w:hint="default" w:ascii="Times New Roman" w:hAnsi="Times New Roman" w:cs="Times New Roman"/>
          <w:color w:val="auto"/>
          <w:highlight w:val="none"/>
          <w:lang w:val="en-US" w:eastAsia="zh-CN"/>
        </w:rPr>
        <w:t>监测点位布设情况及监测因子见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_Ref15905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表4.3-14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，监测点位图详见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_Ref24768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图4.3-2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6" w:name="_Ref15905"/>
      <w:r>
        <w:rPr>
          <w:rFonts w:hint="default" w:ascii="Times New Roman" w:hAnsi="Times New Roman" w:cs="Times New Roman"/>
          <w:color w:val="auto"/>
          <w:highlight w:val="none"/>
          <w:lang w:val="en-US" w:eastAsia="zh-CN"/>
        </w:rPr>
        <w:t>土壤环境质量现状监测点位表</w:t>
      </w:r>
      <w:bookmarkEnd w:id="476"/>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（2）分析方法</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土壤采样方法按《土壤环境监测技术规范》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HJ/T166-2004</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进行，分析方法按《土壤环境质量 建设用地土壤污染风险管控标准（试行）》</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GB36600</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018</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土壤环境质量监测因子分析方法及检出限详见</w:t>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REF _Ref15974 \n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表4.3-15</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7" w:name="_Ref15974"/>
      <w:r>
        <w:rPr>
          <w:rFonts w:hint="default" w:ascii="Times New Roman" w:hAnsi="Times New Roman" w:cs="Times New Roman"/>
          <w:color w:val="auto"/>
          <w:highlight w:val="none"/>
          <w:lang w:val="en-US" w:eastAsia="zh-CN"/>
        </w:rPr>
        <w:t>土壤环境质量监测因子分析方法及检出限</w:t>
      </w:r>
      <w:bookmarkEnd w:id="477"/>
    </w:p>
    <w:tbl>
      <w:tblPr>
        <w:tblStyle w:val="17"/>
        <w:tblW w:w="928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185"/>
        <w:gridCol w:w="3823"/>
        <w:gridCol w:w="1659"/>
        <w:gridCol w:w="19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检测方法</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检出限</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检测仪器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阳离子交换量</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森林土壤阳离子交换量的测定
 LY/T 1243-1999
</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酸碱通用滴定管25ml/BL024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土壤容量</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土壤检测 第4部分 土壤容重的测定</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NY/T1121.4-2006</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电子天平CP114/YQ007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粒度（孔隙度）</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 粒度的测定 吸液管法和比重计法 HJ1068-2019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土壤密度计TM-85/YQ194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汞</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汞、砷、硒、铋、锑的测定微波消解/原子荧光法 HJ680-2013</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0.002mg/kg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非色散原子荧光光度计PF6-1/YQ010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汞、砷、硒、铋、锑的测定 微博消解/原子荧光法 HJ680-2013</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0.01mg/kg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非色散原子荧光光度计PF6-1/YQ010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pH值</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土壤检测 第2部分：土壤pH的测定   NY/T 1121.2-2006</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pH计与氟离子选择电极一体机PHS-3E/YQ005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1,1,2,2-四氯乙烷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restart"/>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气相色谱 质谱联用仪（GC-MSD）安捷伦8860-5977/YQ171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1,1,2-三氯乙烷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1,1-二氯乙烷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二苯并（ah)蒽</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2-氯苯酚</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0.06mg/kg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苯胺</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1,2-二氯苯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1.5μg/kg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二氯甲烷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1.5μg/kg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1,1,1,2-四氯乙烷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邻二甲苯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1,2-二氯乙烷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1.3μg/kg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三氯乙烯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茚并（1,2,3-cd)芘</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䓛</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苯并（a)蒽</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1,2-二氯丙烷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1,2,3-三氯丙烷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1,1,1-三氯乙烷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1.3μg/kg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反式-1,2-二氯乙烯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1.4μg/kg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甲苯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1.3μg/kg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对间二甲苯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0.8μg/kg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氯苯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氯甲烷</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0.8μg/kg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苯并（b)荧蒽</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0.2mg/kg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1,4-二氯苯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0.08mg/kg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萘</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0.09mg/kg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乙苯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1,1-二氯乙烯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苯并（a)芘</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顺式-1,2-二氯乙烯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1.3μg/kg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氯仿</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四氯化碳</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1.3μg/kg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1.9μg/kg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苯并（k)荧蒽</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0.1mg/kg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四氯乙烯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挥发性卤代烃的测定
 吹扫捕集/气相色谱-质谱法 HJ605-2011</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1.4μg/kg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硝基苯</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半挥发性有机物的测定 气相色谱法 HJ834-2017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0.09mg/kg</w:t>
            </w:r>
          </w:p>
        </w:tc>
        <w:tc>
          <w:tcPr>
            <w:tcW w:w="1910" w:type="dxa"/>
            <w:vMerge w:val="continue"/>
            <w:tcBorders>
              <w:tl2br w:val="nil"/>
              <w:tr2bl w:val="nil"/>
            </w:tcBorders>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镍</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铜、锌、铅、镍、铬的测定 火焰原子吸收分光光度法 HJ 491-2019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3mg/kg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原子吸收分光光度计TAS-990 AFG/YQ011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镉</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土壤质量 铅、镉的测定石墨炉原子吸收分光光度法</w:t>
            </w:r>
          </w:p>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GB/T 17141-1997</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0.01mg/kg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原子吸收分光光度计TAS-990 AFG/YQ011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铅</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铜、锌、铅、镍、铬的测定 火焰原子吸收分光光度法HJ491-2019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10mg/kg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原子吸收分光光度计TAS-990 AFG/YQ011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铜</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铜、锌、铅、镍、铬的测定 火焰原子吸收分光光度法HJ491-2019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原子吸收分光光度计TAS-990 AFG/YQ011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六价铬</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土壤和沉积物 六价铬的测定火焰原子吸收分光光度法</w:t>
            </w:r>
          </w:p>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HJ 1082-2019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0.5mg/kg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原子吸收分光光度计TAS-990 AFG/YQ011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氧化还原电位</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 氧化还原电位的测定 电位法 HJ746-2015</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氧化还原电位计QX6530/YQ192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石油烃</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土壤和沉积物 石油烃（C10-C40）的测定 气相色谱法HJ1021-2019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6mg/kg</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气相色谱仪GC-2014C/YQ168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52</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采样方法</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土壤环境监测技术规范
 HJ/T166-2004</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53</w:t>
            </w:r>
          </w:p>
        </w:tc>
        <w:tc>
          <w:tcPr>
            <w:tcW w:w="118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采样方法</w:t>
            </w:r>
          </w:p>
        </w:tc>
        <w:tc>
          <w:tcPr>
            <w:tcW w:w="38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地块土壤和地下水中挥发性有机物采样技术导则</w:t>
            </w:r>
            <w:r>
              <w:rPr>
                <w:rFonts w:hint="default" w:ascii="Times New Roman" w:hAnsi="Times New Roman" w:cs="Times New Roman"/>
                <w:color w:val="auto"/>
                <w:highlight w:val="none"/>
              </w:rPr>
              <w:t>HJ</w:t>
            </w:r>
            <w:r>
              <w:rPr>
                <w:rFonts w:hint="default" w:ascii="Times New Roman" w:hAnsi="Times New Roman" w:cs="Times New Roman"/>
                <w:color w:val="auto"/>
                <w:highlight w:val="none"/>
                <w:lang w:val="en-US" w:eastAsia="zh-CN"/>
              </w:rPr>
              <w:t>1019-2019</w:t>
            </w:r>
          </w:p>
        </w:tc>
        <w:tc>
          <w:tcPr>
            <w:tcW w:w="165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191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r>
    </w:tbl>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（3）评价标准</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本项目所在地为工业用地，土壤环境质量执行《土壤环境质量 建设用地污染风险管控标准》（GB36600-2018）第二类筛选值标准。</w:t>
      </w:r>
    </w:p>
    <w:p>
      <w:pP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（4）监测结果与评价</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本项目厂内土壤环境质量监测结果见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_Ref16350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表4.3-16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，土壤理化性质见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_Ref6984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表4.3-17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78" w:name="_Ref16487"/>
      <w:bookmarkStart w:id="479" w:name="_Ref16350"/>
      <w:r>
        <w:rPr>
          <w:rFonts w:hint="default" w:ascii="Times New Roman" w:hAnsi="Times New Roman" w:cs="Times New Roman"/>
          <w:color w:val="auto"/>
          <w:highlight w:val="none"/>
          <w:lang w:val="en-US" w:eastAsia="zh-CN"/>
        </w:rPr>
        <w:t>土壤环境质量现状监测结果一览表</w:t>
      </w:r>
      <w:bookmarkEnd w:id="478"/>
      <w:bookmarkEnd w:id="479"/>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80" w:name="_Ref16369"/>
      <w:bookmarkStart w:id="481" w:name="_Ref6984"/>
      <w:r>
        <w:rPr>
          <w:rFonts w:hint="default" w:ascii="Times New Roman" w:hAnsi="Times New Roman" w:cs="Times New Roman"/>
          <w:color w:val="auto"/>
          <w:highlight w:val="none"/>
          <w:lang w:val="en-US" w:eastAsia="zh-CN"/>
        </w:rPr>
        <w:t>土壤理化性质监测结果</w:t>
      </w:r>
      <w:bookmarkEnd w:id="480"/>
      <w:bookmarkEnd w:id="481"/>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_Ref16487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表4.3-16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土壤环境质量的监测结果可知，本项目场地内土壤环境质量较好，各项监测因子的监测结果均符合《土壤环境质量 建设用地土壤污染风险管控标准（试行）》（GB 36600-2018）第二类用地筛选值，说明建设项目区域内土壤现状未受到污染。</w:t>
      </w:r>
    </w:p>
    <w:p>
      <w:pPr>
        <w:rPr>
          <w:rFonts w:hint="default" w:ascii="Times New Roman" w:hAnsi="Times New Roman" w:cs="Times New Roman"/>
          <w:color w:val="auto"/>
          <w:highlight w:val="none"/>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default" w:ascii="Times New Roman" w:hAnsi="Times New Roman" w:eastAsia="宋体" w:cs="Times New Roman"/>
          <w:color w:val="auto"/>
          <w:highlight w:val="none"/>
          <w:lang w:eastAsia="zh-CN"/>
        </w:rPr>
      </w:pPr>
    </w:p>
    <w:p>
      <w:pPr>
        <w:pStyle w:val="22"/>
        <w:numPr>
          <w:ilvl w:val="7"/>
          <w:numId w:val="3"/>
        </w:numPr>
        <w:bidi w:val="0"/>
        <w:rPr>
          <w:rFonts w:hint="default" w:ascii="Times New Roman" w:hAnsi="Times New Roman" w:cs="Times New Roman"/>
          <w:color w:val="auto"/>
          <w:highlight w:val="none"/>
          <w:lang w:val="en-US" w:eastAsia="zh-CN"/>
        </w:rPr>
      </w:pPr>
      <w:bookmarkStart w:id="482" w:name="_Ref24768"/>
      <w:r>
        <w:rPr>
          <w:rFonts w:hint="default" w:ascii="Times New Roman" w:hAnsi="Times New Roman" w:cs="Times New Roman"/>
          <w:color w:val="auto"/>
          <w:highlight w:val="none"/>
          <w:lang w:val="en-US" w:eastAsia="zh-CN"/>
        </w:rPr>
        <w:t>噪声、土壤环境监测点位图</w:t>
      </w:r>
      <w:bookmarkEnd w:id="482"/>
    </w:p>
    <w:p>
      <w:pPr>
        <w:ind w:left="0" w:leftChars="0" w:firstLine="0" w:firstLineChars="0"/>
        <w:rPr>
          <w:rFonts w:hint="default" w:ascii="Times New Roman" w:hAnsi="Times New Roman" w:eastAsia="宋体" w:cs="Times New Roman"/>
          <w:color w:val="auto"/>
          <w:highlight w:val="none"/>
          <w:lang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3"/>
        </w:numPr>
        <w:bidi w:val="0"/>
        <w:rPr>
          <w:rFonts w:hint="default" w:ascii="Times New Roman" w:hAnsi="Times New Roman" w:cs="Times New Roman"/>
          <w:color w:val="auto"/>
          <w:highlight w:val="none"/>
        </w:rPr>
      </w:pPr>
      <w:bookmarkStart w:id="483" w:name="_Toc30961"/>
      <w:bookmarkStart w:id="484" w:name="_Toc2436"/>
      <w:bookmarkStart w:id="485" w:name="_Toc5104"/>
      <w:bookmarkStart w:id="486" w:name="_Toc16952"/>
      <w:r>
        <w:rPr>
          <w:rFonts w:hint="default" w:ascii="Times New Roman" w:hAnsi="Times New Roman" w:cs="Times New Roman"/>
          <w:color w:val="auto"/>
          <w:highlight w:val="none"/>
          <w:lang w:val="en-US" w:eastAsia="zh-CN"/>
        </w:rPr>
        <w:t>环境影响预测与评价</w:t>
      </w:r>
      <w:bookmarkEnd w:id="483"/>
      <w:bookmarkEnd w:id="484"/>
      <w:bookmarkEnd w:id="485"/>
      <w:bookmarkEnd w:id="486"/>
    </w:p>
    <w:p>
      <w:pPr>
        <w:pStyle w:val="3"/>
        <w:numPr>
          <w:ilvl w:val="1"/>
          <w:numId w:val="3"/>
        </w:numPr>
        <w:bidi w:val="0"/>
        <w:rPr>
          <w:rFonts w:hint="default" w:ascii="Times New Roman" w:hAnsi="Times New Roman" w:cs="Times New Roman"/>
          <w:color w:val="auto"/>
          <w:highlight w:val="none"/>
        </w:rPr>
      </w:pPr>
      <w:bookmarkStart w:id="487" w:name="_Toc5788"/>
      <w:bookmarkStart w:id="488" w:name="_Toc20246"/>
      <w:bookmarkStart w:id="489" w:name="_Toc27815"/>
      <w:bookmarkStart w:id="490" w:name="_Toc22019"/>
      <w:r>
        <w:rPr>
          <w:rFonts w:hint="default" w:ascii="Times New Roman" w:hAnsi="Times New Roman" w:cs="Times New Roman"/>
          <w:color w:val="auto"/>
          <w:highlight w:val="none"/>
          <w:lang w:val="en-US" w:eastAsia="zh-CN"/>
        </w:rPr>
        <w:t>施工期环境影响分析</w:t>
      </w:r>
      <w:bookmarkEnd w:id="487"/>
      <w:bookmarkEnd w:id="488"/>
      <w:bookmarkEnd w:id="489"/>
      <w:bookmarkEnd w:id="490"/>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施工工期间的污染影响因素</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根据工程分析，本项目施工过程污染源具体内容详见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_Ref159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表5.1-1</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91" w:name="_Ref159"/>
      <w:r>
        <w:rPr>
          <w:rFonts w:hint="default" w:ascii="Times New Roman" w:hAnsi="Times New Roman" w:cs="Times New Roman"/>
          <w:color w:val="auto"/>
          <w:highlight w:val="none"/>
          <w:lang w:val="en-US" w:eastAsia="zh-CN"/>
        </w:rPr>
        <w:t>施工过程污染影响因素分析</w:t>
      </w:r>
      <w:bookmarkEnd w:id="491"/>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7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类别</w:t>
            </w:r>
          </w:p>
        </w:tc>
        <w:tc>
          <w:tcPr>
            <w:tcW w:w="78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本项目施工过程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废气</w:t>
            </w:r>
          </w:p>
        </w:tc>
        <w:tc>
          <w:tcPr>
            <w:tcW w:w="78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①砂土等建筑材料运输过程和堆放场地的扬尘；</w:t>
            </w:r>
          </w:p>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②车辆设备发动机排放的尾气，主要含烟尘、烃类、CO等空气污染物。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废水</w:t>
            </w:r>
          </w:p>
        </w:tc>
        <w:tc>
          <w:tcPr>
            <w:tcW w:w="78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①施工人员的生活污水1.2 t/d；</w:t>
            </w:r>
          </w:p>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②施工机械、设备、车辆清洗废水2.0 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噪声</w:t>
            </w:r>
          </w:p>
        </w:tc>
        <w:tc>
          <w:tcPr>
            <w:tcW w:w="78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rPr>
              <w:t>运输车辆和多种施工机械</w:t>
            </w:r>
            <w:r>
              <w:rPr>
                <w:rFonts w:hint="default" w:ascii="Times New Roman" w:hAnsi="Times New Roman" w:cs="Times New Roman"/>
                <w:color w:val="auto"/>
                <w:szCs w:val="20"/>
                <w:highlight w:val="none"/>
                <w:lang w:val="en-US" w:eastAsia="zh-CN"/>
              </w:rPr>
              <w:t>作业时产生的噪声。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固体废物</w:t>
            </w:r>
          </w:p>
        </w:tc>
        <w:tc>
          <w:tcPr>
            <w:tcW w:w="78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①</w:t>
            </w:r>
            <w:r>
              <w:rPr>
                <w:rFonts w:hint="default" w:ascii="Times New Roman" w:hAnsi="Times New Roman" w:cs="Times New Roman"/>
                <w:color w:val="auto"/>
                <w:sz w:val="21"/>
                <w:szCs w:val="21"/>
                <w:highlight w:val="none"/>
                <w:lang w:val="en-US" w:eastAsia="zh-CN"/>
              </w:rPr>
              <w:t>施工人员</w:t>
            </w:r>
            <w:r>
              <w:rPr>
                <w:rFonts w:hint="default" w:ascii="Times New Roman" w:hAnsi="Times New Roman" w:cs="Times New Roman"/>
                <w:color w:val="auto"/>
                <w:szCs w:val="20"/>
                <w:highlight w:val="none"/>
                <w:lang w:val="en-US" w:eastAsia="zh-CN"/>
              </w:rPr>
              <w:t>生活垃圾，最大产生量约9 kg/d，</w:t>
            </w:r>
            <w:r>
              <w:rPr>
                <w:rFonts w:hint="default" w:ascii="Times New Roman" w:hAnsi="Times New Roman" w:cs="Times New Roman"/>
                <w:color w:val="auto"/>
                <w:szCs w:val="20"/>
                <w:highlight w:val="none"/>
              </w:rPr>
              <w:t>主要成分为厨余物和纸张、塑料等废弃包装物（袋）等</w:t>
            </w:r>
            <w:r>
              <w:rPr>
                <w:rFonts w:hint="default" w:ascii="Times New Roman" w:hAnsi="Times New Roman" w:cs="Times New Roman"/>
                <w:color w:val="auto"/>
                <w:szCs w:val="20"/>
                <w:highlight w:val="none"/>
                <w:lang w:val="en-US" w:eastAsia="zh-CN"/>
              </w:rPr>
              <w:t>；</w:t>
            </w:r>
          </w:p>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②</w:t>
            </w:r>
            <w:r>
              <w:rPr>
                <w:rFonts w:hint="default" w:ascii="Times New Roman" w:hAnsi="Times New Roman" w:cs="Times New Roman"/>
                <w:color w:val="auto"/>
                <w:szCs w:val="20"/>
                <w:highlight w:val="none"/>
              </w:rPr>
              <w:t>施工建筑垃圾产生</w:t>
            </w:r>
            <w:r>
              <w:rPr>
                <w:rFonts w:hint="default" w:ascii="Times New Roman" w:hAnsi="Times New Roman" w:cs="Times New Roman"/>
                <w:color w:val="auto"/>
                <w:szCs w:val="20"/>
                <w:highlight w:val="none"/>
                <w:lang w:val="en-US" w:eastAsia="zh-CN"/>
              </w:rPr>
              <w:t>量</w:t>
            </w:r>
            <w:r>
              <w:rPr>
                <w:rFonts w:hint="default" w:ascii="Times New Roman" w:hAnsi="Times New Roman" w:cs="Times New Roman"/>
                <w:color w:val="auto"/>
                <w:szCs w:val="20"/>
                <w:highlight w:val="none"/>
              </w:rPr>
              <w:t>约为</w:t>
            </w:r>
            <w:r>
              <w:rPr>
                <w:rFonts w:hint="default" w:ascii="Times New Roman" w:hAnsi="Times New Roman" w:cs="Times New Roman"/>
                <w:color w:val="auto"/>
                <w:szCs w:val="20"/>
                <w:highlight w:val="none"/>
                <w:lang w:val="en-US" w:eastAsia="zh-CN"/>
              </w:rPr>
              <w:t xml:space="preserve">581.87 </w:t>
            </w:r>
            <w:r>
              <w:rPr>
                <w:rFonts w:hint="default" w:ascii="Times New Roman" w:hAnsi="Times New Roman" w:cs="Times New Roman"/>
                <w:color w:val="auto"/>
                <w:szCs w:val="20"/>
                <w:highlight w:val="none"/>
              </w:rPr>
              <w:t>t</w:t>
            </w:r>
            <w:r>
              <w:rPr>
                <w:rFonts w:hint="default" w:ascii="Times New Roman" w:hAnsi="Times New Roman" w:cs="Times New Roman"/>
                <w:color w:val="auto"/>
                <w:szCs w:val="20"/>
                <w:highlight w:val="none"/>
                <w:lang w:eastAsia="zh-CN"/>
              </w:rPr>
              <w:t>，</w:t>
            </w:r>
            <w:r>
              <w:rPr>
                <w:rFonts w:hint="default" w:ascii="Times New Roman" w:hAnsi="Times New Roman" w:cs="Times New Roman"/>
                <w:color w:val="auto"/>
                <w:szCs w:val="20"/>
                <w:highlight w:val="none"/>
                <w:lang w:val="en-US" w:eastAsia="zh-CN"/>
              </w:rPr>
              <w:t>主要</w:t>
            </w:r>
            <w:r>
              <w:rPr>
                <w:rFonts w:hint="default" w:ascii="Times New Roman" w:hAnsi="Times New Roman" w:cs="Times New Roman"/>
                <w:color w:val="auto"/>
                <w:szCs w:val="20"/>
                <w:highlight w:val="none"/>
              </w:rPr>
              <w:t>包括废钢筋、废钢板、废弃模板、废弃混凝土块等</w:t>
            </w:r>
            <w:r>
              <w:rPr>
                <w:rFonts w:hint="default" w:ascii="Times New Roman" w:hAnsi="Times New Roman" w:cs="Times New Roman"/>
                <w:color w:val="auto"/>
                <w:szCs w:val="20"/>
                <w:highlight w:val="none"/>
                <w:lang w:val="en-US" w:eastAsia="zh-CN"/>
              </w:rPr>
              <w:t>。</w:t>
            </w:r>
          </w:p>
        </w:tc>
      </w:tr>
    </w:tbl>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施工期废气影响分析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施工过程中废气主要是汽车运输等施工活动过程中产生的扬尘和各类施工机械产生的燃油废气，主要污染物有TSP、THC、SO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、CO及NO</w:t>
      </w:r>
      <w:r>
        <w:rPr>
          <w:rFonts w:hint="default" w:ascii="Times New Roman" w:hAnsi="Times New Roman" w:cs="Times New Roman"/>
          <w:i/>
          <w:iCs/>
          <w:color w:val="auto"/>
          <w:highlight w:val="none"/>
          <w:lang w:val="en-US" w:eastAsia="zh-CN"/>
        </w:rPr>
        <w:t>x</w:t>
      </w:r>
      <w:r>
        <w:rPr>
          <w:rFonts w:hint="default" w:ascii="Times New Roman" w:hAnsi="Times New Roman" w:cs="Times New Roman"/>
          <w:color w:val="auto"/>
          <w:highlight w:val="none"/>
          <w:lang w:val="en-US" w:eastAsia="zh-CN"/>
        </w:rPr>
        <w:t>等。</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（1）施工作业的扬尘影响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建筑垃圾、弃土以及建材的装卸及倾倒、建筑材料露天堆放及施工车辆进出建筑工地等均会造成项目建设区域环境空气中颗粒物大量增加。</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施工车辆运输也会产生大量粉尘，施工车辆在运输过程中超载，无风时建材和弃土随车颠簸，一路漂洒，有风时运输车辆所经之处尘土一片，造成路面土层加厚，影响路面环境整洁。根据有关资料报导，当一辆14 t的载重卡车以20 km/h的速度在含泥30%的道路上行驶时，扬尘产生量为2.85 kg/km。而雨季由于雨水的冲刷以及车辆的碾压，使施工现场变得泥泞不堪，进出工地的运输车在这样的道路上行驶后使其车轮粘满泥土，会给其途径的城市道路带来一片泥浆和粉尘。据资料介绍，建设工地道路扬尘是建设施工工地扬尘的主要来源，约占全部工地扬尘的62%，其他施工作业扬尘占38%。</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本项目设施的建设过程中，扬尘对大气的影响范围主要在工地围栏外100 m以内。由于距离的不同，其污染影响程度均有差异，在扬尘点下风向0-50 m为重污染带，50-100 m为中污染带，100 m以远为轻污染带，200 m以远对大气影响甚微。据类比调查，在一般气象条件下施工扬尘的影响范围为其下风向150 m内，被影响地区的TSP浓度平均值在0.49 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左右。</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根据施工扬尘的影响范围及敏感点与施工场地的距离可知，最近的敏感目标为南侧35 m的一层村，本项目的施工扬尘可能会对一层村环境空气质量产生一定影响。因此，本评价要求，建设单位应避开大风天气施工，在施工场界四周应设置围挡，并配备喷雾降尘措施，由此减轻因施工产生的扬尘对一层村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（2）机械和车辆废气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筑工地上大量使用的施工机械和大型建筑材料运输车辆一般都以柴油为燃料。由柴油燃烧产生的尾气中主要含有颗粒物和碳氢化合物等废气，在常规气象条件下废气污染影响范围最大不超过排气孔下风向轴线几十米远的距离。一般情况下，在工地内运行的机械及载重卡车的废气污染影响范围仅局限于施工工地内，不影响界外区域。但当车辆进出工地及在外界道路上行驶时，可能会影响道路两侧的50 m范围内的带状区域，由于项目最近的敏感目标位为南侧35 m的一层村，施工车辆、机械废气对一层村可能会产生一定影响，但建设单位在通过优化车辆进场路线和合理安排施工计划，可减轻对 一层村的影响。</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施工期废水影响分析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（1）生产废水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本项目施工生产废水产生量较少，废水量大约为2.0 t/d，废水中SS值达1000 mg/L。根据现场踏勘，项目产生的生产废水若没有经过处理直接排放，水量大时，废水夹杂一定的泥土漫流到道路及管网中，影响周边的道路交通及地表水环境。因此建议建设单位在施工期建设过程中建一座沉淀池，泥浆水应经隔油池隔油、沉淀池沉淀后澄清上清液回用于洗车及场地清洁，不排放施工废水，对周围水体猫垅溪、东澳水库3#滞洪区及牙城湾的水质影响较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（2）生活污水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根据企业介绍，本项目不建设施工营地，项目施工人员不在施工场地食宿，施工人员产生的生活污水纳入当地的污水处理系统，对附近水体和周围环境的影响较小。</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施工期噪声影响分析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项目主要建设前纺楼、后纺楼、综合厂房、锅炉房、宿舍楼、研发楼等等，施工主要噪声源是施工机械作业时产生的噪声和振动、出入施工场地车辆产生的噪声。机械设备振动产生的噪声声压级一般介于85～120dB（A），且随距离的增大衰减较快，其影响范围较小，因此对于机械振动对周围环境的影响不作具体分析，仅考虑噪声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根据工程分析，本项目主要机械设备施工作业期间产生的噪声见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_Ref10609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。将施工设备视为点声源，其衰减公式如下：</w:t>
      </w:r>
    </w:p>
    <w:p>
      <w:pPr>
        <w:ind w:left="0" w:leftChars="0" w:firstLine="0" w:firstLineChars="0"/>
        <w:jc w:val="center"/>
        <w:rPr>
          <w:rFonts w:hint="default" w:ascii="Times New Roman" w:hAnsi="Times New Roman" w:cs="Times New Roman"/>
          <w:color w:val="auto"/>
          <w:position w:val="-32"/>
          <w:sz w:val="24"/>
          <w:szCs w:val="24"/>
          <w:highlight w:val="none"/>
          <w:lang w:val="en-US" w:eastAsia="zh-CN"/>
        </w:rPr>
      </w:pPr>
      <w:r>
        <w:rPr>
          <w:rFonts w:hint="default" w:ascii="Times New Roman" w:hAnsi="Times New Roman" w:cs="Times New Roman"/>
          <w:color w:val="auto"/>
          <w:position w:val="-32"/>
          <w:sz w:val="24"/>
          <w:szCs w:val="24"/>
          <w:highlight w:val="none"/>
          <w:lang w:val="en-US" w:eastAsia="zh-CN"/>
        </w:rPr>
        <w:object>
          <v:shape id="_x0000_i1065" o:spt="75" type="#_x0000_t75" style="height:38pt;width:117pt;" o:ole="t" filled="f" o:preferrelative="t" stroked="f" coordsize="21600,21600">
            <v:path/>
            <v:fill on="f" focussize="0,0"/>
            <v:stroke on="f"/>
            <v:imagedata r:id="rId85" o:title=""/>
            <o:lock v:ext="edit" aspectratio="t"/>
            <w10:wrap type="none"/>
            <w10:anchorlock/>
          </v:shape>
          <o:OLEObject Type="Embed" ProgID="Equation.KSEE3" ShapeID="_x0000_i1065" DrawAspect="Content" ObjectID="_1468075754" r:id="rId84">
            <o:LockedField>false</o:LockedField>
          </o:OLEObject>
        </w:objec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式中：</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position w:val="-12"/>
          <w:sz w:val="24"/>
          <w:szCs w:val="24"/>
          <w:highlight w:val="none"/>
          <w:lang w:val="en-US" w:eastAsia="zh-CN"/>
        </w:rPr>
        <w:object>
          <v:shape id="_x0000_i1066" o:spt="75" type="#_x0000_t75" style="height:18pt;width:13pt;" o:ole="t" filled="f" o:preferrelative="t" stroked="f" coordsize="21600,21600">
            <v:path/>
            <v:fill on="f" focussize="0,0"/>
            <v:stroke on="f"/>
            <v:imagedata r:id="rId87" o:title=""/>
            <o:lock v:ext="edit" aspectratio="t"/>
            <w10:wrap type="none"/>
            <w10:anchorlock/>
          </v:shape>
          <o:OLEObject Type="Embed" ProgID="Equation.KSEE3" ShapeID="_x0000_i1066" DrawAspect="Content" ObjectID="_1468075755" r:id="rId86">
            <o:LockedField>false</o:LockedField>
          </o:OLEObject>
        </w:object>
      </w:r>
      <w:r>
        <w:rPr>
          <w:rFonts w:hint="default" w:ascii="Times New Roman" w:hAnsi="Times New Roman" w:cs="Times New Roman"/>
          <w:color w:val="auto"/>
          <w:sz w:val="24"/>
          <w:szCs w:val="24"/>
          <w:highlight w:val="none"/>
          <w:lang w:val="en-US" w:eastAsia="zh-CN"/>
        </w:rPr>
        <w:t>——距声源</w:t>
      </w:r>
      <w:r>
        <w:rPr>
          <w:rFonts w:hint="default" w:ascii="Times New Roman" w:hAnsi="Times New Roman" w:cs="Times New Roman"/>
          <w:color w:val="auto"/>
          <w:position w:val="-12"/>
          <w:sz w:val="24"/>
          <w:szCs w:val="24"/>
          <w:highlight w:val="none"/>
          <w:lang w:val="en-US" w:eastAsia="zh-CN"/>
        </w:rPr>
        <w:object>
          <v:shape id="_x0000_i1067" o:spt="75" type="#_x0000_t75" style="height:18pt;width:10pt;" o:ole="t" filled="f" o:preferrelative="t" stroked="f" coordsize="21600,21600">
            <v:path/>
            <v:fill on="f" focussize="0,0"/>
            <v:stroke on="f"/>
            <v:imagedata r:id="rId89" o:title=""/>
            <o:lock v:ext="edit" aspectratio="t"/>
            <w10:wrap type="none"/>
            <w10:anchorlock/>
          </v:shape>
          <o:OLEObject Type="Embed" ProgID="Equation.KSEE3" ShapeID="_x0000_i1067" DrawAspect="Content" ObjectID="_1468075756" r:id="rId88">
            <o:LockedField>false</o:LockedField>
          </o:OLEObject>
        </w:object>
      </w:r>
      <w:r>
        <w:rPr>
          <w:rFonts w:hint="default" w:ascii="Times New Roman" w:hAnsi="Times New Roman"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u w:val="none"/>
        </w:rPr>
        <w:t>距离的噪声值</w:t>
      </w:r>
      <w:r>
        <w:rPr>
          <w:rFonts w:hint="default" w:ascii="Times New Roman" w:hAnsi="Times New Roman" w:cs="Times New Roman"/>
          <w:color w:val="auto"/>
          <w:sz w:val="24"/>
          <w:szCs w:val="24"/>
          <w:highlight w:val="none"/>
          <w:lang w:val="en-US" w:eastAsia="zh-CN"/>
        </w:rPr>
        <w:t>，单位：dB（A）；</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position w:val="-12"/>
          <w:sz w:val="24"/>
          <w:szCs w:val="24"/>
          <w:highlight w:val="none"/>
          <w:lang w:val="en-US" w:eastAsia="zh-CN"/>
        </w:rPr>
        <w:object>
          <v:shape id="_x0000_i1068" o:spt="75" type="#_x0000_t75" style="height:18pt;width:13.95pt;" o:ole="t" filled="f" o:preferrelative="t" stroked="f" coordsize="21600,21600">
            <v:path/>
            <v:fill on="f" focussize="0,0"/>
            <v:stroke on="f"/>
            <v:imagedata r:id="rId91" o:title=""/>
            <o:lock v:ext="edit" aspectratio="t"/>
            <w10:wrap type="none"/>
            <w10:anchorlock/>
          </v:shape>
          <o:OLEObject Type="Embed" ProgID="Equation.KSEE3" ShapeID="_x0000_i1068" DrawAspect="Content" ObjectID="_1468075757" r:id="rId90">
            <o:LockedField>false</o:LockedField>
          </o:OLEObject>
        </w:object>
      </w:r>
      <w:r>
        <w:rPr>
          <w:rFonts w:hint="default" w:ascii="Times New Roman" w:hAnsi="Times New Roman" w:cs="Times New Roman"/>
          <w:color w:val="auto"/>
          <w:sz w:val="24"/>
          <w:szCs w:val="24"/>
          <w:highlight w:val="none"/>
          <w:lang w:val="en-US" w:eastAsia="zh-CN"/>
        </w:rPr>
        <w:t>——距声源</w:t>
      </w:r>
      <w:r>
        <w:rPr>
          <w:rFonts w:hint="default" w:ascii="Times New Roman" w:hAnsi="Times New Roman" w:cs="Times New Roman"/>
          <w:color w:val="auto"/>
          <w:position w:val="-12"/>
          <w:sz w:val="24"/>
          <w:szCs w:val="24"/>
          <w:highlight w:val="none"/>
          <w:lang w:val="en-US" w:eastAsia="zh-CN"/>
        </w:rPr>
        <w:object>
          <v:shape id="_x0000_i1069" o:spt="75" type="#_x0000_t75" style="height:18pt;width:11pt;" o:ole="t" filled="f" o:preferrelative="t" stroked="f" coordsize="21600,21600">
            <v:path/>
            <v:fill on="f" focussize="0,0"/>
            <v:stroke on="f"/>
            <v:imagedata r:id="rId93" o:title=""/>
            <o:lock v:ext="edit" aspectratio="t"/>
            <w10:wrap type="none"/>
            <w10:anchorlock/>
          </v:shape>
          <o:OLEObject Type="Embed" ProgID="Equation.KSEE3" ShapeID="_x0000_i1069" DrawAspect="Content" ObjectID="_1468075758" r:id="rId92">
            <o:LockedField>false</o:LockedField>
          </o:OLEObject>
        </w:object>
      </w:r>
      <w:r>
        <w:rPr>
          <w:rFonts w:hint="default" w:ascii="Times New Roman" w:hAnsi="Times New Roman"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u w:val="none"/>
        </w:rPr>
        <w:t>距离的噪声值</w:t>
      </w:r>
      <w:r>
        <w:rPr>
          <w:rFonts w:hint="default" w:ascii="Times New Roman" w:hAnsi="Times New Roman" w:cs="Times New Roman"/>
          <w:color w:val="auto"/>
          <w:sz w:val="24"/>
          <w:szCs w:val="24"/>
          <w:highlight w:val="none"/>
          <w:lang w:val="en-US" w:eastAsia="zh-CN"/>
        </w:rPr>
        <w:t>，单位：dB（A）；</w:t>
      </w:r>
    </w:p>
    <w:p>
      <w:pPr>
        <w:keepNext w:val="0"/>
        <w:keepLines w:val="0"/>
        <w:pageBreakBefore w:val="0"/>
        <w:widowControl w:val="0"/>
        <w:kinsoku/>
        <w:wordWrap/>
        <w:overflowPunct/>
        <w:topLinePunct w:val="0"/>
        <w:autoSpaceDE/>
        <w:autoSpaceDN/>
        <w:bidi w:val="0"/>
        <w:adjustRightInd w:val="0"/>
        <w:snapToGrid w:val="0"/>
        <w:spacing w:line="360" w:lineRule="auto"/>
        <w:ind w:left="480" w:leftChars="200" w:firstLine="480" w:firstLineChars="200"/>
        <w:textAlignment w:val="auto"/>
        <w:rPr>
          <w:rFonts w:hint="default" w:ascii="Times New Roman" w:hAnsi="Times New Roman" w:eastAsia="宋体" w:cs="Times New Roman"/>
          <w:color w:val="auto"/>
          <w:position w:val="-12"/>
          <w:sz w:val="24"/>
          <w:szCs w:val="24"/>
          <w:highlight w:val="none"/>
          <w:lang w:val="en-US" w:eastAsia="zh-CN"/>
        </w:rPr>
      </w:pPr>
      <w:r>
        <w:rPr>
          <w:rFonts w:hint="default" w:ascii="Times New Roman" w:hAnsi="Times New Roman" w:cs="Times New Roman"/>
          <w:color w:val="auto"/>
          <w:position w:val="-12"/>
          <w:sz w:val="24"/>
          <w:szCs w:val="24"/>
          <w:highlight w:val="none"/>
          <w:lang w:val="en-US" w:eastAsia="zh-CN"/>
        </w:rPr>
        <w:object>
          <v:shape id="_x0000_i1070" o:spt="75" type="#_x0000_t75" style="height:18pt;width:10pt;" o:ole="t" filled="f" o:preferrelative="t" stroked="f" coordsize="21600,21600">
            <v:path/>
            <v:fill on="f" focussize="0,0"/>
            <v:stroke on="f"/>
            <v:imagedata r:id="rId89" o:title=""/>
            <o:lock v:ext="edit" aspectratio="t"/>
            <w10:wrap type="none"/>
            <w10:anchorlock/>
          </v:shape>
          <o:OLEObject Type="Embed" ProgID="Equation.KSEE3" ShapeID="_x0000_i1070" DrawAspect="Content" ObjectID="_1468075759" r:id="rId94">
            <o:LockedField>false</o:LockedField>
          </o:OLEObject>
        </w:objec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u w:val="none"/>
        </w:rPr>
        <w:t>点声源至受声点1的距离</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lang w:val="en-US" w:eastAsia="zh-CN"/>
        </w:rPr>
        <w:t>m</w:t>
      </w:r>
      <w:r>
        <w:rPr>
          <w:rFonts w:hint="default" w:ascii="Times New Roman" w:hAnsi="Times New Roman" w:eastAsia="宋体" w:cs="Times New Roman"/>
          <w:color w:val="auto"/>
          <w:sz w:val="24"/>
          <w:szCs w:val="24"/>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480" w:leftChars="200" w:firstLine="480" w:firstLineChars="200"/>
        <w:textAlignment w:val="auto"/>
        <w:rPr>
          <w:rFonts w:hint="default" w:ascii="Times New Roman" w:hAnsi="Times New Roman" w:eastAsia="宋体" w:cs="Times New Roman"/>
          <w:color w:val="auto"/>
          <w:position w:val="-12"/>
          <w:sz w:val="24"/>
          <w:szCs w:val="24"/>
          <w:highlight w:val="none"/>
          <w:lang w:val="en-US" w:eastAsia="zh-CN"/>
        </w:rPr>
      </w:pPr>
      <w:r>
        <w:rPr>
          <w:rFonts w:hint="default" w:ascii="Times New Roman" w:hAnsi="Times New Roman" w:cs="Times New Roman"/>
          <w:color w:val="auto"/>
          <w:position w:val="-12"/>
          <w:sz w:val="24"/>
          <w:szCs w:val="24"/>
          <w:highlight w:val="none"/>
          <w:lang w:val="en-US" w:eastAsia="zh-CN"/>
        </w:rPr>
        <w:object>
          <v:shape id="_x0000_i1071" o:spt="75" type="#_x0000_t75" style="height:18pt;width:11pt;" o:ole="t" filled="f" o:preferrelative="t" stroked="f" coordsize="21600,21600">
            <v:path/>
            <v:fill on="f" focussize="0,0"/>
            <v:stroke on="f"/>
            <v:imagedata r:id="rId93" o:title=""/>
            <o:lock v:ext="edit" aspectratio="t"/>
            <w10:wrap type="none"/>
            <w10:anchorlock/>
          </v:shape>
          <o:OLEObject Type="Embed" ProgID="Equation.KSEE3" ShapeID="_x0000_i1071" DrawAspect="Content" ObjectID="_1468075760" r:id="rId95">
            <o:LockedField>false</o:LockedField>
          </o:OLEObject>
        </w:objec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u w:val="none"/>
        </w:rPr>
        <w:t>点声源至受声点2的距离</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lang w:val="en-US" w:eastAsia="zh-CN"/>
        </w:rPr>
        <w:t>m</w:t>
      </w:r>
      <w:r>
        <w:rPr>
          <w:rFonts w:hint="default" w:ascii="Times New Roman" w:hAnsi="Times New Roman" w:eastAsia="宋体" w:cs="Times New Roman"/>
          <w:color w:val="auto"/>
          <w:sz w:val="24"/>
          <w:szCs w:val="24"/>
          <w:highlight w:val="none"/>
          <w:u w:val="none"/>
          <w:lang w:eastAsia="zh-CN"/>
        </w:rPr>
        <w:t>）；</w:t>
      </w:r>
    </w:p>
    <w:p>
      <w:pPr>
        <w:keepNext w:val="0"/>
        <w:keepLines w:val="0"/>
        <w:pageBreakBefore w:val="0"/>
        <w:widowControl w:val="0"/>
        <w:kinsoku/>
        <w:wordWrap/>
        <w:overflowPunct/>
        <w:topLinePunct w:val="0"/>
        <w:autoSpaceDE/>
        <w:autoSpaceDN/>
        <w:bidi w:val="0"/>
        <w:adjustRightInd/>
        <w:snapToGrid/>
        <w:ind w:left="0" w:leftChars="0" w:firstLine="960" w:firstLineChars="400"/>
        <w:jc w:val="both"/>
        <w:textAlignment w:val="auto"/>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cs="Times New Roman"/>
          <w:color w:val="auto"/>
          <w:position w:val="-4"/>
          <w:sz w:val="24"/>
          <w:szCs w:val="24"/>
          <w:highlight w:val="none"/>
          <w:lang w:val="en-US" w:eastAsia="zh-CN"/>
        </w:rPr>
        <w:object>
          <v:shape id="_x0000_i1072" o:spt="75" type="#_x0000_t75" style="height:13pt;width:18pt;" o:ole="t" filled="f" o:preferrelative="t" stroked="f" coordsize="21600,21600">
            <v:path/>
            <v:fill on="f" focussize="0,0"/>
            <v:stroke on="f"/>
            <v:imagedata r:id="rId97" o:title=""/>
            <o:lock v:ext="edit" aspectratio="t"/>
            <w10:wrap type="none"/>
            <w10:anchorlock/>
          </v:shape>
          <o:OLEObject Type="Embed" ProgID="Equation.KSEE3" ShapeID="_x0000_i1072" DrawAspect="Content" ObjectID="_1468075761" r:id="rId96">
            <o:LockedField>false</o:LockedField>
          </o:OLEObject>
        </w:objec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u w:val="none"/>
        </w:rPr>
        <w:t>噪声传播过程中由屏障、空气吸收等引起的衰减量</w:t>
      </w:r>
      <w:r>
        <w:rPr>
          <w:rFonts w:hint="default" w:ascii="Times New Roman" w:hAnsi="Times New Roman" w:eastAsia="宋体" w:cs="Times New Roman"/>
          <w:color w:val="auto"/>
          <w:sz w:val="24"/>
          <w:szCs w:val="24"/>
          <w:highlight w:val="none"/>
          <w:u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_Ref10609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表3.6-4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中各种施工机械噪声值，噪声值计算模式（只考虑几何发散衰减），通过计算可以得出不同类型施工机械在不同距离处的噪声贡献值，见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_Ref10619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92" w:name="_Ref10619"/>
      <w:r>
        <w:rPr>
          <w:rFonts w:hint="default" w:ascii="Times New Roman" w:hAnsi="Times New Roman" w:cs="Times New Roman"/>
          <w:color w:val="auto"/>
          <w:highlight w:val="none"/>
          <w:lang w:val="en-US" w:eastAsia="zh-CN"/>
        </w:rPr>
        <w:t>各种施工机械在不同距离的噪声值    单位：dB（A）</w:t>
      </w:r>
      <w:bookmarkEnd w:id="492"/>
    </w:p>
    <w:tbl>
      <w:tblPr>
        <w:tblStyle w:val="17"/>
        <w:tblW w:w="9286"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698"/>
        <w:gridCol w:w="789"/>
        <w:gridCol w:w="782"/>
        <w:gridCol w:w="775"/>
        <w:gridCol w:w="769"/>
        <w:gridCol w:w="756"/>
        <w:gridCol w:w="747"/>
        <w:gridCol w:w="747"/>
        <w:gridCol w:w="743"/>
        <w:gridCol w:w="743"/>
        <w:gridCol w:w="73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trPr>
        <w:tc>
          <w:tcPr>
            <w:tcW w:w="169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距离（m）</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设备名称</w:t>
            </w:r>
          </w:p>
        </w:tc>
        <w:tc>
          <w:tcPr>
            <w:tcW w:w="7588" w:type="dxa"/>
            <w:gridSpan w:val="10"/>
            <w:tcBorders>
              <w:tl2br w:val="nil"/>
              <w:tr2bl w:val="nil"/>
            </w:tcBorders>
            <w:vAlign w:val="center"/>
          </w:tcPr>
          <w:p>
            <w:pPr>
              <w:pStyle w:val="21"/>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距施工点某距离处的噪声值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trPr>
        <w:tc>
          <w:tcPr>
            <w:tcW w:w="16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推土机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96</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静压桩机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51</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49</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48</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47</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前斗式装料机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96</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空压机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98</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78</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72</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拖拉机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96</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气动扳手</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88</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52</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51</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混凝土破碎机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52</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夯土机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52</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发电机</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93</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73</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67</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63</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重型机械</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88</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52</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51</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重型卡车</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96</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空气锤</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98</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78</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72</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移动式吊车</w:t>
            </w:r>
          </w:p>
        </w:tc>
        <w:tc>
          <w:tcPr>
            <w:tcW w:w="78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95</w:t>
            </w:r>
          </w:p>
        </w:tc>
        <w:tc>
          <w:tcPr>
            <w:tcW w:w="78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c>
          <w:tcPr>
            <w:tcW w:w="77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76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75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63</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w:t>
            </w:r>
          </w:p>
        </w:tc>
        <w:tc>
          <w:tcPr>
            <w:tcW w:w="74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c>
          <w:tcPr>
            <w:tcW w:w="74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w:t>
            </w:r>
          </w:p>
        </w:tc>
        <w:tc>
          <w:tcPr>
            <w:tcW w:w="73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施工机械噪声在无遮挡情况下，如果使用单台机械，其中空压机和空气锤噪声影响最大，对环境的影响范围为白天25 m，夜间</w:t>
      </w:r>
      <w:r>
        <w:rPr>
          <w:rFonts w:hint="eastAsia" w:cs="Times New Roman"/>
          <w:color w:val="auto"/>
          <w:highlight w:val="none"/>
          <w:lang w:val="en-US" w:eastAsia="zh-CN"/>
        </w:rPr>
        <w:t>应</w:t>
      </w:r>
      <w:r>
        <w:rPr>
          <w:rFonts w:hint="default" w:ascii="Times New Roman" w:hAnsi="Times New Roman" w:cs="Times New Roman"/>
          <w:color w:val="auto"/>
          <w:highlight w:val="none"/>
          <w:lang w:val="en-US" w:eastAsia="zh-CN"/>
        </w:rPr>
        <w:t>禁止施工。在此距离之外可满足《建筑施工场界环境噪声排放标准》（GB 12523-2011）的要求。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但施工机械多是露天作业，四周无遮挡，部分机械需要经常移动，起吊和安装工作需要高空作业，所以建筑施工噪声具有突发性、冲击性和不连续性等特点。当施工机械在厂界某一侧进行作业时，该厂界噪声昼、夜间将无法满足《建筑施工厂界环境噪声排放标准》（GB12523-2011）中规定的限值。</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鉴于本项目距南侧一层村较近，施工噪声对其贡献值影响较大，且考虑到项目施工材料运输路线主要利用现有的公路，可能会对一层村产生一定的影响。因此，针对该种情况，本评价提出以下措施以减轻对一层村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①合理安排施工时间，严禁</w:t>
      </w:r>
      <w:r>
        <w:rPr>
          <w:rFonts w:hint="eastAsia" w:cs="Times New Roman"/>
          <w:color w:val="auto"/>
          <w:highlight w:val="none"/>
          <w:lang w:val="en-US" w:eastAsia="zh-CN"/>
        </w:rPr>
        <w:t>午间（12：00-14：00）和</w:t>
      </w:r>
      <w:r>
        <w:rPr>
          <w:rFonts w:hint="default" w:ascii="Times New Roman" w:hAnsi="Times New Roman" w:cs="Times New Roman"/>
          <w:color w:val="auto"/>
          <w:highlight w:val="none"/>
          <w:lang w:val="en-US" w:eastAsia="zh-CN"/>
        </w:rPr>
        <w:t>夜间</w:t>
      </w:r>
      <w:r>
        <w:rPr>
          <w:rFonts w:hint="eastAsia" w:cs="Times New Roman"/>
          <w:color w:val="auto"/>
          <w:highlight w:val="none"/>
          <w:lang w:val="en-US" w:eastAsia="zh-CN"/>
        </w:rPr>
        <w:t>（22:00-6:00）</w:t>
      </w:r>
      <w:r>
        <w:rPr>
          <w:rFonts w:hint="default" w:ascii="Times New Roman" w:hAnsi="Times New Roman" w:cs="Times New Roman"/>
          <w:color w:val="auto"/>
          <w:highlight w:val="none"/>
          <w:lang w:val="en-US" w:eastAsia="zh-CN"/>
        </w:rPr>
        <w:t>施工，从严控制车辆鸣笛；</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②建设单位应合理安排施工进度，避免高噪声设备集中运作，尽量将高噪声设备摆放在距离厂界和敏感目标（一层村）较远的位置，并定期进行维护和检修；</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③对高噪声设备进行隔声减震处理。</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施工期固体废物处置分析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根据本项目工程特点，施工期的固体废物主要为施工人员的生活垃圾、施工建筑垃圾等。</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（1）施工人员生活垃圾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本项目施工人员产生的生活垃圾最大产生量约9 kg/d，</w:t>
      </w:r>
      <w:r>
        <w:rPr>
          <w:rFonts w:hint="default" w:ascii="Times New Roman" w:hAnsi="Times New Roman" w:cs="Times New Roman"/>
          <w:color w:val="auto"/>
          <w:highlight w:val="none"/>
        </w:rPr>
        <w:t>主要成分为厨余物和纸张、塑料等废弃包装物（袋）等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由当地环卫部门统一清运；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施工建筑垃圾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建筑垃圾主要为废零部件，废钢材、废木材、废管道、管道边角料、焊渣等。通常此类固体废物可根据当地实际情况作填埋洼地、筑路利用，不能利用的部分可委托当地建筑渣土管理部门统一清运到环卫和城管部门指定地点进行填埋。本项目建筑模板、废零部件，废钢材、废木材、废管道、管道边角料、焊渣等可回收综合利用，废砖、混凝土渣、废土石方和废木材等建筑材料废弃物可作为本项目厂区场地平整填方，以实现固体废物的资源化、减量化。</w:t>
      </w:r>
    </w:p>
    <w:p>
      <w:pPr>
        <w:pStyle w:val="3"/>
        <w:numPr>
          <w:ilvl w:val="1"/>
          <w:numId w:val="3"/>
        </w:numPr>
        <w:bidi w:val="0"/>
        <w:rPr>
          <w:rFonts w:hint="default" w:ascii="Times New Roman" w:hAnsi="Times New Roman" w:cs="Times New Roman"/>
          <w:color w:val="auto"/>
          <w:highlight w:val="none"/>
          <w:lang w:val="en-US" w:eastAsia="zh-CN"/>
        </w:rPr>
      </w:pPr>
      <w:bookmarkStart w:id="493" w:name="_Toc7693"/>
      <w:bookmarkStart w:id="494" w:name="_Toc21732"/>
      <w:bookmarkStart w:id="495" w:name="_Toc11282"/>
      <w:bookmarkStart w:id="496" w:name="_Toc22536"/>
      <w:r>
        <w:rPr>
          <w:rFonts w:hint="default" w:ascii="Times New Roman" w:hAnsi="Times New Roman" w:cs="Times New Roman"/>
          <w:color w:val="auto"/>
          <w:highlight w:val="none"/>
          <w:lang w:val="en-US" w:eastAsia="zh-CN"/>
        </w:rPr>
        <w:t>运营期大气环境影响预测与评价</w:t>
      </w:r>
      <w:bookmarkEnd w:id="493"/>
      <w:bookmarkEnd w:id="494"/>
      <w:bookmarkEnd w:id="495"/>
      <w:bookmarkEnd w:id="496"/>
    </w:p>
    <w:p>
      <w:pPr>
        <w:pStyle w:val="4"/>
        <w:numPr>
          <w:ilvl w:val="2"/>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气象特征</w:t>
      </w:r>
    </w:p>
    <w:p>
      <w:pPr>
        <w:pStyle w:val="5"/>
        <w:numPr>
          <w:ilvl w:val="3"/>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气象资料统计分析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霞浦县气象站（58843）位于福建省宁德市</w:t>
      </w:r>
      <w:r>
        <w:rPr>
          <w:rFonts w:hint="eastAsia" w:cs="Times New Roman"/>
          <w:color w:val="auto"/>
          <w:highlight w:val="none"/>
          <w:lang w:val="en-US" w:eastAsia="zh-CN"/>
        </w:rPr>
        <w:t>霞浦县</w:t>
      </w:r>
      <w:r>
        <w:rPr>
          <w:rFonts w:hint="default" w:ascii="Times New Roman" w:hAnsi="Times New Roman" w:cs="Times New Roman"/>
          <w:color w:val="auto"/>
          <w:highlight w:val="none"/>
          <w:lang w:val="en-US" w:eastAsia="zh-CN"/>
        </w:rPr>
        <w:t>，地理坐标为东经120.017度，北纬26.883度。气象站始建于1960年，1960年正式进行气象观测，距离本项目约19.5km，是距本项目最近的国家气象站，拥有长期的气象观测资料。符合导则关于地面气象观测资料调查的要求。</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根据霞浦国家基准气候站2000-2019年的观测数据统计，该站多年平均气温为19.32 ℃，最高气温为37.68 ℃，出现在7月份，最低气温为</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0.34 ℃，出现在1月份；多年平均气压1009.57 hPa，多年平均相对湿度76.60%；多年平均降雨量（mm）1657.40 mm；多年实测极大风速（m/s）为30.48 m/s；多年静风频率（风速≤0.2 m/s）为10.50%。霞浦气象站近20年常规气象项目统计见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_Ref20620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97" w:name="_Ref20620"/>
      <w:bookmarkEnd w:id="497"/>
      <w:r>
        <w:rPr>
          <w:rFonts w:hint="default" w:ascii="Times New Roman" w:hAnsi="Times New Roman" w:cs="Times New Roman"/>
          <w:color w:val="auto"/>
          <w:highlight w:val="none"/>
          <w:lang w:val="en-US" w:eastAsia="zh-CN"/>
        </w:rPr>
        <w:t>霞浦气象站常规气象项目统计（2000-2019）</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24"/>
          <w:szCs w:val="24"/>
          <w:highlight w:val="none"/>
          <w:lang w:val="en-US" w:eastAsia="zh-CN" w:bidi="ar-SA"/>
        </w:rPr>
        <w:t>气象站多年观测数据统计</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据霞浦气象站2000～2019年累计气象观测资料统计，主要气象特征如下：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（1）气温</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霞浦县1月份平均气温最低9.76 ℃，7月份平均气温最高28.74 ℃，年平均气温19.32 ℃。霞浦县累年平均气温统计见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_Ref2100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98" w:name="_Ref2100"/>
      <w:r>
        <w:rPr>
          <w:rFonts w:hint="default" w:ascii="Times New Roman" w:hAnsi="Times New Roman" w:cs="Times New Roman"/>
          <w:color w:val="auto"/>
          <w:highlight w:val="none"/>
          <w:lang w:val="en-US" w:eastAsia="zh-CN"/>
        </w:rPr>
        <w:t>霞浦县2000-2019年平均气温的月变化</w:t>
      </w:r>
      <w:bookmarkEnd w:id="498"/>
    </w:p>
    <w:tbl>
      <w:tblPr>
        <w:tblStyle w:val="17"/>
        <w:tblW w:w="906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871"/>
        <w:gridCol w:w="588"/>
        <w:gridCol w:w="682"/>
        <w:gridCol w:w="636"/>
        <w:gridCol w:w="589"/>
        <w:gridCol w:w="636"/>
        <w:gridCol w:w="589"/>
        <w:gridCol w:w="636"/>
        <w:gridCol w:w="636"/>
        <w:gridCol w:w="636"/>
        <w:gridCol w:w="589"/>
        <w:gridCol w:w="665"/>
        <w:gridCol w:w="598"/>
        <w:gridCol w:w="7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7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月份</w:t>
            </w:r>
          </w:p>
        </w:tc>
        <w:tc>
          <w:tcPr>
            <w:tcW w:w="58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1月</w:t>
            </w:r>
          </w:p>
        </w:tc>
        <w:tc>
          <w:tcPr>
            <w:tcW w:w="68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2月</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3月</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4月</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5月</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6月</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7月</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8月</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9月</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10月</w:t>
            </w:r>
          </w:p>
        </w:tc>
        <w:tc>
          <w:tcPr>
            <w:tcW w:w="66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11月</w:t>
            </w:r>
          </w:p>
        </w:tc>
        <w:tc>
          <w:tcPr>
            <w:tcW w:w="59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12月</w:t>
            </w:r>
          </w:p>
        </w:tc>
        <w:tc>
          <w:tcPr>
            <w:tcW w:w="710"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87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温度℃</w:t>
            </w:r>
          </w:p>
        </w:tc>
        <w:tc>
          <w:tcPr>
            <w:tcW w:w="58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9.76</w:t>
            </w:r>
          </w:p>
        </w:tc>
        <w:tc>
          <w:tcPr>
            <w:tcW w:w="68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10.3</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12.66</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17.26</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21.77</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25.47</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28.74</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28.43</w:t>
            </w:r>
          </w:p>
        </w:tc>
        <w:tc>
          <w:tcPr>
            <w:tcW w:w="63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26.15</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21.85</w:t>
            </w:r>
          </w:p>
        </w:tc>
        <w:tc>
          <w:tcPr>
            <w:tcW w:w="66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17.33</w:t>
            </w:r>
          </w:p>
        </w:tc>
        <w:tc>
          <w:tcPr>
            <w:tcW w:w="59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12.2</w:t>
            </w:r>
          </w:p>
        </w:tc>
        <w:tc>
          <w:tcPr>
            <w:tcW w:w="710"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19.32</w:t>
            </w:r>
          </w:p>
        </w:tc>
      </w:tr>
    </w:tbl>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273675" cy="2503805"/>
            <wp:effectExtent l="0" t="0" r="3175" b="10795"/>
            <wp:docPr id="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0"/>
                    <pic:cNvPicPr>
                      <a:picLocks noChangeAspect="1"/>
                    </pic:cNvPicPr>
                  </pic:nvPicPr>
                  <pic:blipFill>
                    <a:blip r:embed="rId98"/>
                    <a:stretch>
                      <a:fillRect/>
                    </a:stretch>
                  </pic:blipFill>
                  <pic:spPr>
                    <a:xfrm>
                      <a:off x="0" y="0"/>
                      <a:ext cx="5273675" cy="2503805"/>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霞浦县2000-2019年平均气温的月变化</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（2）湿度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霞浦县年平均相对湿度为77.01%。全年都比较湿润，每个月湿度都比较接近，变化不大。霞浦县累年平均相对湿度统计见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_Ref4451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499" w:name="_Ref4451"/>
      <w:r>
        <w:rPr>
          <w:rFonts w:hint="default" w:ascii="Times New Roman" w:hAnsi="Times New Roman" w:cs="Times New Roman"/>
          <w:color w:val="auto"/>
          <w:highlight w:val="none"/>
          <w:lang w:val="en-US" w:eastAsia="zh-CN"/>
        </w:rPr>
        <w:t>霞浦县2000-2019年平均湿度的月变化</w:t>
      </w:r>
      <w:bookmarkEnd w:id="499"/>
    </w:p>
    <w:tbl>
      <w:tblPr>
        <w:tblStyle w:val="17"/>
        <w:tblW w:w="906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871"/>
        <w:gridCol w:w="588"/>
        <w:gridCol w:w="681"/>
        <w:gridCol w:w="635"/>
        <w:gridCol w:w="588"/>
        <w:gridCol w:w="635"/>
        <w:gridCol w:w="588"/>
        <w:gridCol w:w="635"/>
        <w:gridCol w:w="635"/>
        <w:gridCol w:w="635"/>
        <w:gridCol w:w="588"/>
        <w:gridCol w:w="589"/>
        <w:gridCol w:w="682"/>
        <w:gridCol w:w="7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7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月份</w:t>
            </w:r>
          </w:p>
        </w:tc>
        <w:tc>
          <w:tcPr>
            <w:tcW w:w="58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1月</w:t>
            </w:r>
          </w:p>
        </w:tc>
        <w:tc>
          <w:tcPr>
            <w:tcW w:w="68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2月</w:t>
            </w:r>
          </w:p>
        </w:tc>
        <w:tc>
          <w:tcPr>
            <w:tcW w:w="63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3月</w:t>
            </w:r>
          </w:p>
        </w:tc>
        <w:tc>
          <w:tcPr>
            <w:tcW w:w="58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4月</w:t>
            </w:r>
          </w:p>
        </w:tc>
        <w:tc>
          <w:tcPr>
            <w:tcW w:w="63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5月</w:t>
            </w:r>
          </w:p>
        </w:tc>
        <w:tc>
          <w:tcPr>
            <w:tcW w:w="58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6月</w:t>
            </w:r>
          </w:p>
        </w:tc>
        <w:tc>
          <w:tcPr>
            <w:tcW w:w="63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7月</w:t>
            </w:r>
          </w:p>
        </w:tc>
        <w:tc>
          <w:tcPr>
            <w:tcW w:w="63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8月</w:t>
            </w:r>
          </w:p>
        </w:tc>
        <w:tc>
          <w:tcPr>
            <w:tcW w:w="63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9月</w:t>
            </w:r>
          </w:p>
        </w:tc>
        <w:tc>
          <w:tcPr>
            <w:tcW w:w="58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10月</w:t>
            </w:r>
          </w:p>
        </w:tc>
        <w:tc>
          <w:tcPr>
            <w:tcW w:w="58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11月</w:t>
            </w:r>
          </w:p>
        </w:tc>
        <w:tc>
          <w:tcPr>
            <w:tcW w:w="68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12月</w:t>
            </w:r>
          </w:p>
        </w:tc>
        <w:tc>
          <w:tcPr>
            <w:tcW w:w="713"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7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湿度%</w:t>
            </w:r>
          </w:p>
        </w:tc>
        <w:tc>
          <w:tcPr>
            <w:tcW w:w="588"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75.18</w:t>
            </w:r>
          </w:p>
        </w:tc>
        <w:tc>
          <w:tcPr>
            <w:tcW w:w="68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78.55</w:t>
            </w:r>
          </w:p>
        </w:tc>
        <w:tc>
          <w:tcPr>
            <w:tcW w:w="63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78.87</w:t>
            </w:r>
          </w:p>
        </w:tc>
        <w:tc>
          <w:tcPr>
            <w:tcW w:w="588"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79.7</w:t>
            </w:r>
          </w:p>
        </w:tc>
        <w:tc>
          <w:tcPr>
            <w:tcW w:w="63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80.95</w:t>
            </w:r>
          </w:p>
        </w:tc>
        <w:tc>
          <w:tcPr>
            <w:tcW w:w="588"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83.38</w:t>
            </w:r>
          </w:p>
        </w:tc>
        <w:tc>
          <w:tcPr>
            <w:tcW w:w="63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78.29</w:t>
            </w:r>
          </w:p>
        </w:tc>
        <w:tc>
          <w:tcPr>
            <w:tcW w:w="63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78.71</w:t>
            </w:r>
          </w:p>
        </w:tc>
        <w:tc>
          <w:tcPr>
            <w:tcW w:w="63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75.06</w:t>
            </w:r>
          </w:p>
        </w:tc>
        <w:tc>
          <w:tcPr>
            <w:tcW w:w="588"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70.32</w:t>
            </w:r>
          </w:p>
        </w:tc>
        <w:tc>
          <w:tcPr>
            <w:tcW w:w="589"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73.59</w:t>
            </w:r>
          </w:p>
        </w:tc>
        <w:tc>
          <w:tcPr>
            <w:tcW w:w="682"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71.59</w:t>
            </w:r>
          </w:p>
        </w:tc>
        <w:tc>
          <w:tcPr>
            <w:tcW w:w="713"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77.01</w:t>
            </w:r>
          </w:p>
        </w:tc>
      </w:tr>
    </w:tbl>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273675" cy="2497455"/>
            <wp:effectExtent l="0" t="0" r="3175" b="17145"/>
            <wp:docPr id="3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1"/>
                    <pic:cNvPicPr>
                      <a:picLocks noChangeAspect="1"/>
                    </pic:cNvPicPr>
                  </pic:nvPicPr>
                  <pic:blipFill>
                    <a:blip r:embed="rId99"/>
                    <a:stretch>
                      <a:fillRect/>
                    </a:stretch>
                  </pic:blipFill>
                  <pic:spPr>
                    <a:xfrm>
                      <a:off x="0" y="0"/>
                      <a:ext cx="5273675" cy="2497455"/>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霞浦县2000-2019年平均湿度的月变化</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（3）降水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降水集中于</w:t>
      </w:r>
      <w:r>
        <w:rPr>
          <w:rFonts w:hint="default" w:ascii="Times New Roman" w:hAnsi="Times New Roman" w:cs="Times New Roman"/>
          <w:color w:val="auto"/>
          <w:highlight w:val="none"/>
          <w:lang w:eastAsia="zh-CN"/>
        </w:rPr>
        <w:t>春</w:t>
      </w:r>
      <w:r>
        <w:rPr>
          <w:rFonts w:hint="default" w:ascii="Times New Roman" w:hAnsi="Times New Roman" w:cs="Times New Roman"/>
          <w:color w:val="auto"/>
          <w:highlight w:val="none"/>
        </w:rPr>
        <w:t>夏季，</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月份降水量最低为</w:t>
      </w:r>
      <w:r>
        <w:rPr>
          <w:rFonts w:hint="default" w:ascii="Times New Roman" w:hAnsi="Times New Roman" w:cs="Times New Roman"/>
          <w:color w:val="auto"/>
          <w:highlight w:val="none"/>
          <w:lang w:val="en-US" w:eastAsia="zh-CN"/>
        </w:rPr>
        <w:t xml:space="preserve">44.04 </w:t>
      </w:r>
      <w:r>
        <w:rPr>
          <w:rFonts w:hint="default" w:ascii="Times New Roman" w:hAnsi="Times New Roman" w:cs="Times New Roman"/>
          <w:color w:val="auto"/>
          <w:highlight w:val="none"/>
        </w:rPr>
        <w:t>mm，</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月份降水量最高为</w:t>
      </w:r>
      <w:r>
        <w:rPr>
          <w:rFonts w:hint="default" w:ascii="Times New Roman" w:hAnsi="Times New Roman" w:cs="Times New Roman"/>
          <w:color w:val="auto"/>
          <w:highlight w:val="none"/>
          <w:lang w:val="en-US" w:eastAsia="zh-CN"/>
        </w:rPr>
        <w:t xml:space="preserve">248.46 </w:t>
      </w:r>
      <w:r>
        <w:rPr>
          <w:rFonts w:hint="default" w:ascii="Times New Roman" w:hAnsi="Times New Roman" w:cs="Times New Roman"/>
          <w:color w:val="auto"/>
          <w:highlight w:val="none"/>
        </w:rPr>
        <w:t>mm，全年降水量为</w:t>
      </w:r>
      <w:r>
        <w:rPr>
          <w:rFonts w:hint="default" w:ascii="Times New Roman" w:hAnsi="Times New Roman" w:cs="Times New Roman"/>
          <w:color w:val="auto"/>
          <w:highlight w:val="none"/>
          <w:lang w:val="en-US" w:eastAsia="zh-CN"/>
        </w:rPr>
        <w:t xml:space="preserve">1428.03 </w:t>
      </w:r>
      <w:r>
        <w:rPr>
          <w:rFonts w:hint="default" w:ascii="Times New Roman" w:hAnsi="Times New Roman" w:cs="Times New Roman"/>
          <w:color w:val="auto"/>
          <w:highlight w:val="none"/>
        </w:rPr>
        <w:t>mm。</w:t>
      </w: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累年平均降水统计见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_Ref5160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图5.2-3</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霞浦县2000-2019年平均降水的月变化</w:t>
      </w:r>
    </w:p>
    <w:tbl>
      <w:tblPr>
        <w:tblStyle w:val="17"/>
        <w:tblW w:w="906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104"/>
        <w:gridCol w:w="655"/>
        <w:gridCol w:w="521"/>
        <w:gridCol w:w="594"/>
        <w:gridCol w:w="594"/>
        <w:gridCol w:w="657"/>
        <w:gridCol w:w="692"/>
        <w:gridCol w:w="594"/>
        <w:gridCol w:w="686"/>
        <w:gridCol w:w="657"/>
        <w:gridCol w:w="532"/>
        <w:gridCol w:w="579"/>
        <w:gridCol w:w="490"/>
        <w:gridCol w:w="7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10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月份</w:t>
            </w:r>
          </w:p>
        </w:tc>
        <w:tc>
          <w:tcPr>
            <w:tcW w:w="655"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1月</w:t>
            </w:r>
          </w:p>
        </w:tc>
        <w:tc>
          <w:tcPr>
            <w:tcW w:w="52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2月</w:t>
            </w:r>
          </w:p>
        </w:tc>
        <w:tc>
          <w:tcPr>
            <w:tcW w:w="59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3月</w:t>
            </w:r>
          </w:p>
        </w:tc>
        <w:tc>
          <w:tcPr>
            <w:tcW w:w="59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4月</w:t>
            </w:r>
          </w:p>
        </w:tc>
        <w:tc>
          <w:tcPr>
            <w:tcW w:w="65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5月</w:t>
            </w:r>
          </w:p>
        </w:tc>
        <w:tc>
          <w:tcPr>
            <w:tcW w:w="692"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6月</w:t>
            </w:r>
          </w:p>
        </w:tc>
        <w:tc>
          <w:tcPr>
            <w:tcW w:w="59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7月</w:t>
            </w:r>
          </w:p>
        </w:tc>
        <w:tc>
          <w:tcPr>
            <w:tcW w:w="686"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8月</w:t>
            </w:r>
          </w:p>
        </w:tc>
        <w:tc>
          <w:tcPr>
            <w:tcW w:w="65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9月</w:t>
            </w:r>
          </w:p>
        </w:tc>
        <w:tc>
          <w:tcPr>
            <w:tcW w:w="532"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10月</w:t>
            </w:r>
          </w:p>
        </w:tc>
        <w:tc>
          <w:tcPr>
            <w:tcW w:w="57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11月</w:t>
            </w:r>
          </w:p>
        </w:tc>
        <w:tc>
          <w:tcPr>
            <w:tcW w:w="490"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12月</w:t>
            </w:r>
          </w:p>
        </w:tc>
        <w:tc>
          <w:tcPr>
            <w:tcW w:w="710"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10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降水量mm</w:t>
            </w:r>
          </w:p>
        </w:tc>
        <w:tc>
          <w:tcPr>
            <w:tcW w:w="655"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59.14</w:t>
            </w:r>
          </w:p>
        </w:tc>
        <w:tc>
          <w:tcPr>
            <w:tcW w:w="52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69.11</w:t>
            </w:r>
          </w:p>
        </w:tc>
        <w:tc>
          <w:tcPr>
            <w:tcW w:w="59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109.08</w:t>
            </w:r>
          </w:p>
        </w:tc>
        <w:tc>
          <w:tcPr>
            <w:tcW w:w="59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127.49</w:t>
            </w:r>
          </w:p>
        </w:tc>
        <w:tc>
          <w:tcPr>
            <w:tcW w:w="6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147.18</w:t>
            </w:r>
          </w:p>
        </w:tc>
        <w:tc>
          <w:tcPr>
            <w:tcW w:w="69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248.46</w:t>
            </w:r>
          </w:p>
        </w:tc>
        <w:tc>
          <w:tcPr>
            <w:tcW w:w="59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150.58</w:t>
            </w:r>
          </w:p>
        </w:tc>
        <w:tc>
          <w:tcPr>
            <w:tcW w:w="68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223.38</w:t>
            </w:r>
          </w:p>
        </w:tc>
        <w:tc>
          <w:tcPr>
            <w:tcW w:w="6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125.21</w:t>
            </w:r>
          </w:p>
        </w:tc>
        <w:tc>
          <w:tcPr>
            <w:tcW w:w="53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44.04</w:t>
            </w:r>
          </w:p>
        </w:tc>
        <w:tc>
          <w:tcPr>
            <w:tcW w:w="57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74.55</w:t>
            </w:r>
          </w:p>
        </w:tc>
        <w:tc>
          <w:tcPr>
            <w:tcW w:w="4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49.81</w:t>
            </w:r>
          </w:p>
        </w:tc>
        <w:tc>
          <w:tcPr>
            <w:tcW w:w="71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1428.03</w:t>
            </w:r>
          </w:p>
        </w:tc>
      </w:tr>
    </w:tbl>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274310" cy="2475865"/>
            <wp:effectExtent l="0" t="0" r="2540" b="635"/>
            <wp:docPr id="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2"/>
                    <pic:cNvPicPr>
                      <a:picLocks noChangeAspect="1"/>
                    </pic:cNvPicPr>
                  </pic:nvPicPr>
                  <pic:blipFill>
                    <a:blip r:embed="rId100"/>
                    <a:stretch>
                      <a:fillRect/>
                    </a:stretch>
                  </pic:blipFill>
                  <pic:spPr>
                    <a:xfrm>
                      <a:off x="0" y="0"/>
                      <a:ext cx="5274310" cy="2475865"/>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500" w:name="_Ref5160"/>
      <w:r>
        <w:rPr>
          <w:rFonts w:hint="default" w:ascii="Times New Roman" w:hAnsi="Times New Roman" w:cs="Times New Roman"/>
          <w:color w:val="auto"/>
          <w:highlight w:val="none"/>
          <w:lang w:val="en-US" w:eastAsia="zh-CN"/>
        </w:rPr>
        <w:t>霞浦县2000-2019年平均降水量的月变化</w:t>
      </w:r>
      <w:bookmarkEnd w:id="500"/>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（4）日照时数</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全年日照时数为</w:t>
      </w:r>
      <w:r>
        <w:rPr>
          <w:rFonts w:hint="default" w:ascii="Times New Roman" w:hAnsi="Times New Roman" w:cs="Times New Roman"/>
          <w:color w:val="auto"/>
          <w:highlight w:val="none"/>
          <w:lang w:val="en-US" w:eastAsia="zh-CN"/>
        </w:rPr>
        <w:t xml:space="preserve">1650.84 </w:t>
      </w:r>
      <w:r>
        <w:rPr>
          <w:rFonts w:hint="default" w:ascii="Times New Roman" w:hAnsi="Times New Roman" w:cs="Times New Roman"/>
          <w:color w:val="auto"/>
          <w:highlight w:val="none"/>
        </w:rPr>
        <w:t>h，</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月份最高为</w:t>
      </w:r>
      <w:r>
        <w:rPr>
          <w:rFonts w:hint="default" w:ascii="Times New Roman" w:hAnsi="Times New Roman" w:cs="Times New Roman"/>
          <w:color w:val="auto"/>
          <w:highlight w:val="none"/>
          <w:lang w:val="en-US" w:eastAsia="zh-CN"/>
        </w:rPr>
        <w:t xml:space="preserve">241.54 </w:t>
      </w:r>
      <w:r>
        <w:rPr>
          <w:rFonts w:hint="default" w:ascii="Times New Roman" w:hAnsi="Times New Roman" w:cs="Times New Roman"/>
          <w:color w:val="auto"/>
          <w:highlight w:val="none"/>
        </w:rPr>
        <w:t>h，</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月份最低为</w:t>
      </w:r>
      <w:r>
        <w:rPr>
          <w:rFonts w:hint="default" w:ascii="Times New Roman" w:hAnsi="Times New Roman" w:cs="Times New Roman"/>
          <w:color w:val="auto"/>
          <w:highlight w:val="none"/>
          <w:lang w:val="en-US" w:eastAsia="zh-CN"/>
        </w:rPr>
        <w:t xml:space="preserve">79.74 </w:t>
      </w:r>
      <w:r>
        <w:rPr>
          <w:rFonts w:hint="default" w:ascii="Times New Roman" w:hAnsi="Times New Roman" w:cs="Times New Roman"/>
          <w:color w:val="auto"/>
          <w:highlight w:val="none"/>
        </w:rPr>
        <w:t>h。</w:t>
      </w: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累年平均日照时数统计见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_Ref5538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表5.2-5</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rPr>
      </w:pPr>
    </w:p>
    <w:p>
      <w:pPr>
        <w:bidi w:val="0"/>
        <w:rPr>
          <w:rFonts w:hint="default" w:ascii="Times New Roman" w:hAnsi="Times New Roman" w:cs="Times New Roman"/>
          <w:color w:val="auto"/>
          <w:highlight w:val="none"/>
          <w:lang w:val="en-US" w:eastAsia="zh-CN"/>
        </w:r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01" w:name="_Ref5538"/>
      <w:r>
        <w:rPr>
          <w:rFonts w:hint="default" w:ascii="Times New Roman" w:hAnsi="Times New Roman" w:cs="Times New Roman"/>
          <w:color w:val="auto"/>
          <w:highlight w:val="none"/>
          <w:lang w:val="en-US" w:eastAsia="zh-CN"/>
        </w:rPr>
        <w:t>霞浦县2000-2019年平均日照时数的月变化</w:t>
      </w:r>
      <w:bookmarkEnd w:id="501"/>
    </w:p>
    <w:tbl>
      <w:tblPr>
        <w:tblStyle w:val="17"/>
        <w:tblW w:w="906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709"/>
        <w:gridCol w:w="633"/>
        <w:gridCol w:w="633"/>
        <w:gridCol w:w="633"/>
        <w:gridCol w:w="633"/>
        <w:gridCol w:w="633"/>
        <w:gridCol w:w="633"/>
        <w:gridCol w:w="633"/>
        <w:gridCol w:w="633"/>
        <w:gridCol w:w="633"/>
        <w:gridCol w:w="633"/>
        <w:gridCol w:w="633"/>
        <w:gridCol w:w="634"/>
        <w:gridCol w:w="7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月份</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11月</w:t>
            </w:r>
          </w:p>
        </w:tc>
        <w:tc>
          <w:tcPr>
            <w:tcW w:w="63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12月</w:t>
            </w:r>
          </w:p>
        </w:tc>
        <w:tc>
          <w:tcPr>
            <w:tcW w:w="75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日照时数h</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88.79</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79.74</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108.38</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115.58</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123.04</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133.25</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241.54</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214.39</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168.84</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161.04</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104.51</w:t>
            </w:r>
          </w:p>
        </w:tc>
        <w:tc>
          <w:tcPr>
            <w:tcW w:w="6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111.74</w:t>
            </w:r>
          </w:p>
        </w:tc>
        <w:tc>
          <w:tcPr>
            <w:tcW w:w="75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1650.84</w:t>
            </w:r>
          </w:p>
        </w:tc>
      </w:tr>
    </w:tbl>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896485" cy="2289810"/>
            <wp:effectExtent l="0" t="0" r="18415" b="15240"/>
            <wp:docPr id="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3"/>
                    <pic:cNvPicPr>
                      <a:picLocks noChangeAspect="1"/>
                    </pic:cNvPicPr>
                  </pic:nvPicPr>
                  <pic:blipFill>
                    <a:blip r:embed="rId101"/>
                    <a:stretch>
                      <a:fillRect/>
                    </a:stretch>
                  </pic:blipFill>
                  <pic:spPr>
                    <a:xfrm>
                      <a:off x="0" y="0"/>
                      <a:ext cx="4896485" cy="2289810"/>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霞浦县2000-2019年平均日照时数的月变化</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（5）风速</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年平均风速2.</w:t>
      </w:r>
      <w:r>
        <w:rPr>
          <w:rFonts w:hint="default" w:ascii="Times New Roman" w:hAnsi="Times New Roman" w:cs="Times New Roman"/>
          <w:color w:val="auto"/>
          <w:highlight w:val="none"/>
          <w:lang w:val="en-US" w:eastAsia="zh-CN"/>
        </w:rPr>
        <w:t xml:space="preserve">2 </w:t>
      </w:r>
      <w:r>
        <w:rPr>
          <w:rFonts w:hint="default" w:ascii="Times New Roman" w:hAnsi="Times New Roman" w:cs="Times New Roman"/>
          <w:color w:val="auto"/>
          <w:highlight w:val="none"/>
        </w:rPr>
        <w:t>m/s，月平均风速</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月份相对较大为2.</w:t>
      </w:r>
      <w:r>
        <w:rPr>
          <w:rFonts w:hint="default" w:ascii="Times New Roman" w:hAnsi="Times New Roman" w:cs="Times New Roman"/>
          <w:color w:val="auto"/>
          <w:highlight w:val="none"/>
          <w:lang w:val="en-US" w:eastAsia="zh-CN"/>
        </w:rPr>
        <w:t xml:space="preserve">66 </w:t>
      </w:r>
      <w:r>
        <w:rPr>
          <w:rFonts w:hint="default" w:ascii="Times New Roman" w:hAnsi="Times New Roman" w:cs="Times New Roman"/>
          <w:color w:val="auto"/>
          <w:highlight w:val="none"/>
        </w:rPr>
        <w:t>m/s，</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月份相对较小为</w:t>
      </w:r>
      <w:r>
        <w:rPr>
          <w:rFonts w:hint="default" w:ascii="Times New Roman" w:hAnsi="Times New Roman" w:cs="Times New Roman"/>
          <w:color w:val="auto"/>
          <w:highlight w:val="none"/>
          <w:lang w:val="en-US" w:eastAsia="zh-CN"/>
        </w:rPr>
        <w:t xml:space="preserve">1.83 </w:t>
      </w:r>
      <w:r>
        <w:rPr>
          <w:rFonts w:hint="default" w:ascii="Times New Roman" w:hAnsi="Times New Roman" w:cs="Times New Roman"/>
          <w:color w:val="auto"/>
          <w:highlight w:val="none"/>
        </w:rPr>
        <w:t>m/s。</w:t>
      </w: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累年平均风速统计见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_Ref6022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表5.2-6</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rPr>
      </w:pPr>
      <w:bookmarkStart w:id="502" w:name="_Ref6022"/>
      <w:r>
        <w:rPr>
          <w:rFonts w:hint="default" w:ascii="Times New Roman" w:hAnsi="Times New Roman" w:cs="Times New Roman"/>
          <w:color w:val="auto"/>
          <w:highlight w:val="none"/>
          <w:lang w:val="en-US" w:eastAsia="zh-CN"/>
        </w:rPr>
        <w:t>霞浦县2000-2019年平均风速的月变化</w:t>
      </w:r>
      <w:bookmarkEnd w:id="502"/>
    </w:p>
    <w:tbl>
      <w:tblPr>
        <w:tblStyle w:val="17"/>
        <w:tblW w:w="906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871"/>
        <w:gridCol w:w="591"/>
        <w:gridCol w:w="678"/>
        <w:gridCol w:w="633"/>
        <w:gridCol w:w="591"/>
        <w:gridCol w:w="633"/>
        <w:gridCol w:w="591"/>
        <w:gridCol w:w="633"/>
        <w:gridCol w:w="633"/>
        <w:gridCol w:w="633"/>
        <w:gridCol w:w="591"/>
        <w:gridCol w:w="592"/>
        <w:gridCol w:w="679"/>
        <w:gridCol w:w="7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7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月份</w:t>
            </w:r>
          </w:p>
        </w:tc>
        <w:tc>
          <w:tcPr>
            <w:tcW w:w="59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1月</w:t>
            </w:r>
          </w:p>
        </w:tc>
        <w:tc>
          <w:tcPr>
            <w:tcW w:w="678"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3月</w:t>
            </w:r>
          </w:p>
        </w:tc>
        <w:tc>
          <w:tcPr>
            <w:tcW w:w="59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5月</w:t>
            </w:r>
          </w:p>
        </w:tc>
        <w:tc>
          <w:tcPr>
            <w:tcW w:w="59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8月</w:t>
            </w:r>
          </w:p>
        </w:tc>
        <w:tc>
          <w:tcPr>
            <w:tcW w:w="6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9月</w:t>
            </w:r>
          </w:p>
        </w:tc>
        <w:tc>
          <w:tcPr>
            <w:tcW w:w="59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10月</w:t>
            </w:r>
          </w:p>
        </w:tc>
        <w:tc>
          <w:tcPr>
            <w:tcW w:w="592"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11月</w:t>
            </w:r>
          </w:p>
        </w:tc>
        <w:tc>
          <w:tcPr>
            <w:tcW w:w="67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12月</w:t>
            </w:r>
          </w:p>
        </w:tc>
        <w:tc>
          <w:tcPr>
            <w:tcW w:w="71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7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风速m/s</w:t>
            </w:r>
          </w:p>
        </w:tc>
        <w:tc>
          <w:tcPr>
            <w:tcW w:w="59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w:t>
            </w:r>
          </w:p>
        </w:tc>
        <w:tc>
          <w:tcPr>
            <w:tcW w:w="678"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2.05</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2.03</w:t>
            </w:r>
          </w:p>
        </w:tc>
        <w:tc>
          <w:tcPr>
            <w:tcW w:w="59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1.89</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1.93</w:t>
            </w:r>
          </w:p>
        </w:tc>
        <w:tc>
          <w:tcPr>
            <w:tcW w:w="59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1.83</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2.49</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2.57</w:t>
            </w:r>
          </w:p>
        </w:tc>
        <w:tc>
          <w:tcPr>
            <w:tcW w:w="6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2.66</w:t>
            </w:r>
          </w:p>
        </w:tc>
        <w:tc>
          <w:tcPr>
            <w:tcW w:w="59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2.51</w:t>
            </w:r>
          </w:p>
        </w:tc>
        <w:tc>
          <w:tcPr>
            <w:tcW w:w="59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2.23</w:t>
            </w:r>
          </w:p>
        </w:tc>
        <w:tc>
          <w:tcPr>
            <w:tcW w:w="67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2.15</w:t>
            </w:r>
          </w:p>
        </w:tc>
        <w:tc>
          <w:tcPr>
            <w:tcW w:w="71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r>
    </w:tbl>
    <w:p>
      <w:pPr>
        <w:bidi w:val="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032375" cy="2428240"/>
            <wp:effectExtent l="0" t="0" r="15875" b="10160"/>
            <wp:docPr id="4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4"/>
                    <pic:cNvPicPr>
                      <a:picLocks noChangeAspect="1"/>
                    </pic:cNvPicPr>
                  </pic:nvPicPr>
                  <pic:blipFill>
                    <a:blip r:embed="rId102"/>
                    <a:stretch>
                      <a:fillRect/>
                    </a:stretch>
                  </pic:blipFill>
                  <pic:spPr>
                    <a:xfrm>
                      <a:off x="0" y="0"/>
                      <a:ext cx="5032375" cy="2428240"/>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霞浦县2000-2019年平均风速的月变化</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（6）风频</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累年风频最多的是SE，频率为</w:t>
      </w:r>
      <w:r>
        <w:rPr>
          <w:rFonts w:hint="default" w:ascii="Times New Roman" w:hAnsi="Times New Roman" w:cs="Times New Roman"/>
          <w:color w:val="auto"/>
          <w:highlight w:val="none"/>
          <w:lang w:val="en-US" w:eastAsia="zh-CN"/>
        </w:rPr>
        <w:t>10.31</w:t>
      </w:r>
      <w:r>
        <w:rPr>
          <w:rFonts w:hint="default" w:ascii="Times New Roman" w:hAnsi="Times New Roman" w:cs="Times New Roman"/>
          <w:color w:val="auto"/>
          <w:highlight w:val="none"/>
        </w:rPr>
        <w:t>%；其次是NW，频率为</w:t>
      </w:r>
      <w:r>
        <w:rPr>
          <w:rFonts w:hint="default" w:ascii="Times New Roman" w:hAnsi="Times New Roman" w:cs="Times New Roman"/>
          <w:color w:val="auto"/>
          <w:highlight w:val="none"/>
          <w:lang w:val="en-US" w:eastAsia="zh-CN"/>
        </w:rPr>
        <w:t>9.36</w:t>
      </w:r>
      <w:r>
        <w:rPr>
          <w:rFonts w:hint="default" w:ascii="Times New Roman" w:hAnsi="Times New Roman" w:cs="Times New Roman"/>
          <w:color w:val="auto"/>
          <w:highlight w:val="none"/>
        </w:rPr>
        <w:t>%，NNE最少，频率为</w:t>
      </w:r>
      <w:r>
        <w:rPr>
          <w:rFonts w:hint="default" w:ascii="Times New Roman" w:hAnsi="Times New Roman" w:cs="Times New Roman"/>
          <w:color w:val="auto"/>
          <w:highlight w:val="none"/>
          <w:lang w:val="en-US" w:eastAsia="zh-CN"/>
        </w:rPr>
        <w:t>3.54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累年风频统计</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_Ref6407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和风频玫瑰图见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_Ref6701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图5.2-6</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03" w:name="_Ref6407"/>
      <w:r>
        <w:rPr>
          <w:rFonts w:hint="default" w:ascii="Times New Roman" w:hAnsi="Times New Roman" w:cs="Times New Roman"/>
          <w:color w:val="auto"/>
          <w:highlight w:val="none"/>
          <w:lang w:val="en-US" w:eastAsia="zh-CN"/>
        </w:rPr>
        <w:t>霞浦县2000-2019年平均风频的月变化(%)</w:t>
      </w:r>
      <w:bookmarkEnd w:id="503"/>
    </w:p>
    <w:tbl>
      <w:tblPr>
        <w:tblStyle w:val="17"/>
        <w:tblW w:w="919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34"/>
        <w:gridCol w:w="456"/>
        <w:gridCol w:w="457"/>
        <w:gridCol w:w="457"/>
        <w:gridCol w:w="426"/>
        <w:gridCol w:w="384"/>
        <w:gridCol w:w="489"/>
        <w:gridCol w:w="590"/>
        <w:gridCol w:w="522"/>
        <w:gridCol w:w="570"/>
        <w:gridCol w:w="522"/>
        <w:gridCol w:w="503"/>
        <w:gridCol w:w="533"/>
        <w:gridCol w:w="501"/>
        <w:gridCol w:w="566"/>
        <w:gridCol w:w="544"/>
        <w:gridCol w:w="520"/>
        <w:gridCol w:w="6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月份</w:t>
            </w:r>
          </w:p>
        </w:tc>
        <w:tc>
          <w:tcPr>
            <w:tcW w:w="456"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w:t>
            </w:r>
          </w:p>
        </w:tc>
        <w:tc>
          <w:tcPr>
            <w:tcW w:w="45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NNE</w:t>
            </w:r>
          </w:p>
        </w:tc>
        <w:tc>
          <w:tcPr>
            <w:tcW w:w="457"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NE</w:t>
            </w:r>
          </w:p>
        </w:tc>
        <w:tc>
          <w:tcPr>
            <w:tcW w:w="426"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ENE</w:t>
            </w:r>
          </w:p>
        </w:tc>
        <w:tc>
          <w:tcPr>
            <w:tcW w:w="38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w:t>
            </w:r>
          </w:p>
        </w:tc>
        <w:tc>
          <w:tcPr>
            <w:tcW w:w="489"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ESE</w:t>
            </w:r>
          </w:p>
        </w:tc>
        <w:tc>
          <w:tcPr>
            <w:tcW w:w="590"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SE</w:t>
            </w:r>
          </w:p>
        </w:tc>
        <w:tc>
          <w:tcPr>
            <w:tcW w:w="522"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SSE</w:t>
            </w:r>
          </w:p>
        </w:tc>
        <w:tc>
          <w:tcPr>
            <w:tcW w:w="570"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w:t>
            </w:r>
          </w:p>
        </w:tc>
        <w:tc>
          <w:tcPr>
            <w:tcW w:w="522"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SSW</w:t>
            </w:r>
          </w:p>
        </w:tc>
        <w:tc>
          <w:tcPr>
            <w:tcW w:w="50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SW</w:t>
            </w:r>
          </w:p>
        </w:tc>
        <w:tc>
          <w:tcPr>
            <w:tcW w:w="53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WSW</w:t>
            </w:r>
          </w:p>
        </w:tc>
        <w:tc>
          <w:tcPr>
            <w:tcW w:w="501"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w:t>
            </w:r>
          </w:p>
        </w:tc>
        <w:tc>
          <w:tcPr>
            <w:tcW w:w="566"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WNW</w:t>
            </w:r>
          </w:p>
        </w:tc>
        <w:tc>
          <w:tcPr>
            <w:tcW w:w="544"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NW</w:t>
            </w:r>
          </w:p>
        </w:tc>
        <w:tc>
          <w:tcPr>
            <w:tcW w:w="520"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NNW</w:t>
            </w:r>
          </w:p>
        </w:tc>
        <w:tc>
          <w:tcPr>
            <w:tcW w:w="623" w:type="dxa"/>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4.84</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4.31</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4.22</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4.57</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5.42</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5.83</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9.57</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4.54</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4.92</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4.29</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2.92</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3.42</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7.32</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7.83</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11.4</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7.32</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4.29</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3.14</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3.79</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5.03</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5.29</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7.02</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10.39</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6.29</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6.95</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4.31</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3.63</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6.39</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7.12</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5.51</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3.09</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2.39</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3.64</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3.64</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5.85</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6.06</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12.14</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7.25</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7.03</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3.97</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3.69</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3.38</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6.39</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7.12</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8.79</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5.37</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3.14</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1.69</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2.79</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3.74</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5.64</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6.85</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13.19</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7.79</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6.79</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5.42</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4.34</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3.26</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5.44</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6.74</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7.24</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4.05</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2.19</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2.56</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3.71</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4.36</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8.16</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13.36</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7.82</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5.88</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5.53</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3.41</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3.16</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6.36</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7.61</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7.98</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3.87</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3.01</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2.48</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3.99</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3.64</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5.69</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6.94</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10.89</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7.09</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8.08</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4.59</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3.85</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4.64</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6.44</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7.13</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3.91</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3.27</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2.96</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5.09</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7.32</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6.74</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8.69</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11.64</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4.68</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7.69</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4.84</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4.63</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2.85</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4.84</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6.42</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3.47</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3.81</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3.47</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6.26</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6.96</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6.56</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9.02</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9.81</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3.44</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3.75</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2.64</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3.56</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3.07</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6.51</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10.31</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7.51</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5.11</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6.24</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5.13</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7.39</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7.47</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6.34</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8.58</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7.99</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2.17</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1.58</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0.81</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3.84</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3.69</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6.89</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11.95</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7.87</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6.72</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5.03</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8.17</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5.61</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4.92</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5.87</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7.42</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2.65</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1.52</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1.34</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3.24</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4.11</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8.66</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7.61</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13.61</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10.78</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5.47</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5.46</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5.93</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4.51</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5.52</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4.25</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7.82</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3.17</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2.29</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3.07</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4.02</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8.12</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9.51</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13.19</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9.41</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12月</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3.87</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4.51</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5.87</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4.27</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4.62</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4.93</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8.32</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4.13</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3.52</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3.14</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2.83</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5.55</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8.47</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9.17</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11.77</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8.65</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3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全年</w:t>
            </w:r>
          </w:p>
        </w:tc>
        <w:tc>
          <w:tcPr>
            <w:tcW w:w="45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3.54</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5.08</w:t>
            </w:r>
          </w:p>
        </w:tc>
        <w:tc>
          <w:tcPr>
            <w:tcW w:w="457"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5.2</w:t>
            </w:r>
          </w:p>
        </w:tc>
        <w:tc>
          <w:tcPr>
            <w:tcW w:w="42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5.64</w:t>
            </w:r>
          </w:p>
        </w:tc>
        <w:tc>
          <w:tcPr>
            <w:tcW w:w="38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6.97</w:t>
            </w:r>
          </w:p>
        </w:tc>
        <w:tc>
          <w:tcPr>
            <w:tcW w:w="489"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10.31</w:t>
            </w:r>
          </w:p>
        </w:tc>
        <w:tc>
          <w:tcPr>
            <w:tcW w:w="59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4.85</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4.74</w:t>
            </w:r>
          </w:p>
        </w:tc>
        <w:tc>
          <w:tcPr>
            <w:tcW w:w="57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3.71</w:t>
            </w:r>
          </w:p>
        </w:tc>
        <w:tc>
          <w:tcPr>
            <w:tcW w:w="522"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3.68</w:t>
            </w:r>
          </w:p>
        </w:tc>
        <w:tc>
          <w:tcPr>
            <w:tcW w:w="50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3.59</w:t>
            </w:r>
          </w:p>
        </w:tc>
        <w:tc>
          <w:tcPr>
            <w:tcW w:w="53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6.74</w:t>
            </w:r>
          </w:p>
        </w:tc>
        <w:tc>
          <w:tcPr>
            <w:tcW w:w="501"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7.91</w:t>
            </w:r>
          </w:p>
        </w:tc>
        <w:tc>
          <w:tcPr>
            <w:tcW w:w="566"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9.36</w:t>
            </w:r>
          </w:p>
        </w:tc>
        <w:tc>
          <w:tcPr>
            <w:tcW w:w="544"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5.25</w:t>
            </w:r>
          </w:p>
        </w:tc>
        <w:tc>
          <w:tcPr>
            <w:tcW w:w="520"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4.16</w:t>
            </w:r>
          </w:p>
        </w:tc>
        <w:tc>
          <w:tcPr>
            <w:tcW w:w="623" w:type="dxa"/>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9.02</w:t>
            </w:r>
          </w:p>
        </w:tc>
      </w:tr>
    </w:tbl>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267960" cy="5846445"/>
            <wp:effectExtent l="0" t="0" r="8890" b="1905"/>
            <wp:docPr id="4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5"/>
                    <pic:cNvPicPr>
                      <a:picLocks noChangeAspect="1"/>
                    </pic:cNvPicPr>
                  </pic:nvPicPr>
                  <pic:blipFill>
                    <a:blip r:embed="rId103"/>
                    <a:stretch>
                      <a:fillRect/>
                    </a:stretch>
                  </pic:blipFill>
                  <pic:spPr>
                    <a:xfrm>
                      <a:off x="0" y="0"/>
                      <a:ext cx="5267960" cy="5846445"/>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504" w:name="_Ref6701"/>
      <w:r>
        <w:rPr>
          <w:rFonts w:hint="default" w:ascii="Times New Roman" w:hAnsi="Times New Roman" w:cs="Times New Roman"/>
          <w:color w:val="auto"/>
          <w:highlight w:val="none"/>
          <w:lang w:val="en-US" w:eastAsia="zh-CN"/>
        </w:rPr>
        <w:t>霞浦县2000-2019年平均风速的月变化</w:t>
      </w:r>
      <w:bookmarkEnd w:id="504"/>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2019年气象资料统计分析</w:t>
      </w:r>
    </w:p>
    <w:p>
      <w:pP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本数据中风向、风速、温度等原始地面气象观测数据来源于国家气象</w:t>
      </w:r>
      <w:r>
        <w:rPr>
          <w:rFonts w:hint="default" w:ascii="Times New Roman" w:hAnsi="Times New Roman" w:cs="Times New Roman"/>
          <w:color w:val="auto"/>
          <w:szCs w:val="20"/>
          <w:highlight w:val="none"/>
          <w:lang w:val="en-US" w:eastAsia="zh-CN"/>
        </w:rPr>
        <w:t>信息中心。</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站点信息</w:t>
      </w:r>
    </w:p>
    <w:tbl>
      <w:tblPr>
        <w:tblStyle w:val="17"/>
        <w:tblW w:w="928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1326"/>
        <w:gridCol w:w="1137"/>
        <w:gridCol w:w="1345"/>
        <w:gridCol w:w="1184"/>
        <w:gridCol w:w="1758"/>
        <w:gridCol w:w="12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6"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站点名称</w:t>
            </w:r>
          </w:p>
        </w:tc>
        <w:tc>
          <w:tcPr>
            <w:tcW w:w="1326"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站点编号</w:t>
            </w:r>
          </w:p>
        </w:tc>
        <w:tc>
          <w:tcPr>
            <w:tcW w:w="11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站点类型</w:t>
            </w:r>
          </w:p>
        </w:tc>
        <w:tc>
          <w:tcPr>
            <w:tcW w:w="134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经度（°）</w:t>
            </w:r>
          </w:p>
        </w:tc>
        <w:tc>
          <w:tcPr>
            <w:tcW w:w="118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纬度（°）</w:t>
            </w:r>
          </w:p>
        </w:tc>
        <w:tc>
          <w:tcPr>
            <w:tcW w:w="175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测站高度（m）</w:t>
            </w:r>
          </w:p>
        </w:tc>
        <w:tc>
          <w:tcPr>
            <w:tcW w:w="120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数据年限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6"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w:t>
            </w:r>
          </w:p>
        </w:tc>
        <w:tc>
          <w:tcPr>
            <w:tcW w:w="1326"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58731</w:t>
            </w:r>
          </w:p>
        </w:tc>
        <w:tc>
          <w:tcPr>
            <w:tcW w:w="11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基本站</w:t>
            </w:r>
          </w:p>
        </w:tc>
        <w:tc>
          <w:tcPr>
            <w:tcW w:w="134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120.017</w:t>
            </w:r>
          </w:p>
        </w:tc>
        <w:tc>
          <w:tcPr>
            <w:tcW w:w="118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26.883</w:t>
            </w:r>
          </w:p>
        </w:tc>
        <w:tc>
          <w:tcPr>
            <w:tcW w:w="175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56.8</w:t>
            </w:r>
          </w:p>
        </w:tc>
        <w:tc>
          <w:tcPr>
            <w:tcW w:w="120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2019</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（1）温度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霞浦县年平均气温19.53 ℃，最冷月1月平均气温10.76 ℃，最热月8月平均气温28.75 ℃。年平均温度变化详见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_Ref23206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表5.2-9</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05" w:name="_Ref23206"/>
      <w:r>
        <w:rPr>
          <w:rFonts w:hint="default" w:ascii="Times New Roman" w:hAnsi="Times New Roman" w:cs="Times New Roman"/>
          <w:color w:val="auto"/>
          <w:highlight w:val="none"/>
          <w:lang w:val="en-US" w:eastAsia="zh-CN"/>
        </w:rPr>
        <w:t>年平均温度月变化表</w:t>
      </w:r>
      <w:bookmarkEnd w:id="505"/>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5"/>
        <w:gridCol w:w="689"/>
        <w:gridCol w:w="698"/>
        <w:gridCol w:w="701"/>
        <w:gridCol w:w="701"/>
        <w:gridCol w:w="701"/>
        <w:gridCol w:w="701"/>
        <w:gridCol w:w="701"/>
        <w:gridCol w:w="701"/>
        <w:gridCol w:w="701"/>
        <w:gridCol w:w="701"/>
        <w:gridCol w:w="701"/>
        <w:gridCol w:w="6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月份</w:t>
            </w:r>
          </w:p>
        </w:tc>
        <w:tc>
          <w:tcPr>
            <w:tcW w:w="68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1月</w:t>
            </w:r>
          </w:p>
        </w:tc>
        <w:tc>
          <w:tcPr>
            <w:tcW w:w="69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10月</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11月</w:t>
            </w:r>
          </w:p>
        </w:tc>
        <w:tc>
          <w:tcPr>
            <w:tcW w:w="69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温度(℃)</w:t>
            </w:r>
          </w:p>
        </w:tc>
        <w:tc>
          <w:tcPr>
            <w:tcW w:w="68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10.76</w:t>
            </w:r>
          </w:p>
        </w:tc>
        <w:tc>
          <w:tcPr>
            <w:tcW w:w="69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10.90</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13.25</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17.86</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20.70</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24.30</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27.99</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28.75</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26.16</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22.20</w:t>
            </w:r>
          </w:p>
        </w:tc>
        <w:tc>
          <w:tcPr>
            <w:tcW w:w="70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17.76</w:t>
            </w:r>
          </w:p>
        </w:tc>
        <w:tc>
          <w:tcPr>
            <w:tcW w:w="69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13.21</w:t>
            </w:r>
          </w:p>
        </w:tc>
      </w:tr>
    </w:tbl>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842510" cy="1504950"/>
            <wp:effectExtent l="4445" t="4445" r="10795" b="14605"/>
            <wp:docPr id="43" name="图表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年平均温度月变化曲线图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（2）风速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霞浦县年平均风速2.58 m/s。风速日变化较为明显，各季风速日变化相似，为单峰谷型。一般在半夜时分最小，日出后风速开始逐渐增大，夏季至14时风速达到最大，约4.20 m/s；日落后风速逐渐降低，至清晨7时风速最小，约1.72 m/s。</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霞浦县月平均风速随月份的变化和季小时平均风速的日变化情况详见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_Ref24036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_Ref24101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，平均风速的月变化及季小时平均风速的日变化曲线详见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_Ref24176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_Ref24241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图5.2-9</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Style w:val="19"/>
          <w:rFonts w:hint="default" w:ascii="Times New Roman" w:hAnsi="Times New Roman" w:cs="Times New Roman"/>
          <w:color w:val="auto"/>
          <w:highlight w:val="none"/>
          <w:lang w:val="en-US" w:eastAsia="zh-CN"/>
        </w:rPr>
      </w:pPr>
      <w:bookmarkStart w:id="506" w:name="_Ref24036"/>
      <w:r>
        <w:rPr>
          <w:rStyle w:val="19"/>
          <w:rFonts w:hint="default" w:ascii="Times New Roman" w:hAnsi="Times New Roman" w:cs="Times New Roman"/>
          <w:color w:val="auto"/>
          <w:highlight w:val="none"/>
          <w:lang w:val="en-US" w:eastAsia="zh-CN"/>
        </w:rPr>
        <w:t>平均风速月变化表</w:t>
      </w:r>
      <w:bookmarkEnd w:id="506"/>
    </w:p>
    <w:tbl>
      <w:tblPr>
        <w:tblStyle w:val="17"/>
        <w:tblW w:w="92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636"/>
        <w:gridCol w:w="634"/>
        <w:gridCol w:w="634"/>
        <w:gridCol w:w="634"/>
        <w:gridCol w:w="634"/>
        <w:gridCol w:w="634"/>
        <w:gridCol w:w="634"/>
        <w:gridCol w:w="634"/>
        <w:gridCol w:w="634"/>
        <w:gridCol w:w="750"/>
        <w:gridCol w:w="751"/>
        <w:gridCol w:w="7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月份</w:t>
            </w:r>
          </w:p>
        </w:tc>
        <w:tc>
          <w:tcPr>
            <w:tcW w:w="636"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8月</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9月</w:t>
            </w:r>
          </w:p>
        </w:tc>
        <w:tc>
          <w:tcPr>
            <w:tcW w:w="75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10月</w:t>
            </w:r>
          </w:p>
        </w:tc>
        <w:tc>
          <w:tcPr>
            <w:tcW w:w="75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11月</w:t>
            </w:r>
          </w:p>
        </w:tc>
        <w:tc>
          <w:tcPr>
            <w:tcW w:w="782"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风速(m/s)</w:t>
            </w:r>
          </w:p>
        </w:tc>
        <w:tc>
          <w:tcPr>
            <w:tcW w:w="636"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2.34</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2.15</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2.25</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2.51</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2.01</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2.41</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w:t>
            </w:r>
          </w:p>
        </w:tc>
        <w:tc>
          <w:tcPr>
            <w:tcW w:w="63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3.19</w:t>
            </w:r>
          </w:p>
        </w:tc>
        <w:tc>
          <w:tcPr>
            <w:tcW w:w="75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2.79</w:t>
            </w:r>
          </w:p>
        </w:tc>
        <w:tc>
          <w:tcPr>
            <w:tcW w:w="75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2.98</w:t>
            </w:r>
          </w:p>
        </w:tc>
        <w:tc>
          <w:tcPr>
            <w:tcW w:w="782"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2.58</w:t>
            </w:r>
          </w:p>
        </w:tc>
      </w:tr>
    </w:tbl>
    <w:p>
      <w:pPr>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775835" cy="1618615"/>
            <wp:effectExtent l="4445" t="4445" r="20320" b="15240"/>
            <wp:docPr id="44" name="图表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507" w:name="_Ref24176"/>
      <w:r>
        <w:rPr>
          <w:rFonts w:hint="default" w:ascii="Times New Roman" w:hAnsi="Times New Roman" w:cs="Times New Roman"/>
          <w:color w:val="auto"/>
          <w:highlight w:val="none"/>
          <w:lang w:val="en-US" w:eastAsia="zh-CN"/>
        </w:rPr>
        <w:t>年平均风速月变化图</w:t>
      </w:r>
      <w:bookmarkEnd w:id="507"/>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08" w:name="_Ref24101"/>
      <w:bookmarkEnd w:id="508"/>
      <w:r>
        <w:rPr>
          <w:rFonts w:hint="default" w:ascii="Times New Roman" w:hAnsi="Times New Roman" w:cs="Times New Roman"/>
          <w:color w:val="auto"/>
          <w:highlight w:val="none"/>
          <w:lang w:val="en-US" w:eastAsia="zh-CN"/>
        </w:rPr>
        <w:t>季小时平均风速变化表</w:t>
      </w:r>
    </w:p>
    <w:tbl>
      <w:tblPr>
        <w:tblStyle w:val="17"/>
        <w:tblW w:w="9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4"/>
        <w:gridCol w:w="584"/>
        <w:gridCol w:w="629"/>
        <w:gridCol w:w="629"/>
        <w:gridCol w:w="629"/>
        <w:gridCol w:w="629"/>
        <w:gridCol w:w="629"/>
        <w:gridCol w:w="629"/>
        <w:gridCol w:w="629"/>
        <w:gridCol w:w="629"/>
        <w:gridCol w:w="629"/>
        <w:gridCol w:w="629"/>
        <w:gridCol w:w="6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single" w:color="auto" w:sz="4" w:space="0"/>
            </w:tcBorders>
            <w:vAlign w:val="center"/>
          </w:tcPr>
          <w:p>
            <w:pPr>
              <w:pStyle w:val="21"/>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小时(h)</w:t>
            </w:r>
          </w:p>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风速(m/s)</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春季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1.60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2.94</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夏季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秋季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2.75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3.70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冬季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single" w:color="auto" w:sz="4" w:space="0"/>
            </w:tcBorders>
            <w:vAlign w:val="center"/>
          </w:tcPr>
          <w:p>
            <w:pPr>
              <w:pStyle w:val="21"/>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小时(h)</w:t>
            </w:r>
          </w:p>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风速(m/s)</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春季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3.69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1.94</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夏季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4.14</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4.20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4.17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3.52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2.12</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秋季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4.65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4.59</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4.50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2.36</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2.45</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冬季</w:t>
            </w:r>
          </w:p>
        </w:tc>
        <w:tc>
          <w:tcPr>
            <w:tcW w:w="584"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3.21</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2.24</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2.18</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2.10</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2.13</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2.37</w:t>
            </w:r>
          </w:p>
        </w:tc>
        <w:tc>
          <w:tcPr>
            <w:tcW w:w="62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2.23</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930140" cy="1877060"/>
            <wp:effectExtent l="4445" t="4445" r="18415" b="23495"/>
            <wp:docPr id="47" name="图表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509" w:name="_Ref24241"/>
      <w:bookmarkEnd w:id="509"/>
      <w:r>
        <w:rPr>
          <w:rFonts w:hint="default" w:ascii="Times New Roman" w:hAnsi="Times New Roman" w:cs="Times New Roman"/>
          <w:color w:val="auto"/>
          <w:highlight w:val="none"/>
          <w:lang w:val="en-US" w:eastAsia="zh-CN"/>
        </w:rPr>
        <w:t>季小时平均风速日变化图</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（3）风向、风频和主导风</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霞浦县2019年全年静风频率为0.68%，风频最大为北风。各月、季各风向风频变化详见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_Ref25165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_Ref25450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，各季及年风频玫瑰图见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_Ref25577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根据霞浦县2019年气象统计资料，霞浦县年风频最大的风向角风频为NW，14.82%，低于30%，因此该区域年主导风向不明显。</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10" w:name="_Ref25165"/>
      <w:r>
        <w:rPr>
          <w:rFonts w:hint="default" w:ascii="Times New Roman" w:hAnsi="Times New Roman" w:cs="Times New Roman"/>
          <w:color w:val="auto"/>
          <w:highlight w:val="none"/>
        </w:rPr>
        <w:t>各月平均风向风频变化表</w:t>
      </w:r>
      <w:bookmarkEnd w:id="510"/>
    </w:p>
    <w:tbl>
      <w:tblPr>
        <w:tblStyle w:val="17"/>
        <w:tblW w:w="1421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778"/>
        <w:gridCol w:w="723"/>
        <w:gridCol w:w="741"/>
        <w:gridCol w:w="741"/>
        <w:gridCol w:w="778"/>
        <w:gridCol w:w="692"/>
        <w:gridCol w:w="752"/>
        <w:gridCol w:w="723"/>
        <w:gridCol w:w="723"/>
        <w:gridCol w:w="715"/>
        <w:gridCol w:w="669"/>
        <w:gridCol w:w="783"/>
        <w:gridCol w:w="778"/>
        <w:gridCol w:w="820"/>
        <w:gridCol w:w="778"/>
        <w:gridCol w:w="789"/>
        <w:gridCol w:w="7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single" w:color="auto" w:sz="2" w:space="0"/>
            </w:tcBorders>
            <w:vAlign w:val="center"/>
          </w:tcPr>
          <w:p>
            <w:pPr>
              <w:pStyle w:val="21"/>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风向</w:t>
            </w:r>
          </w:p>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风频(%)</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NNE</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NE</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ENE</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ESE</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SE</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SSE</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SW</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WSW</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WNW</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NW</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NNW</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3.36</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3.09</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2.55</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5.38</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8.33</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11.83</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9.81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8.20</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2.15</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1.21</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2.82</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6.72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18.15</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7.93</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1.34</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2.98</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6.40</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10.86</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11.16</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10.57</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13.69</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5.80</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4.17</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1.04</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4.02</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8.63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8.48</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4.17</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三月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2.69</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3.23</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5.24</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7.80</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12.77</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10.62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9.81</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3.63</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1.88</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1.61</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4.84</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10.22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13.98</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5.38</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四月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0.97</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2.78</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3.33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6.53</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9.17</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15.28</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10.83</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9.72</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3.19</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2.22</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5.14</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10.97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11.39</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3.47</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五月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2.96</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2.15</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3.63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7.39</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17.20</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12.23</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8.33</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4.97</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2.15</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1.21</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1.21</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4.97</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15.59</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11.96</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1.34</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六月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2.36</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0.97</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1.94</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2.36</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5.00</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13.89</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12.08</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10.42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11.39</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4.03</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2.78</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1.39</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6.39</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11.81</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8.19</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3.06</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七月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3.36</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3.90</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3.09</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2.28</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6.45</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11.56</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9.14</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6.99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13.17</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5.91</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2.96</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2.28</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4.97</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11.02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7.53</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3.09</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八月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5.24</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5.91</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6.32</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3.76</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11.29</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13.71</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8.06</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3.76</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0.54</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2.02</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1.48</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3.49</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11.83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13.71</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5.65</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九月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5.00</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5.00</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6.11</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4.31</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8.33</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10.28</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9.31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3.06</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1.67</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0.97</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2.50</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14.44</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21.25</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7.36</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十月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4.97</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6.05</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9.27</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4.84</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9.14</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9.14</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12.90</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2.15</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1.75</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0.94</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0.40</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0.67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3.36</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10.89</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17.74</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5.78</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十一月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8.19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9.31</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8.47</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4.03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7.64</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6.11</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6.81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2.64</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2.50</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0.97</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0.42</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0.83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1.53</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6.67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22.92</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10.97</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十二月</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4.84</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4.30</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2.96</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6.18</w:t>
            </w:r>
          </w:p>
        </w:tc>
        <w:tc>
          <w:tcPr>
            <w:tcW w:w="69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5.91</w:t>
            </w:r>
          </w:p>
        </w:tc>
        <w:tc>
          <w:tcPr>
            <w:tcW w:w="752"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10.75</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7.12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7.53</w:t>
            </w:r>
          </w:p>
        </w:tc>
        <w:tc>
          <w:tcPr>
            <w:tcW w:w="71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3.49</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1.21</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0.81</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3.23</w:t>
            </w:r>
          </w:p>
        </w:tc>
        <w:tc>
          <w:tcPr>
            <w:tcW w:w="82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8.87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22.04</w:t>
            </w:r>
          </w:p>
        </w:tc>
        <w:tc>
          <w:tcPr>
            <w:tcW w:w="78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7.12</w:t>
            </w:r>
          </w:p>
        </w:tc>
        <w:tc>
          <w:tcPr>
            <w:tcW w:w="755"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0.13</w:t>
            </w:r>
          </w:p>
        </w:tc>
      </w:tr>
    </w:tbl>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11" w:name="_Ref25450"/>
      <w:r>
        <w:rPr>
          <w:rFonts w:hint="default" w:ascii="Times New Roman" w:hAnsi="Times New Roman" w:cs="Times New Roman"/>
          <w:color w:val="auto"/>
          <w:highlight w:val="none"/>
          <w:lang w:val="en-US" w:eastAsia="zh-CN"/>
        </w:rPr>
        <w:t>各季平均风向风频变化表</w:t>
      </w:r>
      <w:bookmarkEnd w:id="511"/>
    </w:p>
    <w:tbl>
      <w:tblPr>
        <w:tblStyle w:val="17"/>
        <w:tblW w:w="142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0"/>
        <w:gridCol w:w="723"/>
        <w:gridCol w:w="723"/>
        <w:gridCol w:w="740"/>
        <w:gridCol w:w="740"/>
        <w:gridCol w:w="777"/>
        <w:gridCol w:w="709"/>
        <w:gridCol w:w="737"/>
        <w:gridCol w:w="723"/>
        <w:gridCol w:w="723"/>
        <w:gridCol w:w="723"/>
        <w:gridCol w:w="669"/>
        <w:gridCol w:w="783"/>
        <w:gridCol w:w="778"/>
        <w:gridCol w:w="821"/>
        <w:gridCol w:w="778"/>
        <w:gridCol w:w="778"/>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0" w:type="dxa"/>
            <w:tcBorders>
              <w:tl2br w:val="single" w:color="auto" w:sz="2" w:space="0"/>
            </w:tcBorders>
            <w:vAlign w:val="center"/>
          </w:tcPr>
          <w:p>
            <w:pPr>
              <w:pStyle w:val="21"/>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风向</w:t>
            </w:r>
          </w:p>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风频(%)</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NNE</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NE</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ENE</w:t>
            </w:r>
          </w:p>
        </w:tc>
        <w:tc>
          <w:tcPr>
            <w:tcW w:w="777"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w:t>
            </w:r>
          </w:p>
        </w:tc>
        <w:tc>
          <w:tcPr>
            <w:tcW w:w="7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ESE</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SE</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SSE</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SW</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WSW</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w:t>
            </w:r>
          </w:p>
        </w:tc>
        <w:tc>
          <w:tcPr>
            <w:tcW w:w="82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WNW</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NW</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NNW</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春季</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2.67</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2.22</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2.72</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3.26</w:t>
            </w:r>
          </w:p>
        </w:tc>
        <w:tc>
          <w:tcPr>
            <w:tcW w:w="77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6.39</w:t>
            </w:r>
          </w:p>
        </w:tc>
        <w:tc>
          <w:tcPr>
            <w:tcW w:w="70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11.41</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13.41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9.92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8.15</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2.99</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1.77</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4.98</w:t>
            </w:r>
          </w:p>
        </w:tc>
        <w:tc>
          <w:tcPr>
            <w:tcW w:w="82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12.27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12.45</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3.40</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夏季</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3.67</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3.62</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2.81</w:t>
            </w:r>
          </w:p>
        </w:tc>
        <w:tc>
          <w:tcPr>
            <w:tcW w:w="77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7.61</w:t>
            </w:r>
          </w:p>
        </w:tc>
        <w:tc>
          <w:tcPr>
            <w:tcW w:w="70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13.04</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9.74</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6.79</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9.42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3.49</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2.58</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4.94</w:t>
            </w:r>
          </w:p>
        </w:tc>
        <w:tc>
          <w:tcPr>
            <w:tcW w:w="82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11.55</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9.83</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3.94</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秋季</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6.04</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6.78</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7.97</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4.40</w:t>
            </w:r>
          </w:p>
        </w:tc>
        <w:tc>
          <w:tcPr>
            <w:tcW w:w="77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8.38</w:t>
            </w:r>
          </w:p>
        </w:tc>
        <w:tc>
          <w:tcPr>
            <w:tcW w:w="70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8.52</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9.71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1.97</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0.64</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0.60</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0.64</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2.47</w:t>
            </w:r>
          </w:p>
        </w:tc>
        <w:tc>
          <w:tcPr>
            <w:tcW w:w="82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10.67</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20.60</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8.01</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冬季</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2.96</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3.24</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3.47</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3.10</w:t>
            </w:r>
          </w:p>
        </w:tc>
        <w:tc>
          <w:tcPr>
            <w:tcW w:w="77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5.97</w:t>
            </w:r>
          </w:p>
        </w:tc>
        <w:tc>
          <w:tcPr>
            <w:tcW w:w="70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8.29</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11.25</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9.12</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9.68</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4.54</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2.45</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3.33</w:t>
            </w:r>
          </w:p>
        </w:tc>
        <w:tc>
          <w:tcPr>
            <w:tcW w:w="82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8.06</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16.48</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6.48</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0"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全年</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3.84</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3.96</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4.49</w:t>
            </w:r>
          </w:p>
        </w:tc>
        <w:tc>
          <w:tcPr>
            <w:tcW w:w="740"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3.39</w:t>
            </w:r>
          </w:p>
        </w:tc>
        <w:tc>
          <w:tcPr>
            <w:tcW w:w="77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7.09</w:t>
            </w:r>
          </w:p>
        </w:tc>
        <w:tc>
          <w:tcPr>
            <w:tcW w:w="70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10.33</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11.03</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7.31</w:t>
            </w:r>
          </w:p>
        </w:tc>
        <w:tc>
          <w:tcPr>
            <w:tcW w:w="72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2.91</w:t>
            </w:r>
          </w:p>
        </w:tc>
        <w:tc>
          <w:tcPr>
            <w:tcW w:w="66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1.85</w:t>
            </w:r>
          </w:p>
        </w:tc>
        <w:tc>
          <w:tcPr>
            <w:tcW w:w="783"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1.16</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3.94</w:t>
            </w:r>
          </w:p>
        </w:tc>
        <w:tc>
          <w:tcPr>
            <w:tcW w:w="82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10.65</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14.82</w:t>
            </w:r>
          </w:p>
        </w:tc>
        <w:tc>
          <w:tcPr>
            <w:tcW w:w="77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5.45</w:t>
            </w:r>
          </w:p>
        </w:tc>
        <w:tc>
          <w:tcPr>
            <w:tcW w:w="74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0.68</w:t>
            </w:r>
          </w:p>
        </w:tc>
      </w:tr>
    </w:tbl>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076825" cy="7042150"/>
            <wp:effectExtent l="0" t="0" r="9525" b="6350"/>
            <wp:docPr id="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3"/>
                    <pic:cNvPicPr>
                      <a:picLocks noChangeAspect="1"/>
                    </pic:cNvPicPr>
                  </pic:nvPicPr>
                  <pic:blipFill>
                    <a:blip r:embed="rId107"/>
                    <a:srcRect t="2719"/>
                    <a:stretch>
                      <a:fillRect/>
                    </a:stretch>
                  </pic:blipFill>
                  <pic:spPr>
                    <a:xfrm>
                      <a:off x="0" y="0"/>
                      <a:ext cx="5076825" cy="7042150"/>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512" w:name="_Ref25577"/>
      <w:r>
        <w:rPr>
          <w:rFonts w:hint="default" w:ascii="Times New Roman" w:hAnsi="Times New Roman" w:cs="Times New Roman"/>
          <w:color w:val="auto"/>
          <w:highlight w:val="none"/>
          <w:lang w:val="en-US" w:eastAsia="zh-CN"/>
        </w:rPr>
        <w:t>风频玫瑰图</w:t>
      </w:r>
      <w:bookmarkEnd w:id="512"/>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大气环境影响分析</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污染源强参数</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（1）预测因子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根据工程分析内容，确定大气环境影响预测因子为PM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非甲烷总烃、氨、硫化氢。</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（2）污染源参数</w:t>
      </w:r>
    </w:p>
    <w:p>
      <w:pPr>
        <w:bidi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①本项目有组织废气</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本项目废气有组织排放的污染源强及参数选取见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_Ref6181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表5.2-14</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lang w:val="en-US" w:eastAsia="zh-CN"/>
        </w:rPr>
        <w:t>。</w:t>
      </w:r>
    </w:p>
    <w:p>
      <w:pPr>
        <w:bidi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②本项目无组织排放废气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本项目无组织排放废气污染物源强及预测参数选取见下</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_Ref4848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0</w:t>
      </w:r>
      <w:r>
        <w:rPr>
          <w:rFonts w:hint="default" w:ascii="Times New Roman" w:hAnsi="Times New Roman" w:cs="Times New Roman"/>
          <w:color w:val="auto"/>
          <w:highlight w:val="none"/>
          <w:lang w:val="en-US"/>
        </w:rPr>
        <w:fldChar w:fldCharType="end"/>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③项目评价范围内已批在建、拟建项目废气</w:t>
      </w:r>
      <w:r>
        <w:rPr>
          <w:rFonts w:hint="default" w:ascii="Times New Roman" w:hAnsi="Times New Roman" w:cs="Times New Roman"/>
          <w:color w:val="auto"/>
          <w:highlight w:val="none"/>
          <w:lang w:val="en-US" w:eastAsia="zh-CN"/>
        </w:rPr>
        <w:t>排放情况</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在本项目现状监测期间尚未投产</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主要</w:t>
      </w:r>
      <w:r>
        <w:rPr>
          <w:rFonts w:hint="default" w:ascii="Times New Roman" w:hAnsi="Times New Roman" w:cs="Times New Roman"/>
          <w:color w:val="auto"/>
          <w:highlight w:val="none"/>
          <w:lang w:val="en-US" w:eastAsia="zh-CN"/>
        </w:rPr>
        <w:t>有：</w:t>
      </w:r>
      <w:r>
        <w:rPr>
          <w:rFonts w:hint="default" w:ascii="Times New Roman" w:hAnsi="Times New Roman" w:cs="Times New Roman"/>
          <w:color w:val="auto"/>
          <w:szCs w:val="20"/>
          <w:highlight w:val="none"/>
          <w:lang w:val="en-US" w:eastAsia="zh-CN"/>
        </w:rPr>
        <w:t>福建东风不锈钢制造有限公司年产1800吨不锈钢管生产线项目，福建丰瑞不锈钢有限公司丰瑞年产2600吨不锈钢管生产线改扩建项目，福建省钜泰钢管有限公司钜泰年产2800吨不锈钢管生产线改建项目，</w:t>
      </w:r>
      <w:r>
        <w:rPr>
          <w:rFonts w:hint="default" w:ascii="Times New Roman" w:hAnsi="Times New Roman" w:cs="Times New Roman"/>
          <w:b w:val="0"/>
          <w:bCs w:val="0"/>
          <w:color w:val="auto"/>
          <w:szCs w:val="20"/>
          <w:highlight w:val="none"/>
        </w:rPr>
        <w:t>福建兴业钢管有限公司兴业年产1400吨不锈钢管生产线改扩建项目</w:t>
      </w:r>
      <w:r>
        <w:rPr>
          <w:rFonts w:hint="default" w:ascii="Times New Roman" w:hAnsi="Times New Roman" w:cs="Times New Roman"/>
          <w:b w:val="0"/>
          <w:bCs w:val="0"/>
          <w:color w:val="auto"/>
          <w:szCs w:val="20"/>
          <w:highlight w:val="none"/>
          <w:lang w:eastAsia="zh-CN"/>
        </w:rPr>
        <w:t>，</w:t>
      </w:r>
      <w:r>
        <w:rPr>
          <w:rFonts w:hint="default" w:ascii="Times New Roman" w:hAnsi="Times New Roman" w:cs="Times New Roman"/>
          <w:color w:val="auto"/>
          <w:szCs w:val="20"/>
          <w:highlight w:val="none"/>
          <w:lang w:val="en-US" w:eastAsia="zh-CN"/>
        </w:rPr>
        <w:t>福建一特钢管有限公司一特年产2100吨不锈钢管生产线改扩建项目，福建强锐紧固件制造有限公司年产8000吨8.8级以上高强度紧固件生产线建设项目，福建泰展紧固件制造有限公司年产10000吨8.8级以上高强度紧固件生产线建设项目，福建鑫亿标准件制造有限公司年产6000吨高强度紧固件生产线建设项目，霞浦县总医院霞浦县城乡医疗卫生建设项目（牙城卫生院新院），福建金顺达紧固件制造有限公司年产7000吨8.8级高强度紧固件生产线建设项目，</w:t>
      </w:r>
      <w:r>
        <w:rPr>
          <w:rFonts w:hint="default" w:ascii="Times New Roman" w:hAnsi="Times New Roman" w:cs="Times New Roman"/>
          <w:color w:val="auto"/>
          <w:szCs w:val="20"/>
          <w:highlight w:val="none"/>
        </w:rPr>
        <w:t>福建晨宏紧固件制造有限公司年产6000吨8.8级高强度紧固件生产线建设项目</w:t>
      </w:r>
      <w:r>
        <w:rPr>
          <w:rFonts w:hint="default" w:ascii="Times New Roman" w:hAnsi="Times New Roman" w:cs="Times New Roman"/>
          <w:color w:val="auto"/>
          <w:szCs w:val="20"/>
          <w:highlight w:val="none"/>
          <w:lang w:eastAsia="zh-CN"/>
        </w:rPr>
        <w:t>，</w:t>
      </w:r>
      <w:r>
        <w:rPr>
          <w:rFonts w:hint="default" w:ascii="Times New Roman" w:hAnsi="Times New Roman" w:cs="Times New Roman"/>
          <w:color w:val="auto"/>
          <w:szCs w:val="20"/>
          <w:highlight w:val="none"/>
        </w:rPr>
        <w:t>福建长旺紧固件有限公司年产5500吨8.8级以上高强度紧固件生产线建设项目</w:t>
      </w:r>
      <w:r>
        <w:rPr>
          <w:rFonts w:hint="default" w:ascii="Times New Roman" w:hAnsi="Times New Roman" w:cs="Times New Roman"/>
          <w:color w:val="auto"/>
          <w:szCs w:val="20"/>
          <w:highlight w:val="none"/>
          <w:lang w:val="en-US" w:eastAsia="zh-CN"/>
        </w:rPr>
        <w:t>等。</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其废气有组织排放的污染源强及参数选取见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_Ref2223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表5.2-16</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lang w:val="en-US" w:eastAsia="zh-CN"/>
        </w:rPr>
        <w:t>，无组织排放的污染源强及参数选取详见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_Ref26869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④本项目非正常工况下的废气污染源</w:t>
      </w:r>
    </w:p>
    <w:p>
      <w:pPr>
        <w:bidi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情景一：DA00</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废气处理设施故障（</w:t>
      </w:r>
      <w:r>
        <w:rPr>
          <w:rFonts w:hint="default" w:ascii="Times New Roman" w:hAnsi="Times New Roman" w:cs="Times New Roman"/>
          <w:color w:val="auto"/>
          <w:szCs w:val="20"/>
          <w:highlight w:val="none"/>
          <w:lang w:val="en-US" w:eastAsia="zh-CN"/>
        </w:rPr>
        <w:t>布袋除尘器失效或喷淋塔失效或低温等离子失效</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w:t>
      </w:r>
    </w:p>
    <w:p>
      <w:pPr>
        <w:bidi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情景二：DA00</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废气处理系统故障（</w:t>
      </w:r>
      <w:r>
        <w:rPr>
          <w:rFonts w:hint="default" w:ascii="Times New Roman" w:hAnsi="Times New Roman" w:cs="Times New Roman"/>
          <w:color w:val="auto"/>
          <w:szCs w:val="20"/>
          <w:highlight w:val="none"/>
          <w:lang w:val="en-US" w:eastAsia="zh-CN"/>
        </w:rPr>
        <w:t>静电油烟吸附失效或低温等离子失效</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非正常工况下废气污染源强</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_Ref4950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构建评价范围预测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采用直角坐标的方式，即坐标形式为（</w:t>
      </w:r>
      <w:r>
        <w:rPr>
          <w:rFonts w:hint="eastAsia" w:cs="Times New Roman"/>
          <w:color w:val="auto"/>
          <w:highlight w:val="none"/>
          <w:lang w:val="en-US" w:eastAsia="zh-CN"/>
        </w:rPr>
        <w:t>X</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Y</w:t>
      </w:r>
      <w:r>
        <w:rPr>
          <w:rFonts w:hint="default" w:ascii="Times New Roman" w:hAnsi="Times New Roman" w:cs="Times New Roman"/>
          <w:color w:val="auto"/>
          <w:highlight w:val="none"/>
          <w:lang w:val="en-US" w:eastAsia="zh-CN"/>
        </w:rPr>
        <w:t>），以</w:t>
      </w:r>
      <w:r>
        <w:rPr>
          <w:rFonts w:hint="eastAsia" w:cs="Times New Roman"/>
          <w:color w:val="auto"/>
          <w:highlight w:val="none"/>
          <w:lang w:val="en-US" w:eastAsia="zh-CN"/>
        </w:rPr>
        <w:t>本项目</w:t>
      </w:r>
      <w:r>
        <w:rPr>
          <w:rFonts w:hint="default" w:ascii="Times New Roman" w:hAnsi="Times New Roman" w:cs="Times New Roman"/>
          <w:color w:val="auto"/>
          <w:highlight w:val="none"/>
          <w:lang w:val="en-US" w:eastAsia="zh-CN"/>
        </w:rPr>
        <w:t>厂界左下角为</w:t>
      </w:r>
      <w:r>
        <w:rPr>
          <w:rFonts w:hint="eastAsia" w:cs="Times New Roman"/>
          <w:color w:val="auto"/>
          <w:highlight w:val="none"/>
          <w:lang w:val="en-US" w:eastAsia="zh-CN"/>
        </w:rPr>
        <w:t>坐标原点</w:t>
      </w:r>
      <w:r>
        <w:rPr>
          <w:rFonts w:hint="default" w:ascii="Times New Roman" w:hAnsi="Times New Roman" w:cs="Times New Roman"/>
          <w:color w:val="auto"/>
          <w:highlight w:val="none"/>
          <w:lang w:val="en-US" w:eastAsia="zh-CN"/>
        </w:rPr>
        <w:t>（0，0）。</w:t>
      </w: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13" w:name="_Ref6181"/>
      <w:r>
        <w:rPr>
          <w:rFonts w:hint="default" w:ascii="Times New Roman" w:hAnsi="Times New Roman" w:cs="Times New Roman"/>
          <w:color w:val="auto"/>
          <w:highlight w:val="none"/>
          <w:lang w:val="en-US" w:eastAsia="zh-CN"/>
        </w:rPr>
        <w:t>扩建工程正常排放废气（点源）排放参数一览表</w:t>
      </w:r>
      <w:bookmarkEnd w:id="513"/>
    </w:p>
    <w:tbl>
      <w:tblPr>
        <w:tblStyle w:val="18"/>
        <w:tblW w:w="142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8"/>
        <w:gridCol w:w="1031"/>
        <w:gridCol w:w="866"/>
        <w:gridCol w:w="867"/>
        <w:gridCol w:w="1077"/>
        <w:gridCol w:w="968"/>
        <w:gridCol w:w="1128"/>
        <w:gridCol w:w="1091"/>
        <w:gridCol w:w="1022"/>
        <w:gridCol w:w="887"/>
        <w:gridCol w:w="1064"/>
        <w:gridCol w:w="728"/>
        <w:gridCol w:w="1329"/>
        <w:gridCol w:w="12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编号</w:t>
            </w:r>
          </w:p>
        </w:tc>
        <w:tc>
          <w:tcPr>
            <w:tcW w:w="103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名称</w:t>
            </w:r>
          </w:p>
        </w:tc>
        <w:tc>
          <w:tcPr>
            <w:tcW w:w="1733"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排气筒底部中心坐标/m</w:t>
            </w:r>
          </w:p>
        </w:tc>
        <w:tc>
          <w:tcPr>
            <w:tcW w:w="107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排气底部海拔高度/m</w:t>
            </w:r>
          </w:p>
        </w:tc>
        <w:tc>
          <w:tcPr>
            <w:tcW w:w="96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排气筒高度/m</w:t>
            </w:r>
          </w:p>
        </w:tc>
        <w:tc>
          <w:tcPr>
            <w:tcW w:w="11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排气筒出口内径/m</w:t>
            </w:r>
          </w:p>
        </w:tc>
        <w:tc>
          <w:tcPr>
            <w:tcW w:w="109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标态风量/（Nm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p>
        </w:tc>
        <w:tc>
          <w:tcPr>
            <w:tcW w:w="102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烟气流速/（m/s）</w:t>
            </w:r>
          </w:p>
        </w:tc>
        <w:tc>
          <w:tcPr>
            <w:tcW w:w="88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烟气温度/℃</w:t>
            </w:r>
          </w:p>
        </w:tc>
        <w:tc>
          <w:tcPr>
            <w:tcW w:w="106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年排放小时数/h</w:t>
            </w:r>
          </w:p>
        </w:tc>
        <w:tc>
          <w:tcPr>
            <w:tcW w:w="7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排放工况</w:t>
            </w:r>
          </w:p>
        </w:tc>
        <w:tc>
          <w:tcPr>
            <w:tcW w:w="2562"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3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X</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Y</w:t>
            </w:r>
          </w:p>
        </w:tc>
        <w:tc>
          <w:tcPr>
            <w:tcW w:w="107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96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1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9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2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8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6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7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排放速率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7</w:t>
            </w:r>
          </w:p>
        </w:tc>
        <w:tc>
          <w:tcPr>
            <w:tcW w:w="103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摩擦造粒、组件煅烧</w:t>
            </w:r>
          </w:p>
        </w:tc>
        <w:tc>
          <w:tcPr>
            <w:tcW w:w="866"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97</w:t>
            </w:r>
          </w:p>
        </w:tc>
        <w:tc>
          <w:tcPr>
            <w:tcW w:w="86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r>
              <w:rPr>
                <w:rFonts w:hint="eastAsia" w:cs="Times New Roman"/>
                <w:color w:val="auto"/>
                <w:szCs w:val="20"/>
                <w:highlight w:val="none"/>
                <w:lang w:val="en-US" w:eastAsia="zh-CN"/>
              </w:rPr>
              <w:t>3</w:t>
            </w:r>
          </w:p>
        </w:tc>
        <w:tc>
          <w:tcPr>
            <w:tcW w:w="107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96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32</w:t>
            </w:r>
          </w:p>
        </w:tc>
        <w:tc>
          <w:tcPr>
            <w:tcW w:w="11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0.9</w:t>
            </w:r>
          </w:p>
        </w:tc>
        <w:tc>
          <w:tcPr>
            <w:tcW w:w="109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35000</w:t>
            </w:r>
          </w:p>
        </w:tc>
        <w:tc>
          <w:tcPr>
            <w:tcW w:w="102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15.29</w:t>
            </w:r>
          </w:p>
        </w:tc>
        <w:tc>
          <w:tcPr>
            <w:tcW w:w="88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w:t>
            </w:r>
          </w:p>
        </w:tc>
        <w:tc>
          <w:tcPr>
            <w:tcW w:w="106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7920</w:t>
            </w:r>
          </w:p>
        </w:tc>
        <w:tc>
          <w:tcPr>
            <w:tcW w:w="7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正常</w:t>
            </w: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10</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0.144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3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6"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7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96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1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9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2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8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6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7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0.364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8</w:t>
            </w:r>
          </w:p>
        </w:tc>
        <w:tc>
          <w:tcPr>
            <w:tcW w:w="103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前纺、后纺废气</w:t>
            </w:r>
          </w:p>
        </w:tc>
        <w:tc>
          <w:tcPr>
            <w:tcW w:w="86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97</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118</w:t>
            </w:r>
          </w:p>
        </w:tc>
        <w:tc>
          <w:tcPr>
            <w:tcW w:w="107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9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32</w:t>
            </w:r>
          </w:p>
        </w:tc>
        <w:tc>
          <w:tcPr>
            <w:tcW w:w="11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0.9</w:t>
            </w:r>
          </w:p>
        </w:tc>
        <w:tc>
          <w:tcPr>
            <w:tcW w:w="109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30000</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13.11</w:t>
            </w:r>
          </w:p>
        </w:tc>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25</w:t>
            </w:r>
          </w:p>
        </w:tc>
        <w:tc>
          <w:tcPr>
            <w:tcW w:w="106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7920</w:t>
            </w:r>
          </w:p>
        </w:tc>
        <w:tc>
          <w:tcPr>
            <w:tcW w:w="7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正常</w:t>
            </w: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0.236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9</w:t>
            </w:r>
          </w:p>
        </w:tc>
        <w:tc>
          <w:tcPr>
            <w:tcW w:w="103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锅炉废气</w:t>
            </w:r>
          </w:p>
        </w:tc>
        <w:tc>
          <w:tcPr>
            <w:tcW w:w="866"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93</w:t>
            </w:r>
          </w:p>
        </w:tc>
        <w:tc>
          <w:tcPr>
            <w:tcW w:w="86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50</w:t>
            </w:r>
          </w:p>
        </w:tc>
        <w:tc>
          <w:tcPr>
            <w:tcW w:w="107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w:t>
            </w:r>
          </w:p>
        </w:tc>
        <w:tc>
          <w:tcPr>
            <w:tcW w:w="96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11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r>
              <w:rPr>
                <w:rFonts w:hint="eastAsia" w:cs="Times New Roman"/>
                <w:color w:val="auto"/>
                <w:szCs w:val="20"/>
                <w:highlight w:val="none"/>
                <w:lang w:val="en-US" w:eastAsia="zh-CN"/>
              </w:rPr>
              <w:t>5</w:t>
            </w:r>
          </w:p>
        </w:tc>
        <w:tc>
          <w:tcPr>
            <w:tcW w:w="109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6551.38</w:t>
            </w:r>
          </w:p>
        </w:tc>
        <w:tc>
          <w:tcPr>
            <w:tcW w:w="102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15.38</w:t>
            </w:r>
          </w:p>
        </w:tc>
        <w:tc>
          <w:tcPr>
            <w:tcW w:w="88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180</w:t>
            </w:r>
          </w:p>
        </w:tc>
        <w:tc>
          <w:tcPr>
            <w:tcW w:w="106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7920</w:t>
            </w:r>
          </w:p>
        </w:tc>
        <w:tc>
          <w:tcPr>
            <w:tcW w:w="7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正常</w:t>
            </w: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SO</w:t>
            </w:r>
            <w:r>
              <w:rPr>
                <w:rFonts w:hint="default" w:ascii="Times New Roman" w:hAnsi="Times New Roman" w:cs="Times New Roman"/>
                <w:color w:val="auto"/>
                <w:szCs w:val="20"/>
                <w:highlight w:val="none"/>
                <w:vertAlign w:val="subscript"/>
                <w:lang w:val="en-US" w:eastAsia="zh-CN"/>
              </w:rPr>
              <w:t>2</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0.1216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3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6"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7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96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1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9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2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8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6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7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i/>
                <w:iCs/>
                <w:color w:val="auto"/>
                <w:szCs w:val="20"/>
                <w:highlight w:val="none"/>
                <w:vertAlign w:val="subscript"/>
                <w:lang w:val="en-US" w:eastAsia="zh-CN"/>
              </w:rPr>
              <w:t>X</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0.4238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3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6"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6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7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96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1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9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2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8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6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7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PM</w:t>
            </w:r>
            <w:r>
              <w:rPr>
                <w:rFonts w:hint="eastAsia" w:cs="Times New Roman"/>
                <w:color w:val="auto"/>
                <w:szCs w:val="20"/>
                <w:highlight w:val="none"/>
                <w:vertAlign w:val="subscript"/>
                <w:lang w:val="en-US" w:eastAsia="zh-CN"/>
              </w:rPr>
              <w:t>10</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0.1310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bookmarkStart w:id="514" w:name="_Ref4848"/>
            <w:r>
              <w:rPr>
                <w:rFonts w:hint="eastAsia" w:cs="Times New Roman"/>
                <w:color w:val="auto"/>
                <w:szCs w:val="20"/>
                <w:highlight w:val="none"/>
                <w:lang w:val="en-US" w:eastAsia="zh-CN"/>
              </w:rPr>
              <w:t>DA010</w:t>
            </w:r>
          </w:p>
        </w:tc>
        <w:tc>
          <w:tcPr>
            <w:tcW w:w="103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危废间废气</w:t>
            </w:r>
          </w:p>
        </w:tc>
        <w:tc>
          <w:tcPr>
            <w:tcW w:w="86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15</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46</w:t>
            </w:r>
          </w:p>
        </w:tc>
        <w:tc>
          <w:tcPr>
            <w:tcW w:w="107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5</w:t>
            </w:r>
          </w:p>
        </w:tc>
        <w:tc>
          <w:tcPr>
            <w:tcW w:w="96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15</w:t>
            </w:r>
          </w:p>
        </w:tc>
        <w:tc>
          <w:tcPr>
            <w:tcW w:w="11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0.25</w:t>
            </w:r>
          </w:p>
        </w:tc>
        <w:tc>
          <w:tcPr>
            <w:tcW w:w="109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1500</w:t>
            </w:r>
          </w:p>
        </w:tc>
        <w:tc>
          <w:tcPr>
            <w:tcW w:w="10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9.27</w:t>
            </w:r>
          </w:p>
        </w:tc>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25</w:t>
            </w:r>
          </w:p>
        </w:tc>
        <w:tc>
          <w:tcPr>
            <w:tcW w:w="106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7920</w:t>
            </w:r>
          </w:p>
        </w:tc>
        <w:tc>
          <w:tcPr>
            <w:tcW w:w="7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正常</w:t>
            </w:r>
          </w:p>
        </w:tc>
        <w:tc>
          <w:tcPr>
            <w:tcW w:w="132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非甲烷总烃</w:t>
            </w:r>
          </w:p>
        </w:tc>
        <w:tc>
          <w:tcPr>
            <w:tcW w:w="123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0.0007</w:t>
            </w:r>
          </w:p>
        </w:tc>
      </w:tr>
    </w:tbl>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扩建工程废气（面源）排放参数一览表</w:t>
      </w:r>
      <w:bookmarkEnd w:id="514"/>
    </w:p>
    <w:tbl>
      <w:tblPr>
        <w:tblStyle w:val="18"/>
        <w:tblW w:w="142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872"/>
        <w:gridCol w:w="858"/>
        <w:gridCol w:w="867"/>
        <w:gridCol w:w="1029"/>
        <w:gridCol w:w="858"/>
        <w:gridCol w:w="878"/>
        <w:gridCol w:w="949"/>
        <w:gridCol w:w="1029"/>
        <w:gridCol w:w="853"/>
        <w:gridCol w:w="728"/>
        <w:gridCol w:w="989"/>
        <w:gridCol w:w="1398"/>
        <w:gridCol w:w="1060"/>
        <w:gridCol w:w="1057"/>
        <w:gridCol w:w="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0" w:type="dxa"/>
          <w:trHeight w:val="340" w:hRule="atLeast"/>
          <w:jc w:val="center"/>
        </w:trPr>
        <w:tc>
          <w:tcPr>
            <w:tcW w:w="76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编号</w:t>
            </w:r>
          </w:p>
        </w:tc>
        <w:tc>
          <w:tcPr>
            <w:tcW w:w="87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名称</w:t>
            </w:r>
          </w:p>
        </w:tc>
        <w:tc>
          <w:tcPr>
            <w:tcW w:w="1725"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面源起点坐标/m</w:t>
            </w:r>
          </w:p>
        </w:tc>
        <w:tc>
          <w:tcPr>
            <w:tcW w:w="102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面源海拔高度/m</w:t>
            </w:r>
          </w:p>
        </w:tc>
        <w:tc>
          <w:tcPr>
            <w:tcW w:w="85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面源长度/m</w:t>
            </w:r>
          </w:p>
        </w:tc>
        <w:tc>
          <w:tcPr>
            <w:tcW w:w="87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面源宽度/m</w:t>
            </w:r>
          </w:p>
        </w:tc>
        <w:tc>
          <w:tcPr>
            <w:tcW w:w="94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与正北向夹角/°</w:t>
            </w:r>
          </w:p>
        </w:tc>
        <w:tc>
          <w:tcPr>
            <w:tcW w:w="102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面源有效排放高度/m</w:t>
            </w:r>
          </w:p>
        </w:tc>
        <w:tc>
          <w:tcPr>
            <w:tcW w:w="853"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年排放小时数/h</w:t>
            </w:r>
          </w:p>
        </w:tc>
        <w:tc>
          <w:tcPr>
            <w:tcW w:w="7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排放工况</w:t>
            </w:r>
          </w:p>
        </w:tc>
        <w:tc>
          <w:tcPr>
            <w:tcW w:w="4504"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7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X</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Y</w:t>
            </w:r>
          </w:p>
        </w:tc>
        <w:tc>
          <w:tcPr>
            <w:tcW w:w="102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5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7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94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02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853"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7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9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PM</w:t>
            </w:r>
            <w:r>
              <w:rPr>
                <w:rFonts w:hint="eastAsia" w:cs="Times New Roman"/>
                <w:color w:val="auto"/>
                <w:szCs w:val="20"/>
                <w:highlight w:val="none"/>
                <w:vertAlign w:val="subscript"/>
                <w:lang w:val="en-US" w:eastAsia="zh-CN"/>
              </w:rPr>
              <w:t>10</w:t>
            </w:r>
            <w:r>
              <w:rPr>
                <w:rFonts w:hint="default" w:ascii="Times New Roman" w:hAnsi="Times New Roman" w:cs="Times New Roman"/>
                <w:color w:val="auto"/>
                <w:szCs w:val="20"/>
                <w:highlight w:val="none"/>
                <w:lang w:val="en-US" w:eastAsia="zh-CN"/>
              </w:rPr>
              <w:t>*</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106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NH</w:t>
            </w:r>
            <w:r>
              <w:rPr>
                <w:rFonts w:hint="default" w:ascii="Times New Roman" w:hAnsi="Times New Roman" w:cs="Times New Roman"/>
                <w:color w:val="auto"/>
                <w:szCs w:val="20"/>
                <w:highlight w:val="none"/>
                <w:vertAlign w:val="subscript"/>
                <w:lang w:val="en-US" w:eastAsia="zh-CN"/>
              </w:rPr>
              <w:t>3</w:t>
            </w:r>
          </w:p>
        </w:tc>
        <w:tc>
          <w:tcPr>
            <w:tcW w:w="107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H</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M1</w:t>
            </w:r>
          </w:p>
        </w:tc>
        <w:tc>
          <w:tcPr>
            <w:tcW w:w="87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前纺楼</w:t>
            </w: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91</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88</w:t>
            </w:r>
          </w:p>
        </w:tc>
        <w:tc>
          <w:tcPr>
            <w:tcW w:w="10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w:t>
            </w: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w:t>
            </w:r>
          </w:p>
        </w:tc>
        <w:tc>
          <w:tcPr>
            <w:tcW w:w="87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55.6</w:t>
            </w:r>
          </w:p>
        </w:tc>
        <w:tc>
          <w:tcPr>
            <w:tcW w:w="94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0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16</w:t>
            </w:r>
          </w:p>
        </w:tc>
        <w:tc>
          <w:tcPr>
            <w:tcW w:w="8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7920</w:t>
            </w:r>
          </w:p>
        </w:tc>
        <w:tc>
          <w:tcPr>
            <w:tcW w:w="72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正常</w:t>
            </w:r>
          </w:p>
        </w:tc>
        <w:tc>
          <w:tcPr>
            <w:tcW w:w="9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0.9048</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0.4154</w:t>
            </w:r>
          </w:p>
        </w:tc>
        <w:tc>
          <w:tcPr>
            <w:tcW w:w="106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7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M2</w:t>
            </w:r>
          </w:p>
        </w:tc>
        <w:tc>
          <w:tcPr>
            <w:tcW w:w="87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后纺楼</w:t>
            </w: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61</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144</w:t>
            </w:r>
          </w:p>
        </w:tc>
        <w:tc>
          <w:tcPr>
            <w:tcW w:w="10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w:t>
            </w: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126.4</w:t>
            </w:r>
          </w:p>
        </w:tc>
        <w:tc>
          <w:tcPr>
            <w:tcW w:w="87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23.7</w:t>
            </w:r>
          </w:p>
        </w:tc>
        <w:tc>
          <w:tcPr>
            <w:tcW w:w="94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0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16.55</w:t>
            </w:r>
          </w:p>
        </w:tc>
        <w:tc>
          <w:tcPr>
            <w:tcW w:w="8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7920</w:t>
            </w:r>
          </w:p>
        </w:tc>
        <w:tc>
          <w:tcPr>
            <w:tcW w:w="72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正常</w:t>
            </w:r>
          </w:p>
        </w:tc>
        <w:tc>
          <w:tcPr>
            <w:tcW w:w="9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0.0202</w:t>
            </w:r>
          </w:p>
        </w:tc>
        <w:tc>
          <w:tcPr>
            <w:tcW w:w="106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7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bookmarkStart w:id="515" w:name="_Ref6217"/>
            <w:r>
              <w:rPr>
                <w:rFonts w:hint="default" w:ascii="Times New Roman" w:hAnsi="Times New Roman" w:cs="Times New Roman"/>
                <w:color w:val="auto"/>
                <w:szCs w:val="20"/>
                <w:highlight w:val="none"/>
                <w:lang w:val="en-US" w:eastAsia="zh-CN"/>
              </w:rPr>
              <w:t>M3</w:t>
            </w:r>
          </w:p>
        </w:tc>
        <w:tc>
          <w:tcPr>
            <w:tcW w:w="87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污水站</w:t>
            </w: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106</w:t>
            </w:r>
          </w:p>
        </w:tc>
        <w:tc>
          <w:tcPr>
            <w:tcW w:w="8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79</w:t>
            </w:r>
          </w:p>
        </w:tc>
        <w:tc>
          <w:tcPr>
            <w:tcW w:w="10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w:t>
            </w:r>
          </w:p>
        </w:tc>
        <w:tc>
          <w:tcPr>
            <w:tcW w:w="8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87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94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02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8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7920</w:t>
            </w:r>
          </w:p>
        </w:tc>
        <w:tc>
          <w:tcPr>
            <w:tcW w:w="7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正常</w:t>
            </w:r>
          </w:p>
        </w:tc>
        <w:tc>
          <w:tcPr>
            <w:tcW w:w="9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39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1.20</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w:t>
            </w:r>
            <w:r>
              <w:rPr>
                <w:rFonts w:hint="eastAsia" w:cs="Times New Roman"/>
                <w:color w:val="auto"/>
                <w:szCs w:val="20"/>
                <w:highlight w:val="none"/>
                <w:vertAlign w:val="superscript"/>
                <w:lang w:val="en-US" w:eastAsia="zh-CN"/>
              </w:rPr>
              <w:t>3</w:t>
            </w:r>
          </w:p>
        </w:tc>
        <w:tc>
          <w:tcPr>
            <w:tcW w:w="106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2.</w:t>
            </w:r>
            <w:r>
              <w:rPr>
                <w:rFonts w:hint="eastAsia" w:cs="Times New Roman"/>
                <w:color w:val="auto"/>
                <w:szCs w:val="20"/>
                <w:highlight w:val="none"/>
                <w:lang w:val="en-US" w:eastAsia="zh-CN"/>
              </w:rPr>
              <w:t>58</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-4</w:t>
            </w:r>
          </w:p>
        </w:tc>
        <w:tc>
          <w:tcPr>
            <w:tcW w:w="107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9.97</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9" w:type="dxa"/>
            <w:gridSpan w:val="16"/>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color w:val="auto"/>
                <w:szCs w:val="20"/>
                <w:highlight w:val="none"/>
                <w:lang w:val="en-US" w:eastAsia="zh-CN"/>
              </w:rPr>
            </w:pPr>
            <w:bookmarkStart w:id="516" w:name="_Ref5945"/>
            <w:r>
              <w:rPr>
                <w:rFonts w:hint="default" w:ascii="Times New Roman" w:hAnsi="Times New Roman" w:cs="Times New Roman"/>
                <w:color w:val="auto"/>
                <w:szCs w:val="20"/>
                <w:highlight w:val="none"/>
                <w:lang w:val="en-US" w:eastAsia="zh-CN"/>
              </w:rPr>
              <w:t>注：颗粒物产生于破碎、造粒工序，该工序位于前纺楼6 F，因此颗粒物面源有效排放高度取28 m。</w:t>
            </w:r>
          </w:p>
        </w:tc>
      </w:tr>
      <w:bookmarkEnd w:id="515"/>
    </w:tbl>
    <w:p>
      <w:pPr>
        <w:bidi w:val="0"/>
        <w:rPr>
          <w:rFonts w:hint="default"/>
          <w:color w:val="auto"/>
          <w:lang w:val="en-US" w:eastAsia="zh-CN"/>
        </w:rPr>
      </w:pPr>
      <w:bookmarkStart w:id="517" w:name="_Ref28119"/>
    </w:p>
    <w:p>
      <w:pPr>
        <w:bidi w:val="0"/>
        <w:rPr>
          <w:rFonts w:hint="default"/>
          <w:color w:val="auto"/>
          <w:lang w:val="en-US" w:eastAsia="zh-CN"/>
        </w:rPr>
      </w:pPr>
    </w:p>
    <w:p>
      <w:pPr>
        <w:bidi w:val="0"/>
        <w:rPr>
          <w:rFonts w:hint="default"/>
          <w:color w:val="auto"/>
          <w:lang w:val="en-US" w:eastAsia="zh-CN"/>
        </w:r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18" w:name="_Ref2223"/>
      <w:r>
        <w:rPr>
          <w:rFonts w:hint="default" w:ascii="Times New Roman" w:hAnsi="Times New Roman" w:cs="Times New Roman"/>
          <w:color w:val="auto"/>
          <w:highlight w:val="none"/>
          <w:lang w:val="en-US" w:eastAsia="zh-CN"/>
        </w:rPr>
        <w:t>评价范围内在建、拟建项目有组织废气正常排放源强及排放参数（仅统计与本项目同类污染源）</w:t>
      </w:r>
      <w:bookmarkEnd w:id="516"/>
      <w:bookmarkEnd w:id="517"/>
      <w:bookmarkEnd w:id="518"/>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19" w:name="_Ref6037"/>
      <w:bookmarkStart w:id="520" w:name="_Ref28217"/>
      <w:bookmarkStart w:id="521" w:name="_Ref26869"/>
      <w:r>
        <w:rPr>
          <w:rFonts w:hint="default" w:ascii="Times New Roman" w:hAnsi="Times New Roman" w:cs="Times New Roman"/>
          <w:color w:val="auto"/>
          <w:highlight w:val="none"/>
          <w:lang w:val="en-US" w:eastAsia="zh-CN"/>
        </w:rPr>
        <w:t>评价范围内在建、拟建项目无组织废气正常排放源强及排放参数（仅统计与本项目同类污染源）</w:t>
      </w:r>
      <w:bookmarkEnd w:id="519"/>
      <w:bookmarkEnd w:id="520"/>
      <w:bookmarkEnd w:id="521"/>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2" w:name="_Ref4950"/>
      <w:r>
        <w:rPr>
          <w:rFonts w:hint="default" w:ascii="Times New Roman" w:hAnsi="Times New Roman" w:cs="Times New Roman"/>
          <w:color w:val="auto"/>
          <w:highlight w:val="none"/>
          <w:lang w:val="en-US" w:eastAsia="zh-CN"/>
        </w:rPr>
        <w:t>扩建工程非正常排放废气（点源）排放参数一览表</w:t>
      </w:r>
      <w:bookmarkEnd w:id="522"/>
    </w:p>
    <w:tbl>
      <w:tblPr>
        <w:tblStyle w:val="18"/>
        <w:tblW w:w="142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2497"/>
        <w:gridCol w:w="2346"/>
        <w:gridCol w:w="3219"/>
        <w:gridCol w:w="2198"/>
        <w:gridCol w:w="22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60" w:hRule="atLeast"/>
          <w:tblHeader/>
          <w:jc w:val="center"/>
        </w:trPr>
        <w:tc>
          <w:tcPr>
            <w:tcW w:w="1703"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非正常排放源</w:t>
            </w:r>
          </w:p>
        </w:tc>
        <w:tc>
          <w:tcPr>
            <w:tcW w:w="249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非正常排放原因</w:t>
            </w:r>
          </w:p>
        </w:tc>
        <w:tc>
          <w:tcPr>
            <w:tcW w:w="23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w:t>
            </w:r>
          </w:p>
        </w:tc>
        <w:tc>
          <w:tcPr>
            <w:tcW w:w="321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非正常排放速率/（kg/h）</w:t>
            </w:r>
          </w:p>
        </w:tc>
        <w:tc>
          <w:tcPr>
            <w:tcW w:w="21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单次持续时间/h</w:t>
            </w:r>
          </w:p>
        </w:tc>
        <w:tc>
          <w:tcPr>
            <w:tcW w:w="2246"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年发生频次/次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7</w:t>
            </w:r>
          </w:p>
        </w:tc>
        <w:tc>
          <w:tcPr>
            <w:tcW w:w="2497"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废气处理设施故障</w:t>
            </w:r>
          </w:p>
        </w:tc>
        <w:tc>
          <w:tcPr>
            <w:tcW w:w="23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颗粒物</w:t>
            </w:r>
          </w:p>
        </w:tc>
        <w:tc>
          <w:tcPr>
            <w:tcW w:w="321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14.435</w:t>
            </w:r>
          </w:p>
        </w:tc>
        <w:tc>
          <w:tcPr>
            <w:tcW w:w="21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2246"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497"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3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321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3.642</w:t>
            </w:r>
          </w:p>
        </w:tc>
        <w:tc>
          <w:tcPr>
            <w:tcW w:w="21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246"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8</w:t>
            </w:r>
          </w:p>
        </w:tc>
        <w:tc>
          <w:tcPr>
            <w:tcW w:w="249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废气处理设施故障</w:t>
            </w:r>
          </w:p>
        </w:tc>
        <w:tc>
          <w:tcPr>
            <w:tcW w:w="23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321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2.359</w:t>
            </w:r>
          </w:p>
        </w:tc>
        <w:tc>
          <w:tcPr>
            <w:tcW w:w="21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246"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r>
    </w:tbl>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pPr>
    </w:p>
    <w:p>
      <w:pPr>
        <w:bidi w:val="0"/>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预测模型参数</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①预测软件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 大气环境》（HJ2.2-2018）表3推荐，同时该区域评价基准年内存在风速≤0.5m/s的持续时间为5 h，开始于2019</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7/9 3:00，未超过72 h；近20年统计的全年静风频率为9.02%，未超过35%，因此选用AERMOD模式作为本次预测模式，并采用六五软件工作室开发的EIAProA软件，版本号2.6.498。</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②地形、地表参数</w:t>
      </w:r>
    </w:p>
    <w:p>
      <w:pPr>
        <w:rPr>
          <w:rFonts w:hint="default" w:ascii="Times New Roman" w:hAnsi="Times New Roman" w:cs="Times New Roman"/>
          <w:b w:val="0"/>
          <w:color w:val="auto"/>
          <w:kern w:val="2"/>
          <w:szCs w:val="22"/>
          <w:highlight w:val="none"/>
          <w:u w:val="none" w:color="auto"/>
          <w:lang w:val="en-US" w:eastAsia="zh-CN" w:bidi="ar-SA"/>
        </w:rPr>
      </w:pPr>
      <w:r>
        <w:rPr>
          <w:rFonts w:hint="default" w:ascii="Times New Roman" w:hAnsi="Times New Roman" w:cs="Times New Roman"/>
          <w:color w:val="auto"/>
          <w:highlight w:val="none"/>
          <w:lang w:val="en-US" w:eastAsia="zh-CN"/>
        </w:rPr>
        <w:t>根据拟扩建项目所处地理环境，评价区土地利用类型为建设用地，分3个扇区（针叶林、水面、城市），地表湿度主要为潮湿气候，按季计算评价区地面特征参</w:t>
      </w:r>
      <w:r>
        <w:rPr>
          <w:rFonts w:hint="default" w:ascii="Times New Roman" w:hAnsi="Times New Roman" w:eastAsia="宋体" w:cs="Times New Roman"/>
          <w:b w:val="0"/>
          <w:color w:val="auto"/>
          <w:kern w:val="2"/>
          <w:szCs w:val="22"/>
          <w:highlight w:val="none"/>
          <w:u w:val="none" w:color="auto"/>
          <w:lang w:val="en-US" w:eastAsia="zh-CN" w:bidi="ar-SA"/>
        </w:rPr>
        <w:t>数</w:t>
      </w:r>
      <w:r>
        <w:rPr>
          <w:rFonts w:hint="default" w:ascii="Times New Roman" w:hAnsi="Times New Roman" w:cs="Times New Roman"/>
          <w:b w:val="0"/>
          <w:color w:val="auto"/>
          <w:kern w:val="2"/>
          <w:szCs w:val="22"/>
          <w:highlight w:val="none"/>
          <w:u w:val="none" w:color="auto"/>
          <w:lang w:val="en-US" w:eastAsia="zh-CN" w:bidi="ar-SA"/>
        </w:rPr>
        <w:t>，见。</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AERMOD地面特征参数</w:t>
      </w:r>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7"/>
        <w:gridCol w:w="1695"/>
        <w:gridCol w:w="1087"/>
        <w:gridCol w:w="1567"/>
        <w:gridCol w:w="1327"/>
        <w:gridCol w:w="1327"/>
        <w:gridCol w:w="13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16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通用地表类型</w:t>
            </w: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扇区</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时段</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正午反照率</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BOWEN</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粗糙度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169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针叶林</w:t>
            </w: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0-110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冬季（12,1,2）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0.35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0.3</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0-110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春季（3,4,5）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0.3</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0-110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夏季（6,7,8）</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0.2</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0-110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秋季（9,10,11）</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0.3</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169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水面</w:t>
            </w: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110-220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冬季（12,1,2）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0.3</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110-220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春季（3,4,5）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110-220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夏季（6,7,8）</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110-220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秋季（9,10,11）</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0.14</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w:t>
            </w:r>
          </w:p>
        </w:tc>
        <w:tc>
          <w:tcPr>
            <w:tcW w:w="169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城市</w:t>
            </w: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220-360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冬季（12,1,2）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0.35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0.5</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220-360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春季（3,4,5）</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0.14</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0.5</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220-360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夏季（6,7,8）</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0.16</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w:t>
            </w:r>
          </w:p>
        </w:tc>
        <w:tc>
          <w:tcPr>
            <w:tcW w:w="169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0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220-360</w:t>
            </w:r>
          </w:p>
        </w:tc>
        <w:tc>
          <w:tcPr>
            <w:tcW w:w="156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秋季（9,10,11）</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0.18</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评价范围内的地形数据采用外部DEM文件，并采用AERMAP运行计算得出评价范围内各网格及敏感点的地形数据。构建评价范围的预测网格时，采用直角坐标的方式，即坐标形式为（</w:t>
      </w:r>
      <w:r>
        <w:rPr>
          <w:rFonts w:hint="eastAsia" w:cs="Times New Roman"/>
          <w:color w:val="auto"/>
          <w:highlight w:val="none"/>
          <w:lang w:val="en-US" w:eastAsia="zh-CN"/>
        </w:rPr>
        <w:t>X</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Y</w:t>
      </w:r>
      <w:r>
        <w:rPr>
          <w:rFonts w:hint="default" w:ascii="Times New Roman" w:hAnsi="Times New Roman" w:cs="Times New Roman"/>
          <w:color w:val="auto"/>
          <w:highlight w:val="none"/>
          <w:lang w:val="en-US" w:eastAsia="zh-CN"/>
        </w:rPr>
        <w:t>），以厂界左下角为中心（0，0）。</w:t>
      </w:r>
    </w:p>
    <w:p>
      <w:pPr>
        <w:bidi w:val="0"/>
        <w:rPr>
          <w:rFonts w:hint="default" w:ascii="Times New Roman" w:hAnsi="Times New Roman" w:cs="Times New Roman"/>
          <w:color w:val="auto"/>
          <w:highlight w:val="none"/>
          <w:lang w:val="en-US" w:eastAsia="zh-CN"/>
        </w:rPr>
      </w:pPr>
    </w:p>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353050" cy="4905375"/>
            <wp:effectExtent l="0" t="0" r="0" b="9525"/>
            <wp:docPr id="29" name="图片 29" descr="地形高层图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地形高层图PS"/>
                    <pic:cNvPicPr>
                      <a:picLocks noChangeAspect="1"/>
                    </pic:cNvPicPr>
                  </pic:nvPicPr>
                  <pic:blipFill>
                    <a:blip r:embed="rId108"/>
                    <a:stretch>
                      <a:fillRect/>
                    </a:stretch>
                  </pic:blipFill>
                  <pic:spPr>
                    <a:xfrm>
                      <a:off x="0" y="0"/>
                      <a:ext cx="5353050" cy="4905375"/>
                    </a:xfrm>
                    <a:prstGeom prst="rect">
                      <a:avLst/>
                    </a:prstGeom>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评价区域地表高程示意图</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评价工作等级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根据工程分析结果选择PM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、非甲烷总经、氨、硫化氢作为主要污染物进行评价。按照</w:t>
      </w:r>
      <w:r>
        <w:rPr>
          <w:rFonts w:hint="default" w:ascii="Times New Roman" w:hAnsi="Times New Roman" w:cs="Times New Roman"/>
          <w:color w:val="auto"/>
          <w:highlight w:val="none"/>
        </w:rPr>
        <w:t>《环境影响评价技术导则-大气环境》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HJT2.2-2018</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u w:val="none"/>
        </w:rPr>
        <w:t>分别计算每一种污染物的最大地面浓度占标率P</w:t>
      </w:r>
      <w:r>
        <w:rPr>
          <w:rFonts w:hint="default" w:ascii="Times New Roman" w:hAnsi="Times New Roman" w:cs="Times New Roman"/>
          <w:color w:val="auto"/>
          <w:sz w:val="24"/>
          <w:highlight w:val="none"/>
          <w:u w:val="none"/>
          <w:vertAlign w:val="subscript"/>
        </w:rPr>
        <w:t>i</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第i个污染物</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sz w:val="24"/>
          <w:highlight w:val="none"/>
          <w:u w:val="none"/>
        </w:rPr>
        <w:t>及第i个污染物的地面浓度达标准限值10%时所对应的最远距离D</w:t>
      </w:r>
      <w:r>
        <w:rPr>
          <w:rFonts w:hint="default" w:ascii="Times New Roman" w:hAnsi="Times New Roman" w:cs="Times New Roman"/>
          <w:color w:val="auto"/>
          <w:sz w:val="24"/>
          <w:highlight w:val="none"/>
          <w:u w:val="none"/>
          <w:vertAlign w:val="subscript"/>
        </w:rPr>
        <w:t>10%</w:t>
      </w:r>
      <w:r>
        <w:rPr>
          <w:rFonts w:hint="default" w:ascii="Times New Roman" w:hAnsi="Times New Roman" w:cs="Times New Roman"/>
          <w:color w:val="auto"/>
          <w:sz w:val="24"/>
          <w:highlight w:val="none"/>
          <w:u w:val="none"/>
        </w:rPr>
        <w:t>，其中P</w:t>
      </w:r>
      <w:r>
        <w:rPr>
          <w:rFonts w:hint="default" w:ascii="Times New Roman" w:hAnsi="Times New Roman" w:cs="Times New Roman"/>
          <w:color w:val="auto"/>
          <w:sz w:val="24"/>
          <w:highlight w:val="none"/>
          <w:u w:val="none"/>
          <w:vertAlign w:val="subscript"/>
        </w:rPr>
        <w:t>i</w:t>
      </w:r>
      <w:r>
        <w:rPr>
          <w:rFonts w:hint="default" w:ascii="Times New Roman" w:hAnsi="Times New Roman" w:cs="Times New Roman"/>
          <w:color w:val="auto"/>
          <w:sz w:val="24"/>
          <w:highlight w:val="none"/>
          <w:u w:val="none"/>
        </w:rPr>
        <w:t>定义为：</w:t>
      </w:r>
    </w:p>
    <w:p>
      <w:pPr>
        <w:bidi w:val="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position w:val="-30"/>
          <w:highlight w:val="none"/>
        </w:rPr>
        <w:object>
          <v:shape id="_x0000_i1073" o:spt="75" type="#_x0000_t75" style="height:33.75pt;width:80.95pt;" o:ole="t" filled="f" o:preferrelative="t" stroked="f" coordsize="21600,21600">
            <v:path/>
            <v:fill on="f" focussize="0,0"/>
            <v:stroke on="f"/>
            <v:imagedata r:id="rId13" o:title=""/>
            <o:lock v:ext="edit" aspectratio="t"/>
            <w10:wrap type="none"/>
            <w10:anchorlock/>
          </v:shape>
          <o:OLEObject Type="Embed" ProgID="Equation.3" ShapeID="_x0000_i1073" DrawAspect="Content" ObjectID="_1468075762" r:id="rId109">
            <o:LockedField>false</o:LockedField>
          </o:OLEObject>
        </w:objec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式中：P</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—第i个污染物的最大地面浓度占标率，%；</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—采用估算模式计算出的第i个污染物的最大地面浓度，mg/m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oi</w:t>
      </w:r>
      <w:r>
        <w:rPr>
          <w:rFonts w:hint="default" w:ascii="Times New Roman" w:hAnsi="Times New Roman" w:cs="Times New Roman"/>
          <w:color w:val="auto"/>
          <w:highlight w:val="none"/>
        </w:rPr>
        <w:t>—第i个污染物的环境空气质量标准，mg/m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评价等级</w:t>
      </w:r>
      <w:r>
        <w:rPr>
          <w:rFonts w:hint="default" w:ascii="Times New Roman" w:hAnsi="Times New Roman" w:cs="Times New Roman"/>
          <w:color w:val="auto"/>
          <w:highlight w:val="none"/>
          <w:lang w:val="en-US" w:eastAsia="zh-CN"/>
        </w:rPr>
        <w:t>按</w:t>
      </w: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4.2-14的分级判据进行划分，如污染物i大于1，取Pi值最大者（P</w:t>
      </w:r>
      <w:r>
        <w:rPr>
          <w:rFonts w:hint="default" w:ascii="Times New Roman" w:hAnsi="Times New Roman" w:cs="Times New Roman"/>
          <w:color w:val="auto"/>
          <w:highlight w:val="none"/>
          <w:vertAlign w:val="subscript"/>
          <w:lang w:val="en-US" w:eastAsia="zh-CN"/>
        </w:rPr>
        <w:t>max</w:t>
      </w:r>
      <w:r>
        <w:rPr>
          <w:rFonts w:hint="default" w:ascii="Times New Roman" w:hAnsi="Times New Roman" w:cs="Times New Roman"/>
          <w:color w:val="auto"/>
          <w:highlight w:val="none"/>
          <w:lang w:val="en-US" w:eastAsia="zh-CN"/>
        </w:rPr>
        <w:t>）和其对应的D%，估算模型参数详见</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评价等级分级判定依据一览表</w:t>
      </w:r>
    </w:p>
    <w:tbl>
      <w:tblPr>
        <w:tblStyle w:val="17"/>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3"/>
        <w:gridCol w:w="5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评价工作等级</w:t>
            </w:r>
          </w:p>
        </w:tc>
        <w:tc>
          <w:tcPr>
            <w:tcW w:w="50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一级</w:t>
            </w:r>
          </w:p>
        </w:tc>
        <w:tc>
          <w:tcPr>
            <w:tcW w:w="50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P</w:t>
            </w:r>
            <w:r>
              <w:rPr>
                <w:rFonts w:hint="default" w:ascii="Times New Roman" w:hAnsi="Times New Roman" w:eastAsia="宋体" w:cs="Times New Roman"/>
                <w:color w:val="auto"/>
                <w:kern w:val="2"/>
                <w:sz w:val="21"/>
                <w:szCs w:val="24"/>
                <w:highlight w:val="none"/>
                <w:vertAlign w:val="subscript"/>
                <w:lang w:val="en-US" w:eastAsia="zh-CN" w:bidi="ar-SA"/>
              </w:rPr>
              <w:t>max</w:t>
            </w:r>
            <w:r>
              <w:rPr>
                <w:rFonts w:hint="default" w:ascii="Times New Roman" w:hAnsi="Times New Roman" w:eastAsia="宋体" w:cs="Times New Roman"/>
                <w:color w:val="auto"/>
                <w:kern w:val="2"/>
                <w:sz w:val="21"/>
                <w:szCs w:val="24"/>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二级</w:t>
            </w:r>
          </w:p>
        </w:tc>
        <w:tc>
          <w:tcPr>
            <w:tcW w:w="50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1%≤P</w:t>
            </w:r>
            <w:r>
              <w:rPr>
                <w:rFonts w:hint="default" w:ascii="Times New Roman" w:hAnsi="Times New Roman" w:eastAsia="宋体" w:cs="Times New Roman"/>
                <w:color w:val="auto"/>
                <w:kern w:val="2"/>
                <w:sz w:val="21"/>
                <w:szCs w:val="24"/>
                <w:highlight w:val="none"/>
                <w:vertAlign w:val="subscript"/>
                <w:lang w:val="en-US" w:eastAsia="zh-CN" w:bidi="ar-SA"/>
              </w:rPr>
              <w:t>max</w:t>
            </w:r>
            <w:r>
              <w:rPr>
                <w:rFonts w:hint="default" w:ascii="Times New Roman" w:hAnsi="Times New Roman" w:eastAsia="宋体" w:cs="Times New Roman"/>
                <w:color w:val="auto"/>
                <w:kern w:val="2"/>
                <w:sz w:val="21"/>
                <w:szCs w:val="24"/>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三级</w:t>
            </w:r>
          </w:p>
        </w:tc>
        <w:tc>
          <w:tcPr>
            <w:tcW w:w="5043"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P</w:t>
            </w:r>
            <w:r>
              <w:rPr>
                <w:rFonts w:hint="default" w:ascii="Times New Roman" w:hAnsi="Times New Roman" w:eastAsia="宋体" w:cs="Times New Roman"/>
                <w:color w:val="auto"/>
                <w:kern w:val="2"/>
                <w:sz w:val="21"/>
                <w:szCs w:val="24"/>
                <w:highlight w:val="none"/>
                <w:vertAlign w:val="subscript"/>
                <w:lang w:val="en-US" w:eastAsia="zh-CN" w:bidi="ar-SA"/>
              </w:rPr>
              <w:t>max</w:t>
            </w:r>
            <w:r>
              <w:rPr>
                <w:rFonts w:hint="default" w:ascii="Times New Roman" w:hAnsi="Times New Roman" w:eastAsia="宋体" w:cs="Times New Roman"/>
                <w:color w:val="auto"/>
                <w:kern w:val="2"/>
                <w:sz w:val="21"/>
                <w:szCs w:val="24"/>
                <w:highlight w:val="none"/>
                <w:lang w:val="en-US" w:eastAsia="zh-CN" w:bidi="ar-SA"/>
              </w:rPr>
              <w:t>＜1%</w:t>
            </w:r>
          </w:p>
        </w:tc>
      </w:tr>
    </w:tbl>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3" w:name="_Ref6580"/>
      <w:r>
        <w:rPr>
          <w:rFonts w:hint="default" w:ascii="Times New Roman" w:hAnsi="Times New Roman" w:cs="Times New Roman"/>
          <w:color w:val="auto"/>
          <w:highlight w:val="none"/>
          <w:lang w:val="en-US" w:eastAsia="zh-CN"/>
        </w:rPr>
        <w:t>估算模型参数表</w:t>
      </w:r>
      <w:bookmarkEnd w:id="523"/>
    </w:p>
    <w:tbl>
      <w:tblPr>
        <w:tblStyle w:val="18"/>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4"/>
        <w:gridCol w:w="3097"/>
        <w:gridCol w:w="30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191"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参数</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城市/农村选项</w:t>
            </w: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城市/农村</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人口数（城市选项时）</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1"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最高环境温度/℃</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1"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最低环境温度/℃</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1"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土地使用类型</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针叶林、水面、城市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1"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区域湿度条件</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潮湿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是否考虑地形</w:t>
            </w: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考虑地形</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sym w:font="Wingdings 2" w:char="0052"/>
            </w:r>
            <w:r>
              <w:rPr>
                <w:rFonts w:hint="default" w:ascii="Times New Roman" w:hAnsi="Times New Roman" w:cs="Times New Roman"/>
                <w:color w:val="auto"/>
                <w:szCs w:val="20"/>
                <w:highlight w:val="none"/>
                <w:lang w:val="en-US" w:eastAsia="zh-CN"/>
              </w:rPr>
              <w:t xml:space="preserve">是  </w:t>
            </w:r>
            <w:r>
              <w:rPr>
                <w:rFonts w:hint="default" w:ascii="Times New Roman" w:hAnsi="Times New Roman" w:cs="Times New Roman"/>
                <w:color w:val="auto"/>
                <w:szCs w:val="20"/>
                <w:highlight w:val="none"/>
                <w:lang w:val="en-US" w:eastAsia="zh-CN"/>
              </w:rPr>
              <w:sym w:font="Wingdings 2" w:char="00A3"/>
            </w:r>
            <w:r>
              <w:rPr>
                <w:rFonts w:hint="default" w:ascii="Times New Roman" w:hAnsi="Times New Roman" w:cs="Times New Roman"/>
                <w:color w:val="auto"/>
                <w:szCs w:val="20"/>
                <w:highlight w:val="no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地形数据分辨率/m</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90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是否考虑岸线熏烟</w:t>
            </w: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考虑岸线熏烟</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sym w:font="Wingdings 2" w:char="0052"/>
            </w:r>
            <w:r>
              <w:rPr>
                <w:rFonts w:hint="default" w:ascii="Times New Roman" w:hAnsi="Times New Roman" w:cs="Times New Roman"/>
                <w:color w:val="auto"/>
                <w:szCs w:val="20"/>
                <w:highlight w:val="none"/>
                <w:lang w:val="en-US" w:eastAsia="zh-CN"/>
              </w:rPr>
              <w:t xml:space="preserve">是  </w:t>
            </w:r>
            <w:r>
              <w:rPr>
                <w:rFonts w:hint="default" w:ascii="Times New Roman" w:hAnsi="Times New Roman" w:cs="Times New Roman"/>
                <w:color w:val="auto"/>
                <w:szCs w:val="20"/>
                <w:highlight w:val="none"/>
                <w:lang w:val="en-US" w:eastAsia="zh-CN"/>
              </w:rPr>
              <w:sym w:font="Wingdings 2" w:char="00A3"/>
            </w:r>
            <w:r>
              <w:rPr>
                <w:rFonts w:hint="default" w:ascii="Times New Roman" w:hAnsi="Times New Roman" w:cs="Times New Roman"/>
                <w:color w:val="auto"/>
                <w:szCs w:val="20"/>
                <w:highlight w:val="no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岸线距离/km</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30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岸线方向/°</w:t>
            </w:r>
          </w:p>
        </w:tc>
        <w:tc>
          <w:tcPr>
            <w:tcW w:w="3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150</w:t>
            </w:r>
          </w:p>
        </w:tc>
      </w:tr>
    </w:tbl>
    <w:p>
      <w:pPr>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szCs w:val="21"/>
          <w:highlight w:val="none"/>
          <w:lang w:val="en-US" w:eastAsia="zh-CN"/>
        </w:rPr>
        <w:t>根据《环境影响评价技术导则 大气环境》（HJ2.2-2018）</w:t>
      </w:r>
      <w:r>
        <w:rPr>
          <w:rFonts w:hint="default" w:ascii="Times New Roman" w:hAnsi="Times New Roman" w:eastAsia="宋体" w:cs="Times New Roman"/>
          <w:color w:val="auto"/>
          <w:kern w:val="0"/>
          <w:sz w:val="24"/>
          <w:szCs w:val="24"/>
          <w:highlight w:val="none"/>
          <w:lang w:val="en-US" w:eastAsia="zh-CN" w:bidi="ar"/>
        </w:rPr>
        <w:t>采用六五软件工作室</w:t>
      </w:r>
      <w:r>
        <w:rPr>
          <w:rFonts w:hint="default" w:ascii="Times New Roman" w:hAnsi="Times New Roman" w:eastAsia="宋体" w:cs="Times New Roman"/>
          <w:color w:val="auto"/>
          <w:szCs w:val="21"/>
          <w:highlight w:val="none"/>
          <w:lang w:val="en-US" w:eastAsia="zh-CN"/>
        </w:rPr>
        <w:t>开发制作的大气环评专业辅助系统（EIAProA2018）的ARESCREEN（版本Ver2.6</w:t>
      </w:r>
      <w:r>
        <w:rPr>
          <w:rFonts w:hint="default" w:ascii="Times New Roman" w:hAnsi="Times New Roman" w:cs="Times New Roman"/>
          <w:color w:val="auto"/>
          <w:szCs w:val="21"/>
          <w:highlight w:val="none"/>
          <w:lang w:val="en-US" w:eastAsia="zh-CN"/>
        </w:rPr>
        <w:t>.498</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2"/>
          <w:highlight w:val="none"/>
          <w:u w:val="none" w:color="auto"/>
          <w:lang w:val="en-US" w:eastAsia="zh-CN"/>
        </w:rPr>
        <w:t>估算项目废气正常排放时，项目污染源中心下风向不同距离的浓度及占标率</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预测</w:t>
      </w:r>
      <w:r>
        <w:rPr>
          <w:rFonts w:hint="default" w:ascii="Times New Roman" w:hAnsi="Times New Roman" w:cs="Times New Roman"/>
          <w:color w:val="auto"/>
          <w:kern w:val="0"/>
          <w:sz w:val="24"/>
          <w:szCs w:val="24"/>
          <w:highlight w:val="none"/>
          <w:lang w:val="en-US" w:eastAsia="zh-CN" w:bidi="ar"/>
        </w:rPr>
        <w:t>结果</w:t>
      </w:r>
      <w:r>
        <w:rPr>
          <w:rFonts w:hint="default" w:ascii="Times New Roman" w:hAnsi="Times New Roman" w:eastAsia="宋体" w:cs="Times New Roman"/>
          <w:color w:val="auto"/>
          <w:kern w:val="0"/>
          <w:sz w:val="24"/>
          <w:szCs w:val="24"/>
          <w:highlight w:val="none"/>
          <w:lang w:val="en-US" w:eastAsia="zh-CN" w:bidi="ar"/>
        </w:rPr>
        <w:t>见</w:t>
      </w:r>
      <w:r>
        <w:rPr>
          <w:rFonts w:hint="default" w:ascii="Times New Roman" w:hAnsi="Times New Roman" w:eastAsia="宋体" w:cs="Times New Roman"/>
          <w:color w:val="auto"/>
          <w:kern w:val="0"/>
          <w:sz w:val="24"/>
          <w:szCs w:val="24"/>
          <w:highlight w:val="none"/>
          <w:lang w:val="en-US" w:eastAsia="zh-CN" w:bidi="ar"/>
        </w:rPr>
        <w:fldChar w:fldCharType="begin"/>
      </w:r>
      <w:r>
        <w:rPr>
          <w:rFonts w:hint="default" w:ascii="Times New Roman" w:hAnsi="Times New Roman" w:eastAsia="宋体" w:cs="Times New Roman"/>
          <w:color w:val="auto"/>
          <w:kern w:val="0"/>
          <w:sz w:val="24"/>
          <w:szCs w:val="24"/>
          <w:highlight w:val="none"/>
          <w:lang w:val="en-US" w:eastAsia="zh-CN" w:bidi="ar"/>
        </w:rPr>
        <w:instrText xml:space="preserve"> REF _Ref4246 \n \h </w:instrText>
      </w:r>
      <w:r>
        <w:rPr>
          <w:rFonts w:hint="default" w:ascii="Times New Roman" w:hAnsi="Times New Roman" w:eastAsia="宋体" w:cs="Times New Roman"/>
          <w:color w:val="auto"/>
          <w:kern w:val="0"/>
          <w:sz w:val="24"/>
          <w:szCs w:val="24"/>
          <w:highlight w:val="none"/>
          <w:lang w:val="en-US" w:eastAsia="zh-CN" w:bidi="ar"/>
        </w:rPr>
        <w:fldChar w:fldCharType="separate"/>
      </w:r>
      <w:r>
        <w:rPr>
          <w:rFonts w:hint="default" w:ascii="Times New Roman" w:hAnsi="Times New Roman" w:eastAsia="宋体" w:cs="Times New Roman"/>
          <w:color w:val="auto"/>
          <w:kern w:val="0"/>
          <w:sz w:val="24"/>
          <w:szCs w:val="24"/>
          <w:highlight w:val="none"/>
          <w:lang w:val="en-US" w:eastAsia="zh-CN" w:bidi="ar"/>
        </w:rPr>
        <w:t>表5.2-22</w:t>
      </w:r>
      <w:r>
        <w:rPr>
          <w:rFonts w:hint="default" w:ascii="Times New Roman" w:hAnsi="Times New Roman" w:eastAsia="宋体" w:cs="Times New Roman"/>
          <w:color w:val="auto"/>
          <w:kern w:val="0"/>
          <w:sz w:val="24"/>
          <w:szCs w:val="24"/>
          <w:highlight w:val="none"/>
          <w:lang w:val="en-US" w:eastAsia="zh-CN" w:bidi="ar"/>
        </w:rPr>
        <w:fldChar w:fldCharType="end"/>
      </w:r>
      <w:r>
        <w:rPr>
          <w:rFonts w:hint="default" w:ascii="Times New Roman" w:hAnsi="Times New Roman" w:cs="Times New Roman"/>
          <w:color w:val="auto"/>
          <w:kern w:val="0"/>
          <w:sz w:val="24"/>
          <w:szCs w:val="24"/>
          <w:highlight w:val="none"/>
          <w:lang w:val="en-US" w:eastAsia="zh-CN" w:bidi="ar"/>
        </w:rPr>
        <w:t>。</w:t>
      </w:r>
      <w:bookmarkStart w:id="524" w:name="_Ref818"/>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5" w:name="_Ref4246"/>
      <w:r>
        <w:rPr>
          <w:rFonts w:hint="default" w:ascii="Times New Roman" w:hAnsi="Times New Roman" w:cs="Times New Roman"/>
          <w:color w:val="auto"/>
          <w:highlight w:val="none"/>
          <w:lang w:val="en-US" w:eastAsia="zh-CN"/>
        </w:rPr>
        <w:t>筛选计算结果一览表</w:t>
      </w:r>
      <w:bookmarkEnd w:id="524"/>
      <w:bookmarkEnd w:id="525"/>
    </w:p>
    <w:tbl>
      <w:tblPr>
        <w:tblStyle w:val="18"/>
        <w:tblW w:w="92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1"/>
        <w:gridCol w:w="846"/>
        <w:gridCol w:w="636"/>
        <w:gridCol w:w="689"/>
        <w:gridCol w:w="1027"/>
        <w:gridCol w:w="1015"/>
        <w:gridCol w:w="902"/>
        <w:gridCol w:w="956"/>
        <w:gridCol w:w="1151"/>
        <w:gridCol w:w="11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污染源名称</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方位角度（度）</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离源距离(m)</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相对源高(m)</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vertAlign w:val="subscript"/>
                <w:lang w:val="en-US" w:eastAsia="zh-CN"/>
              </w:rPr>
            </w:pPr>
            <w:r>
              <w:rPr>
                <w:rFonts w:hint="default" w:ascii="Times New Roman" w:hAnsi="Times New Roman" w:cs="Times New Roman"/>
                <w:color w:val="auto"/>
                <w:szCs w:val="20"/>
                <w:highlight w:val="none"/>
                <w:lang w:val="en-US" w:eastAsia="zh-CN"/>
              </w:rPr>
              <w:t>SO</w:t>
            </w:r>
            <w:r>
              <w:rPr>
                <w:rFonts w:hint="default" w:ascii="Times New Roman" w:hAnsi="Times New Roman" w:cs="Times New Roman"/>
                <w:color w:val="auto"/>
                <w:szCs w:val="20"/>
                <w:highlight w:val="none"/>
                <w:vertAlign w:val="subscript"/>
                <w:lang w:val="en-US" w:eastAsia="zh-CN"/>
              </w:rPr>
              <w:t>2</w:t>
            </w:r>
          </w:p>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|D</w:t>
            </w:r>
            <w:r>
              <w:rPr>
                <w:rFonts w:hint="default" w:ascii="Times New Roman" w:hAnsi="Times New Roman" w:cs="Times New Roman"/>
                <w:color w:val="auto"/>
                <w:szCs w:val="20"/>
                <w:highlight w:val="none"/>
                <w:vertAlign w:val="subscript"/>
              </w:rPr>
              <w:t>10</w:t>
            </w:r>
            <w:r>
              <w:rPr>
                <w:rFonts w:hint="default" w:ascii="Times New Roman" w:hAnsi="Times New Roman" w:cs="Times New Roman"/>
                <w:color w:val="auto"/>
                <w:szCs w:val="20"/>
                <w:highlight w:val="none"/>
              </w:rPr>
              <w:t>(m)</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r>
              <w:rPr>
                <w:rFonts w:hint="default" w:ascii="Times New Roman" w:hAnsi="Times New Roman" w:cs="Times New Roman"/>
                <w:color w:val="auto"/>
                <w:szCs w:val="20"/>
                <w:highlight w:val="none"/>
              </w:rPr>
              <w:t>|D</w:t>
            </w:r>
            <w:r>
              <w:rPr>
                <w:rFonts w:hint="default" w:ascii="Times New Roman" w:hAnsi="Times New Roman" w:cs="Times New Roman"/>
                <w:color w:val="auto"/>
                <w:szCs w:val="20"/>
                <w:highlight w:val="none"/>
                <w:vertAlign w:val="subscript"/>
              </w:rPr>
              <w:t>10</w:t>
            </w:r>
            <w:r>
              <w:rPr>
                <w:rFonts w:hint="default" w:ascii="Times New Roman" w:hAnsi="Times New Roman" w:cs="Times New Roman"/>
                <w:color w:val="auto"/>
                <w:szCs w:val="20"/>
                <w:highlight w:val="none"/>
              </w:rPr>
              <w:t>(m)</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Cs w:val="20"/>
                <w:highlight w:val="none"/>
                <w:lang w:val="en-US" w:eastAsia="zh-CN"/>
              </w:rPr>
              <w:t>氨</w:t>
            </w:r>
            <w:r>
              <w:rPr>
                <w:rFonts w:hint="default" w:ascii="Times New Roman" w:hAnsi="Times New Roman" w:cs="Times New Roman"/>
                <w:color w:val="auto"/>
                <w:szCs w:val="20"/>
                <w:highlight w:val="none"/>
              </w:rPr>
              <w:t>|D</w:t>
            </w:r>
            <w:r>
              <w:rPr>
                <w:rFonts w:hint="default" w:ascii="Times New Roman" w:hAnsi="Times New Roman" w:cs="Times New Roman"/>
                <w:color w:val="auto"/>
                <w:szCs w:val="20"/>
                <w:highlight w:val="none"/>
                <w:vertAlign w:val="subscript"/>
              </w:rPr>
              <w:t>10</w:t>
            </w:r>
            <w:r>
              <w:rPr>
                <w:rFonts w:hint="default" w:ascii="Times New Roman" w:hAnsi="Times New Roman" w:cs="Times New Roman"/>
                <w:color w:val="auto"/>
                <w:szCs w:val="20"/>
                <w:highlight w:val="none"/>
              </w:rPr>
              <w:t>(m)</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Cs w:val="20"/>
                <w:highlight w:val="none"/>
                <w:lang w:val="en-US" w:eastAsia="zh-CN"/>
              </w:rPr>
              <w:t>硫化氢</w:t>
            </w:r>
            <w:r>
              <w:rPr>
                <w:rFonts w:hint="default" w:ascii="Times New Roman" w:hAnsi="Times New Roman" w:cs="Times New Roman"/>
                <w:color w:val="auto"/>
                <w:szCs w:val="20"/>
                <w:highlight w:val="none"/>
              </w:rPr>
              <w:t>|D</w:t>
            </w:r>
            <w:r>
              <w:rPr>
                <w:rFonts w:hint="default" w:ascii="Times New Roman" w:hAnsi="Times New Roman" w:cs="Times New Roman"/>
                <w:color w:val="auto"/>
                <w:szCs w:val="20"/>
                <w:highlight w:val="none"/>
                <w:vertAlign w:val="subscript"/>
              </w:rPr>
              <w:t>10</w:t>
            </w:r>
            <w:r>
              <w:rPr>
                <w:rFonts w:hint="default" w:ascii="Times New Roman" w:hAnsi="Times New Roman" w:cs="Times New Roman"/>
                <w:color w:val="auto"/>
                <w:szCs w:val="20"/>
                <w:highlight w:val="none"/>
              </w:rPr>
              <w:t>(m)</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vertAlign w:val="subscript"/>
                <w:lang w:val="en-US" w:eastAsia="zh-CN"/>
              </w:rPr>
            </w:pP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10</w:t>
            </w:r>
          </w:p>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|D</w:t>
            </w:r>
            <w:r>
              <w:rPr>
                <w:rFonts w:hint="default" w:ascii="Times New Roman" w:hAnsi="Times New Roman" w:cs="Times New Roman"/>
                <w:color w:val="auto"/>
                <w:szCs w:val="20"/>
                <w:highlight w:val="none"/>
                <w:vertAlign w:val="subscript"/>
              </w:rPr>
              <w:t>10</w:t>
            </w:r>
            <w:r>
              <w:rPr>
                <w:rFonts w:hint="default" w:ascii="Times New Roman" w:hAnsi="Times New Roman" w:cs="Times New Roman"/>
                <w:color w:val="auto"/>
                <w:szCs w:val="20"/>
                <w:highlight w:val="none"/>
              </w:rPr>
              <w:t>(m)</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vertAlign w:val="subscript"/>
                <w:lang w:val="en-US" w:eastAsia="zh-CN"/>
              </w:rPr>
            </w:pP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color w:val="auto"/>
                <w:szCs w:val="20"/>
                <w:highlight w:val="none"/>
                <w:vertAlign w:val="subscript"/>
                <w:lang w:val="en-US" w:eastAsia="zh-CN"/>
              </w:rPr>
              <w:t>2</w:t>
            </w:r>
          </w:p>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|D</w:t>
            </w:r>
            <w:r>
              <w:rPr>
                <w:rFonts w:hint="default" w:ascii="Times New Roman" w:hAnsi="Times New Roman" w:cs="Times New Roman"/>
                <w:color w:val="auto"/>
                <w:szCs w:val="20"/>
                <w:highlight w:val="none"/>
                <w:vertAlign w:val="subscript"/>
              </w:rPr>
              <w:t>10</w:t>
            </w:r>
            <w:r>
              <w:rPr>
                <w:rFonts w:hint="default" w:ascii="Times New Roman" w:hAnsi="Times New Roman" w:cs="Times New Roman"/>
                <w:color w:val="auto"/>
                <w:szCs w:val="20"/>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7</w:t>
            </w:r>
            <w:r>
              <w:rPr>
                <w:rFonts w:hint="default" w:ascii="Times New Roman" w:hAnsi="Times New Roman" w:cs="Times New Roman"/>
                <w:color w:val="auto"/>
                <w:szCs w:val="20"/>
                <w:highlight w:val="none"/>
                <w:lang w:val="en-US" w:eastAsia="zh-CN"/>
              </w:rPr>
              <w:t>排气筒</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r>
              <w:rPr>
                <w:rFonts w:hint="eastAsia" w:cs="Times New Roman"/>
                <w:color w:val="auto"/>
                <w:szCs w:val="20"/>
                <w:highlight w:val="none"/>
                <w:lang w:val="en-US" w:eastAsia="zh-CN"/>
              </w:rPr>
              <w:t>10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923</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32.06</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7.13</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12.55</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1</w:t>
            </w:r>
            <w:r>
              <w:rPr>
                <w:rFonts w:hint="eastAsia" w:cs="Times New Roman"/>
                <w:color w:val="auto"/>
                <w:szCs w:val="20"/>
                <w:highlight w:val="none"/>
                <w:lang w:val="en-US" w:eastAsia="zh-CN"/>
              </w:rPr>
              <w:t>100</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8</w:t>
            </w:r>
            <w:r>
              <w:rPr>
                <w:rFonts w:hint="default" w:ascii="Times New Roman" w:hAnsi="Times New Roman" w:cs="Times New Roman"/>
                <w:color w:val="auto"/>
                <w:szCs w:val="20"/>
                <w:highlight w:val="none"/>
                <w:lang w:val="en-US" w:eastAsia="zh-CN"/>
              </w:rPr>
              <w:t>排气筒</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r>
              <w:rPr>
                <w:rFonts w:hint="eastAsia" w:cs="Times New Roman"/>
                <w:color w:val="auto"/>
                <w:szCs w:val="20"/>
                <w:highlight w:val="none"/>
                <w:lang w:val="en-US" w:eastAsia="zh-CN"/>
              </w:rPr>
              <w:t>20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954</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32.16</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4.46</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9</w:t>
            </w:r>
            <w:r>
              <w:rPr>
                <w:rFonts w:hint="default" w:ascii="Times New Roman" w:hAnsi="Times New Roman" w:cs="Times New Roman"/>
                <w:color w:val="auto"/>
                <w:szCs w:val="20"/>
                <w:highlight w:val="none"/>
                <w:lang w:val="en-US" w:eastAsia="zh-CN"/>
              </w:rPr>
              <w:t>排气筒</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w:t>
            </w:r>
            <w:r>
              <w:rPr>
                <w:rFonts w:hint="default" w:ascii="Times New Roman" w:hAnsi="Times New Roman" w:cs="Times New Roman"/>
                <w:color w:val="auto"/>
                <w:szCs w:val="20"/>
                <w:highlight w:val="none"/>
                <w:lang w:val="en-US" w:eastAsia="zh-CN"/>
              </w:rPr>
              <w:t>20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1002</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33.19</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2.58</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3.04</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r>
              <w:rPr>
                <w:rFonts w:hint="eastAsia" w:cs="Times New Roman"/>
                <w:color w:val="auto"/>
                <w:szCs w:val="20"/>
                <w:highlight w:val="none"/>
                <w:lang w:val="en-US" w:eastAsia="zh-CN"/>
              </w:rPr>
              <w:t>0.14</w:t>
            </w:r>
            <w:r>
              <w:rPr>
                <w:rFonts w:hint="default" w:ascii="Times New Roman" w:hAnsi="Times New Roman" w:cs="Times New Roman"/>
                <w:color w:val="auto"/>
                <w:szCs w:val="20"/>
                <w:highlight w:val="none"/>
              </w:rPr>
              <w:t>|</w:t>
            </w:r>
            <w:r>
              <w:rPr>
                <w:rFonts w:hint="eastAsia" w:cs="Times New Roman"/>
                <w:color w:val="auto"/>
                <w:szCs w:val="20"/>
                <w:highlight w:val="none"/>
                <w:lang w:val="en-US" w:eastAsia="zh-CN"/>
              </w:rPr>
              <w:t>16</w:t>
            </w:r>
            <w:r>
              <w:rPr>
                <w:rFonts w:hint="default" w:ascii="Times New Roman" w:hAnsi="Times New Roman" w:cs="Times New Roman"/>
                <w:color w:val="auto"/>
                <w:szCs w:val="20"/>
                <w:highlight w:val="none"/>
                <w:lang w:val="en-US" w:eastAsia="zh-CN"/>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DA0</w:t>
            </w:r>
            <w:r>
              <w:rPr>
                <w:rFonts w:hint="eastAsia" w:cs="Times New Roman"/>
                <w:color w:val="auto"/>
                <w:szCs w:val="20"/>
                <w:highlight w:val="none"/>
                <w:lang w:val="en-US" w:eastAsia="zh-CN"/>
              </w:rPr>
              <w:t>10</w:t>
            </w:r>
            <w:r>
              <w:rPr>
                <w:rFonts w:hint="default" w:ascii="Times New Roman" w:hAnsi="Times New Roman" w:cs="Times New Roman"/>
                <w:color w:val="auto"/>
                <w:szCs w:val="20"/>
                <w:highlight w:val="none"/>
                <w:lang w:val="en-US" w:eastAsia="zh-CN"/>
              </w:rPr>
              <w:t>排气筒</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180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130</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s="Times New Roman"/>
                <w:color w:val="auto"/>
                <w:szCs w:val="20"/>
                <w:highlight w:val="none"/>
                <w:lang w:val="en-US" w:eastAsia="zh-CN"/>
              </w:rPr>
            </w:pPr>
            <w:r>
              <w:rPr>
                <w:rFonts w:hint="eastAsia" w:cs="Times New Roman"/>
                <w:color w:val="auto"/>
                <w:szCs w:val="20"/>
                <w:highlight w:val="none"/>
                <w:lang w:val="en-US" w:eastAsia="zh-CN"/>
              </w:rPr>
              <w:t>15.21</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0.03</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前纺楼M1</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87</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9.06</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30.87</w:t>
            </w:r>
            <w:r>
              <w:rPr>
                <w:rFonts w:hint="default" w:ascii="Times New Roman" w:hAnsi="Times New Roman" w:cs="Times New Roman"/>
                <w:color w:val="auto"/>
                <w:szCs w:val="20"/>
                <w:highlight w:val="none"/>
              </w:rPr>
              <w:t>|</w:t>
            </w:r>
            <w:r>
              <w:rPr>
                <w:rFonts w:hint="eastAsia" w:cs="Times New Roman"/>
                <w:color w:val="auto"/>
                <w:szCs w:val="20"/>
                <w:highlight w:val="none"/>
                <w:lang w:val="en-US" w:eastAsia="zh-CN"/>
              </w:rPr>
              <w:t>700</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后纺楼M2</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88</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0.43</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污水站M3</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0.48</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1.03</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0.7</w:t>
            </w:r>
            <w:r>
              <w:rPr>
                <w:rFonts w:hint="eastAsia" w:cs="Times New Roman"/>
                <w:color w:val="auto"/>
                <w:szCs w:val="20"/>
                <w:highlight w:val="none"/>
                <w:lang w:val="en-US" w:eastAsia="zh-CN"/>
              </w:rPr>
              <w:t>9</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0</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各源最大值</w:t>
            </w:r>
          </w:p>
        </w:tc>
        <w:tc>
          <w:tcPr>
            <w:tcW w:w="8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3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68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1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r>
              <w:rPr>
                <w:rFonts w:hint="eastAsia" w:cs="Times New Roman"/>
                <w:color w:val="auto"/>
                <w:szCs w:val="20"/>
                <w:highlight w:val="none"/>
                <w:lang w:val="en-US" w:eastAsia="zh-CN"/>
              </w:rPr>
              <w:t>19</w:t>
            </w:r>
          </w:p>
        </w:tc>
        <w:tc>
          <w:tcPr>
            <w:tcW w:w="10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9.06</w:t>
            </w:r>
          </w:p>
        </w:tc>
        <w:tc>
          <w:tcPr>
            <w:tcW w:w="90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1.03</w:t>
            </w:r>
          </w:p>
        </w:tc>
        <w:tc>
          <w:tcPr>
            <w:tcW w:w="95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0.7</w:t>
            </w:r>
            <w:r>
              <w:rPr>
                <w:rFonts w:hint="eastAsia" w:cs="Times New Roman"/>
                <w:color w:val="auto"/>
                <w:szCs w:val="20"/>
                <w:highlight w:val="none"/>
                <w:lang w:val="en-US" w:eastAsia="zh-CN"/>
              </w:rPr>
              <w:t>9</w:t>
            </w:r>
          </w:p>
        </w:tc>
        <w:tc>
          <w:tcPr>
            <w:tcW w:w="115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30.87</w:t>
            </w:r>
          </w:p>
        </w:tc>
        <w:tc>
          <w:tcPr>
            <w:tcW w:w="118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20.14</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_Ref4246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的预测结果可知，本次扩建后，项目最大落地浓度为无组织排放前纺楼M1产生的颗粒物，最大占标率为</w:t>
      </w:r>
      <w:r>
        <w:rPr>
          <w:rFonts w:hint="eastAsia" w:cs="Times New Roman"/>
          <w:color w:val="auto"/>
          <w:highlight w:val="none"/>
          <w:lang w:val="en-US" w:eastAsia="zh-CN"/>
        </w:rPr>
        <w:t>30.87</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30.87</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lang w:val="en-US" w:eastAsia="zh-CN"/>
        </w:rPr>
        <w:t>。因此，大气环境影响评价工作等级为一级</w:t>
      </w:r>
      <w:r>
        <w:rPr>
          <w:rFonts w:hint="eastAsia" w:cs="Times New Roman"/>
          <w:color w:val="auto"/>
          <w:highlight w:val="none"/>
          <w:lang w:val="en-US" w:eastAsia="zh-CN"/>
        </w:rPr>
        <w:t>，其中，达到污染物排放限值10%对应的最远影响距离为</w:t>
      </w:r>
      <w:r>
        <w:rPr>
          <w:rFonts w:hint="eastAsia" w:cs="Times New Roman"/>
          <w:color w:val="auto"/>
          <w:highlight w:val="none"/>
          <w:lang w:val="en-US" w:eastAsia="zh-CN"/>
        </w:rPr>
        <w:t>1600 m（NO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）＜2.5 km，则</w:t>
      </w:r>
      <w:r>
        <w:rPr>
          <w:rFonts w:hint="default" w:ascii="Times New Roman" w:hAnsi="Times New Roman" w:cs="Times New Roman"/>
          <w:color w:val="auto"/>
          <w:highlight w:val="none"/>
          <w:lang w:val="en-US" w:eastAsia="zh-CN"/>
        </w:rPr>
        <w:t>评价范围</w:t>
      </w:r>
      <w:r>
        <w:rPr>
          <w:rFonts w:hint="eastAsia" w:cs="Times New Roman"/>
          <w:color w:val="auto"/>
          <w:highlight w:val="none"/>
          <w:lang w:val="en-US" w:eastAsia="zh-CN"/>
        </w:rPr>
        <w:t>边长取5 km</w:t>
      </w:r>
      <w:r>
        <w:rPr>
          <w:rFonts w:hint="default" w:ascii="Times New Roman" w:hAnsi="Times New Roman" w:cs="Times New Roman"/>
          <w:color w:val="auto"/>
          <w:highlight w:val="none"/>
          <w:lang w:val="en-US" w:eastAsia="zh-CN"/>
        </w:rPr>
        <w:t>。根据《环境影响评价技术导则 大气环境》（HJ2.2-2018）中的相关要求，一级评价项目应采用进一步预测模型开展大气环境影响预测与评价。</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预测方案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本项目位于宁德市霞浦县，项目所处区域为环境空气质量达标区域，本项目的预测情景组合见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_Ref2578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6" w:name="_Ref2578"/>
      <w:r>
        <w:rPr>
          <w:rFonts w:hint="default" w:ascii="Times New Roman" w:hAnsi="Times New Roman" w:cs="Times New Roman"/>
          <w:color w:val="auto"/>
          <w:highlight w:val="none"/>
          <w:lang w:val="en-US" w:eastAsia="zh-CN"/>
        </w:rPr>
        <w:t>预测方案设置</w:t>
      </w:r>
      <w:bookmarkEnd w:id="526"/>
    </w:p>
    <w:tbl>
      <w:tblPr>
        <w:tblStyle w:val="17"/>
        <w:tblW w:w="912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2096"/>
        <w:gridCol w:w="1320"/>
        <w:gridCol w:w="1643"/>
        <w:gridCol w:w="1163"/>
        <w:gridCol w:w="1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7"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评价对象</w:t>
            </w:r>
          </w:p>
        </w:tc>
        <w:tc>
          <w:tcPr>
            <w:tcW w:w="2096"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污染源</w:t>
            </w:r>
          </w:p>
        </w:tc>
        <w:tc>
          <w:tcPr>
            <w:tcW w:w="1320"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污染源排放形式</w:t>
            </w:r>
          </w:p>
        </w:tc>
        <w:tc>
          <w:tcPr>
            <w:tcW w:w="164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预测因子</w:t>
            </w:r>
          </w:p>
        </w:tc>
        <w:tc>
          <w:tcPr>
            <w:tcW w:w="116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预测内容</w:t>
            </w:r>
          </w:p>
        </w:tc>
        <w:tc>
          <w:tcPr>
            <w:tcW w:w="1824"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7" w:type="dxa"/>
            <w:vMerge w:val="restart"/>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达标区评价项目</w:t>
            </w:r>
          </w:p>
        </w:tc>
        <w:tc>
          <w:tcPr>
            <w:tcW w:w="2096"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新增污染源</w:t>
            </w:r>
          </w:p>
        </w:tc>
        <w:tc>
          <w:tcPr>
            <w:tcW w:w="1320"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w:t>
            </w:r>
          </w:p>
        </w:tc>
        <w:tc>
          <w:tcPr>
            <w:tcW w:w="1643" w:type="dxa"/>
            <w:tcBorders>
              <w:tl2br w:val="nil"/>
              <w:tr2bl w:val="nil"/>
            </w:tcBorders>
            <w:tcMar>
              <w:left w:w="28" w:type="dxa"/>
              <w:right w:w="28" w:type="dxa"/>
            </w:tcMar>
            <w:vAlign w:val="center"/>
          </w:tcPr>
          <w:p>
            <w:pPr>
              <w:pStyle w:val="21"/>
              <w:keepNext w:val="0"/>
              <w:keepLines w:val="0"/>
              <w:suppressLineNumbers w:val="0"/>
              <w:bidi w:val="0"/>
              <w:spacing w:before="0" w:beforeAutospacing="0" w:after="0" w:afterAutospacing="0"/>
              <w:ind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、非甲烷总烃、氨、硫化氢、PM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2</w:t>
            </w:r>
          </w:p>
        </w:tc>
        <w:tc>
          <w:tcPr>
            <w:tcW w:w="116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短期浓度</w:t>
            </w:r>
          </w:p>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长期浓度</w:t>
            </w:r>
          </w:p>
        </w:tc>
        <w:tc>
          <w:tcPr>
            <w:tcW w:w="1824"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最大浓度占标率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7" w:type="dxa"/>
            <w:vMerge w:val="continue"/>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p>
        </w:tc>
        <w:tc>
          <w:tcPr>
            <w:tcW w:w="2096"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新增污染源</w:t>
            </w:r>
          </w:p>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其他在建、拟建污染源</w:t>
            </w:r>
          </w:p>
        </w:tc>
        <w:tc>
          <w:tcPr>
            <w:tcW w:w="1320"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w:t>
            </w:r>
          </w:p>
        </w:tc>
        <w:tc>
          <w:tcPr>
            <w:tcW w:w="164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、非甲烷总烃、氨、硫化氢、PM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2</w:t>
            </w:r>
          </w:p>
        </w:tc>
        <w:tc>
          <w:tcPr>
            <w:tcW w:w="116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短期浓度</w:t>
            </w:r>
          </w:p>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长期浓度</w:t>
            </w:r>
          </w:p>
        </w:tc>
        <w:tc>
          <w:tcPr>
            <w:tcW w:w="1824"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叠加环境质量现状浓度后的保证率日平均质量浓度和年平均质量浓度的占标率，或短期浓度的达标情况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7" w:type="dxa"/>
            <w:vMerge w:val="continue"/>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p>
        </w:tc>
        <w:tc>
          <w:tcPr>
            <w:tcW w:w="2096"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新增污染源</w:t>
            </w:r>
          </w:p>
        </w:tc>
        <w:tc>
          <w:tcPr>
            <w:tcW w:w="1320"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非正常排放</w:t>
            </w:r>
          </w:p>
        </w:tc>
        <w:tc>
          <w:tcPr>
            <w:tcW w:w="164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p>
        </w:tc>
        <w:tc>
          <w:tcPr>
            <w:tcW w:w="116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1h平均质量浓度</w:t>
            </w:r>
          </w:p>
        </w:tc>
        <w:tc>
          <w:tcPr>
            <w:tcW w:w="1824"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最大浓度占标率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7"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大气环境防护距离</w:t>
            </w:r>
          </w:p>
        </w:tc>
        <w:tc>
          <w:tcPr>
            <w:tcW w:w="2096"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新增污染源</w:t>
            </w:r>
          </w:p>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项目全厂现有污染源</w:t>
            </w:r>
          </w:p>
        </w:tc>
        <w:tc>
          <w:tcPr>
            <w:tcW w:w="1320"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w:t>
            </w:r>
          </w:p>
        </w:tc>
        <w:tc>
          <w:tcPr>
            <w:tcW w:w="164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、氨、硫化氢</w:t>
            </w:r>
          </w:p>
        </w:tc>
        <w:tc>
          <w:tcPr>
            <w:tcW w:w="1163"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短期浓度</w:t>
            </w:r>
          </w:p>
        </w:tc>
        <w:tc>
          <w:tcPr>
            <w:tcW w:w="1824" w:type="dxa"/>
            <w:tcBorders>
              <w:tl2br w:val="nil"/>
              <w:tr2bl w:val="nil"/>
            </w:tcBorders>
            <w:tcMar>
              <w:left w:w="28" w:type="dxa"/>
              <w:right w:w="28" w:type="dxa"/>
            </w:tcMar>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大气环境防护距离</w:t>
            </w:r>
          </w:p>
        </w:tc>
      </w:tr>
    </w:tbl>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预测网格、计算点及污染源清单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选择环境空气关心点、预测范围内的网格点以及区域最大地面浓度点作为计算点。网格点设置采用直角坐标网格、等间距法，每100 m布设一个点。预测计算点数总计</w:t>
      </w:r>
      <w:r>
        <w:rPr>
          <w:rFonts w:hint="eastAsia" w:cs="Times New Roman"/>
          <w:color w:val="auto"/>
          <w:highlight w:val="none"/>
          <w:lang w:val="en-US" w:eastAsia="zh-CN"/>
        </w:rPr>
        <w:t>4510</w:t>
      </w:r>
      <w:r>
        <w:rPr>
          <w:rFonts w:hint="default" w:ascii="Times New Roman" w:hAnsi="Times New Roman" w:cs="Times New Roman"/>
          <w:color w:val="auto"/>
          <w:highlight w:val="none"/>
          <w:lang w:val="en-US" w:eastAsia="zh-CN"/>
        </w:rPr>
        <w:t>点。项目预测网格设置见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_Ref6764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7" w:name="_Ref6764"/>
      <w:r>
        <w:rPr>
          <w:rFonts w:hint="default" w:ascii="Times New Roman" w:hAnsi="Times New Roman" w:cs="Times New Roman"/>
          <w:color w:val="auto"/>
          <w:highlight w:val="none"/>
          <w:lang w:val="en-US" w:eastAsia="zh-CN"/>
        </w:rPr>
        <w:t>网格点选取</w:t>
      </w:r>
      <w:bookmarkEnd w:id="527"/>
    </w:p>
    <w:tbl>
      <w:tblPr>
        <w:tblStyle w:val="17"/>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98"/>
        <w:gridCol w:w="46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预测网格设置方法</w:t>
            </w:r>
          </w:p>
        </w:tc>
        <w:tc>
          <w:tcPr>
            <w:tcW w:w="468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直角坐标网格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布点原则</w:t>
            </w:r>
          </w:p>
        </w:tc>
        <w:tc>
          <w:tcPr>
            <w:tcW w:w="468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等间距法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网格间距</w:t>
            </w:r>
          </w:p>
        </w:tc>
        <w:tc>
          <w:tcPr>
            <w:tcW w:w="468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（2）计算点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环境空气保护目标清单见</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环境空气保护目标</w:t>
      </w:r>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7"/>
        <w:gridCol w:w="1109"/>
        <w:gridCol w:w="1118"/>
        <w:gridCol w:w="1335"/>
        <w:gridCol w:w="1441"/>
        <w:gridCol w:w="23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957"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2227"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坐标/m</w:t>
            </w:r>
          </w:p>
        </w:tc>
        <w:tc>
          <w:tcPr>
            <w:tcW w:w="1335"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保护对象/保护内容</w:t>
            </w:r>
          </w:p>
        </w:tc>
        <w:tc>
          <w:tcPr>
            <w:tcW w:w="1441"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高程m</w:t>
            </w:r>
          </w:p>
        </w:tc>
        <w:tc>
          <w:tcPr>
            <w:tcW w:w="232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10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X</w:t>
            </w:r>
          </w:p>
        </w:tc>
        <w:tc>
          <w:tcPr>
            <w:tcW w:w="111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Y</w:t>
            </w:r>
          </w:p>
        </w:tc>
        <w:tc>
          <w:tcPr>
            <w:tcW w:w="1335"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41" w:type="dxa"/>
            <w:vMerge w:val="continue"/>
            <w:tcBorders>
              <w:tl2br w:val="nil"/>
              <w:tr2bl w:val="nil"/>
            </w:tcBorders>
            <w:vAlign w:val="center"/>
          </w:tcPr>
          <w:p>
            <w:pPr>
              <w:pStyle w:val="21"/>
              <w:bidi w:val="0"/>
              <w:ind w:left="0" w:leftChars="0" w:firstLine="0" w:firstLineChars="0"/>
              <w:rPr>
                <w:rFonts w:hint="default" w:ascii="Times New Roman" w:hAnsi="Times New Roman" w:eastAsia="宋体" w:cs="Times New Roman"/>
                <w:iCs/>
                <w:color w:val="auto"/>
                <w:kern w:val="2"/>
                <w:sz w:val="21"/>
                <w:szCs w:val="21"/>
                <w:highlight w:val="none"/>
                <w:lang w:val="en-US" w:eastAsia="zh-CN" w:bidi="ar-SA"/>
              </w:rPr>
            </w:pP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一层村</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83</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-56</w:t>
            </w:r>
          </w:p>
        </w:tc>
        <w:tc>
          <w:tcPr>
            <w:tcW w:w="1335"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村庄</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8.24</w:t>
            </w:r>
          </w:p>
        </w:tc>
        <w:tc>
          <w:tcPr>
            <w:tcW w:w="232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《环境空气质量标准》（GB3095-2012）中二类区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塘古头</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-223</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-84</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村庄</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5.73</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前街村</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-563</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251</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村庄</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11.22</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凤江新村</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-316</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708</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村庄</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4.98</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-922</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193</w:t>
            </w:r>
          </w:p>
        </w:tc>
        <w:tc>
          <w:tcPr>
            <w:tcW w:w="1335"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镇区人口密集区</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7.48</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西门村</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-2316</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199</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村庄</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8.42</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斗门村</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638</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45</w:t>
            </w:r>
          </w:p>
        </w:tc>
        <w:tc>
          <w:tcPr>
            <w:tcW w:w="1335" w:type="dxa"/>
            <w:tcBorders>
              <w:tl2br w:val="nil"/>
              <w:tr2bl w:val="nil"/>
            </w:tcBorders>
            <w:vAlign w:val="center"/>
          </w:tcPr>
          <w:p>
            <w:pPr>
              <w:pStyle w:val="21"/>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村庄</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6.69</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福建闽客工贸有限公司</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66</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1042</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食品加工厂</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3.37</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小洋</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-2058</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-1358</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自然村</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10.43</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竹栏头</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-1506</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-2071</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自然村</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2.21</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东岭头</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-1922</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2305</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自然村</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191.6</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秦家洋</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1731</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2223</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自然村</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280.01</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山后</w:t>
            </w:r>
          </w:p>
        </w:tc>
        <w:tc>
          <w:tcPr>
            <w:tcW w:w="1109" w:type="dxa"/>
            <w:tcBorders>
              <w:tl2br w:val="nil"/>
              <w:tr2bl w:val="nil"/>
            </w:tcBorders>
            <w:vAlign w:val="center"/>
          </w:tcPr>
          <w:p>
            <w:pPr>
              <w:pStyle w:val="21"/>
              <w:bidi w:val="0"/>
              <w:rPr>
                <w:rFonts w:hint="default"/>
                <w:color w:val="auto"/>
                <w:lang w:val="en-US" w:eastAsia="zh-CN"/>
              </w:rPr>
            </w:pPr>
            <w:r>
              <w:rPr>
                <w:rFonts w:hint="eastAsia"/>
                <w:color w:val="auto"/>
              </w:rPr>
              <w:t>1203</w:t>
            </w:r>
          </w:p>
        </w:tc>
        <w:tc>
          <w:tcPr>
            <w:tcW w:w="1118" w:type="dxa"/>
            <w:tcBorders>
              <w:tl2br w:val="nil"/>
              <w:tr2bl w:val="nil"/>
            </w:tcBorders>
            <w:vAlign w:val="center"/>
          </w:tcPr>
          <w:p>
            <w:pPr>
              <w:pStyle w:val="21"/>
              <w:bidi w:val="0"/>
              <w:rPr>
                <w:rFonts w:hint="default"/>
                <w:color w:val="auto"/>
                <w:lang w:val="en-US" w:eastAsia="zh-CN"/>
              </w:rPr>
            </w:pPr>
            <w:r>
              <w:rPr>
                <w:rFonts w:hint="eastAsia"/>
                <w:color w:val="auto"/>
              </w:rPr>
              <w:t>2088</w:t>
            </w:r>
          </w:p>
        </w:tc>
        <w:tc>
          <w:tcPr>
            <w:tcW w:w="1335"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自然村</w:t>
            </w:r>
          </w:p>
        </w:tc>
        <w:tc>
          <w:tcPr>
            <w:tcW w:w="1441" w:type="dxa"/>
            <w:tcBorders>
              <w:tl2br w:val="nil"/>
              <w:tr2bl w:val="nil"/>
            </w:tcBorders>
            <w:vAlign w:val="center"/>
          </w:tcPr>
          <w:p>
            <w:pPr>
              <w:pStyle w:val="21"/>
              <w:bidi w:val="0"/>
              <w:rPr>
                <w:rFonts w:hint="default"/>
                <w:color w:val="auto"/>
                <w:lang w:val="en-US" w:eastAsia="zh-CN"/>
              </w:rPr>
            </w:pPr>
            <w:r>
              <w:rPr>
                <w:rFonts w:hint="eastAsia"/>
                <w:color w:val="auto"/>
              </w:rPr>
              <w:t>188</w:t>
            </w:r>
          </w:p>
        </w:tc>
        <w:tc>
          <w:tcPr>
            <w:tcW w:w="232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（3）污染源清单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与本项目相关的污染源清单见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_Ref6181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_Ref4950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表5.2-18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（4）背景浓度取值</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HJ2.2-2018，对采用补充监测数据进行现状评价的，取各污染物不同评价时段监测浓度的最大值，作为评价范围内环境空气保护目标及网格点环境质量现状浓度。对于有多个监测点位数据的，先计算相同时刻各监测点位平均值，再取各监测时段平均值中的最大值。</w:t>
      </w:r>
    </w:p>
    <w:p>
      <w:pPr>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position w:val="-28"/>
          <w:highlight w:val="none"/>
          <w:lang w:eastAsia="zh-CN"/>
        </w:rPr>
        <w:object>
          <v:shape id="_x0000_i1074" o:spt="75" type="#_x0000_t75" style="height:34pt;width:175pt;" o:ole="t" filled="f" o:preferrelative="t" stroked="f" coordsize="21600,21600">
            <v:path/>
            <v:fill on="f" focussize="0,0"/>
            <v:stroke on="f"/>
            <v:imagedata r:id="rId111" o:title=""/>
            <o:lock v:ext="edit" aspectratio="t"/>
            <w10:wrap type="none"/>
            <w10:anchorlock/>
          </v:shape>
          <o:OLEObject Type="Embed" ProgID="Equation.KSEE3" ShapeID="_x0000_i1074" DrawAspect="Content" ObjectID="_1468075763" r:id="rId110">
            <o:LockedField>false</o:LockedField>
          </o:OLEObject>
        </w:object>
      </w:r>
    </w:p>
    <w:p>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式中：C现状(x，y)——环境空气保护目标及网格点(x，y)环境质量现状浓度，μg/m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ind w:left="0" w:leftChars="0" w:firstLine="1080" w:firstLineChars="45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C监测(x，y)——第j个监测点位在t时刻环境质量现状浓度（包括1 h平均、8h平均或日平均质量浓度），μg/m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ind w:left="0" w:leftChars="0" w:firstLine="1080" w:firstLineChars="45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n——现状补充监测点位数</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根据“4.3.1 环境空气质量现状调查与评价”章节，确定本项目背景浓度取值详见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_Ref9889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8" w:name="_Ref9889"/>
      <w:r>
        <w:rPr>
          <w:rFonts w:hint="default" w:ascii="Times New Roman" w:hAnsi="Times New Roman" w:cs="Times New Roman"/>
          <w:color w:val="auto"/>
          <w:highlight w:val="none"/>
          <w:lang w:val="en-US" w:eastAsia="zh-CN"/>
        </w:rPr>
        <w:t>背景浓度背景取值一览表</w:t>
      </w:r>
      <w:bookmarkEnd w:id="528"/>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9"/>
        <w:gridCol w:w="1274"/>
        <w:gridCol w:w="1547"/>
        <w:gridCol w:w="1362"/>
        <w:gridCol w:w="1845"/>
        <w:gridCol w:w="1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w:t>
            </w:r>
          </w:p>
        </w:tc>
        <w:tc>
          <w:tcPr>
            <w:tcW w:w="127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H</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S小时</w:t>
            </w:r>
          </w:p>
        </w:tc>
        <w:tc>
          <w:tcPr>
            <w:tcW w:w="154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NH</w:t>
            </w:r>
            <w:r>
              <w:rPr>
                <w:rFonts w:hint="default" w:ascii="Times New Roman" w:hAnsi="Times New Roman" w:cs="Times New Roman"/>
                <w:color w:val="auto"/>
                <w:szCs w:val="20"/>
                <w:highlight w:val="none"/>
                <w:vertAlign w:val="subscript"/>
                <w:lang w:val="en-US" w:eastAsia="zh-CN"/>
              </w:rPr>
              <w:t>3</w:t>
            </w:r>
            <w:r>
              <w:rPr>
                <w:rFonts w:hint="default" w:ascii="Times New Roman" w:hAnsi="Times New Roman" w:cs="Times New Roman"/>
                <w:color w:val="auto"/>
                <w:szCs w:val="20"/>
                <w:highlight w:val="none"/>
                <w:lang w:val="en-US" w:eastAsia="zh-CN"/>
              </w:rPr>
              <w:t>小时</w:t>
            </w:r>
          </w:p>
        </w:tc>
        <w:tc>
          <w:tcPr>
            <w:tcW w:w="136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日均</w:t>
            </w:r>
          </w:p>
        </w:tc>
        <w:tc>
          <w:tcPr>
            <w:tcW w:w="18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年均</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日均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背景值（μg/m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w:t>
            </w:r>
          </w:p>
        </w:tc>
        <w:tc>
          <w:tcPr>
            <w:tcW w:w="127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w:t>
            </w:r>
          </w:p>
        </w:tc>
        <w:tc>
          <w:tcPr>
            <w:tcW w:w="154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51</w:t>
            </w:r>
          </w:p>
        </w:tc>
        <w:tc>
          <w:tcPr>
            <w:tcW w:w="136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w:t>
            </w:r>
          </w:p>
        </w:tc>
        <w:tc>
          <w:tcPr>
            <w:tcW w:w="18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污染物</w:t>
            </w:r>
          </w:p>
        </w:tc>
        <w:tc>
          <w:tcPr>
            <w:tcW w:w="127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年均</w:t>
            </w:r>
          </w:p>
        </w:tc>
        <w:tc>
          <w:tcPr>
            <w:tcW w:w="154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10</w:t>
            </w:r>
            <w:r>
              <w:rPr>
                <w:rFonts w:hint="default" w:ascii="Times New Roman" w:hAnsi="Times New Roman" w:cs="Times New Roman"/>
                <w:color w:val="auto"/>
                <w:szCs w:val="20"/>
                <w:highlight w:val="none"/>
                <w:lang w:val="en-US" w:eastAsia="zh-CN"/>
              </w:rPr>
              <w:t>日均</w:t>
            </w:r>
          </w:p>
        </w:tc>
        <w:tc>
          <w:tcPr>
            <w:tcW w:w="136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10</w:t>
            </w:r>
            <w:r>
              <w:rPr>
                <w:rFonts w:hint="default" w:ascii="Times New Roman" w:hAnsi="Times New Roman" w:cs="Times New Roman"/>
                <w:color w:val="auto"/>
                <w:szCs w:val="20"/>
                <w:highlight w:val="none"/>
                <w:lang w:val="en-US" w:eastAsia="zh-CN"/>
              </w:rPr>
              <w:t>年均</w:t>
            </w:r>
          </w:p>
        </w:tc>
        <w:tc>
          <w:tcPr>
            <w:tcW w:w="18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非甲烷总烃小时</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1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背景值（μg/m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w:t>
            </w:r>
          </w:p>
        </w:tc>
        <w:tc>
          <w:tcPr>
            <w:tcW w:w="127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w:t>
            </w:r>
          </w:p>
        </w:tc>
        <w:tc>
          <w:tcPr>
            <w:tcW w:w="154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68</w:t>
            </w:r>
          </w:p>
        </w:tc>
        <w:tc>
          <w:tcPr>
            <w:tcW w:w="136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37</w:t>
            </w:r>
          </w:p>
        </w:tc>
        <w:tc>
          <w:tcPr>
            <w:tcW w:w="184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670</w:t>
            </w:r>
          </w:p>
        </w:tc>
        <w:tc>
          <w:tcPr>
            <w:tcW w:w="144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gridSpan w:val="6"/>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注：SO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vertAlign w:val="baseline"/>
                <w:lang w:val="en-US" w:eastAsia="zh-CN"/>
              </w:rPr>
              <w:t xml:space="preserve"> </w:t>
            </w:r>
            <w:r>
              <w:rPr>
                <w:rFonts w:hint="eastAsia" w:cs="Times New Roman"/>
                <w:color w:val="auto"/>
                <w:szCs w:val="20"/>
                <w:highlight w:val="none"/>
                <w:vertAlign w:val="baseline"/>
                <w:lang w:val="en-US" w:eastAsia="zh-CN"/>
              </w:rPr>
              <w:t>98%</w:t>
            </w:r>
            <w:r>
              <w:rPr>
                <w:rFonts w:hint="default" w:ascii="Times New Roman" w:hAnsi="Times New Roman" w:cs="Times New Roman"/>
                <w:color w:val="auto"/>
                <w:szCs w:val="20"/>
                <w:highlight w:val="none"/>
                <w:lang w:val="en-US" w:eastAsia="zh-CN"/>
              </w:rPr>
              <w:t>保证率日均；PM</w:t>
            </w:r>
            <w:r>
              <w:rPr>
                <w:rFonts w:hint="default" w:ascii="Times New Roman" w:hAnsi="Times New Roman" w:cs="Times New Roman"/>
                <w:color w:val="auto"/>
                <w:szCs w:val="20"/>
                <w:highlight w:val="none"/>
                <w:vertAlign w:val="subscript"/>
                <w:lang w:val="en-US" w:eastAsia="zh-CN"/>
              </w:rPr>
              <w:t>10</w:t>
            </w:r>
            <w:r>
              <w:rPr>
                <w:rFonts w:hint="default" w:ascii="Times New Roman" w:hAnsi="Times New Roman" w:cs="Times New Roman"/>
                <w:color w:val="auto"/>
                <w:szCs w:val="20"/>
                <w:highlight w:val="none"/>
                <w:vertAlign w:val="baseline"/>
                <w:lang w:val="en-US" w:eastAsia="zh-CN"/>
              </w:rPr>
              <w:t xml:space="preserve">  </w:t>
            </w:r>
            <w:r>
              <w:rPr>
                <w:rFonts w:hint="default" w:ascii="Times New Roman" w:hAnsi="Times New Roman" w:cs="Times New Roman"/>
                <w:color w:val="auto"/>
                <w:szCs w:val="20"/>
                <w:highlight w:val="none"/>
                <w:lang w:val="en-US" w:eastAsia="zh-CN"/>
              </w:rPr>
              <w:t>95%保证率日均；</w:t>
            </w:r>
          </w:p>
          <w:p>
            <w:pPr>
              <w:pStyle w:val="2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420" w:firstLineChars="200"/>
              <w:jc w:val="left"/>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rPr>
              <w:t>硫化氢短期浓度未检出，本次评价按检出限1/2浓度进行</w:t>
            </w:r>
            <w:r>
              <w:rPr>
                <w:rFonts w:hint="default" w:ascii="Times New Roman" w:hAnsi="Times New Roman" w:cs="Times New Roman"/>
                <w:color w:val="auto"/>
                <w:szCs w:val="20"/>
                <w:highlight w:val="none"/>
                <w:lang w:val="en-US" w:eastAsia="zh-CN"/>
              </w:rPr>
              <w:t>作为</w:t>
            </w:r>
            <w:r>
              <w:rPr>
                <w:rFonts w:hint="default" w:ascii="Times New Roman" w:hAnsi="Times New Roman" w:cs="Times New Roman"/>
                <w:color w:val="auto"/>
                <w:szCs w:val="20"/>
                <w:highlight w:val="none"/>
              </w:rPr>
              <w:t>背景浓度值</w:t>
            </w:r>
            <w:r>
              <w:rPr>
                <w:rFonts w:hint="default" w:ascii="Times New Roman" w:hAnsi="Times New Roman" w:cs="Times New Roman"/>
                <w:color w:val="auto"/>
                <w:szCs w:val="20"/>
                <w:highlight w:val="none"/>
                <w:lang w:eastAsia="zh-CN"/>
              </w:rPr>
              <w:t>。</w:t>
            </w:r>
          </w:p>
        </w:tc>
      </w:tr>
    </w:tbl>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大气环境影响预测结果</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（1）项目新增污染源贡献浓度预测结果与评价</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①SO</w:t>
      </w:r>
      <w:r>
        <w:rPr>
          <w:rFonts w:hint="default" w:ascii="Times New Roman" w:hAnsi="Times New Roman" w:cs="Times New Roman"/>
          <w:color w:val="auto"/>
          <w:highlight w:val="none"/>
          <w:vertAlign w:val="subscript"/>
          <w:lang w:val="en-US" w:eastAsia="zh-CN"/>
        </w:rPr>
        <w:t>2</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_Ref10889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小时、日均、年均浓度贡献值满足《环境空气质量标准》（GB3095-2012）二级标准要求。区域最大落地浓度中，小时浓度贡献值最大值为</w:t>
      </w:r>
      <w:r>
        <w:rPr>
          <w:rFonts w:hint="eastAsia" w:cs="Times New Roman"/>
          <w:color w:val="auto"/>
          <w:highlight w:val="none"/>
          <w:lang w:val="en-US" w:eastAsia="zh-CN"/>
        </w:rPr>
        <w:t>11.7</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2.</w:t>
      </w:r>
      <w:r>
        <w:rPr>
          <w:rFonts w:hint="eastAsia" w:cs="Times New Roman"/>
          <w:color w:val="auto"/>
          <w:highlight w:val="none"/>
          <w:lang w:val="en-US" w:eastAsia="zh-CN"/>
        </w:rPr>
        <w:t>33</w:t>
      </w:r>
      <w:r>
        <w:rPr>
          <w:rFonts w:hint="default" w:ascii="Times New Roman" w:hAnsi="Times New Roman" w:cs="Times New Roman"/>
          <w:color w:val="auto"/>
          <w:highlight w:val="none"/>
          <w:lang w:val="en-US" w:eastAsia="zh-CN"/>
        </w:rPr>
        <w:t>%，日均浓度贡献值最大值为</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12</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74</w:t>
      </w:r>
      <w:r>
        <w:rPr>
          <w:rFonts w:hint="default" w:ascii="Times New Roman" w:hAnsi="Times New Roman" w:cs="Times New Roman"/>
          <w:color w:val="auto"/>
          <w:highlight w:val="none"/>
          <w:lang w:val="en-US" w:eastAsia="zh-CN"/>
        </w:rPr>
        <w:t>%，年均浓度贡献值最大值为0.</w:t>
      </w:r>
      <w:r>
        <w:rPr>
          <w:rFonts w:hint="eastAsia" w:cs="Times New Roman"/>
          <w:color w:val="auto"/>
          <w:highlight w:val="none"/>
          <w:lang w:val="en-US" w:eastAsia="zh-CN"/>
        </w:rPr>
        <w:t>157</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26</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_Ref23568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图5.2-12</w:t>
      </w:r>
      <w:r>
        <w:rPr>
          <w:rFonts w:hint="default" w:ascii="Times New Roman" w:hAnsi="Times New Roman" w:cs="Times New Roman"/>
          <w:color w:val="auto"/>
          <w:highlight w:val="none"/>
          <w:lang w:val="en-US" w:eastAsia="zh-CN"/>
        </w:rPr>
        <w:fldChar w:fldCharType="end"/>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_Ref23574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29" w:name="_Ref10889"/>
      <w:bookmarkEnd w:id="529"/>
      <w:r>
        <w:rPr>
          <w:rFonts w:hint="default" w:ascii="Times New Roman" w:hAnsi="Times New Roman" w:cs="Times New Roman"/>
          <w:color w:val="auto"/>
          <w:highlight w:val="none"/>
          <w:lang w:val="en-US" w:eastAsia="zh-CN"/>
        </w:rPr>
        <w:t>项目新增污染物SO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贡献浓度预测结果</w:t>
      </w:r>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376"/>
        <w:gridCol w:w="1334"/>
        <w:gridCol w:w="1245"/>
        <w:gridCol w:w="1695"/>
        <w:gridCol w:w="1230"/>
        <w:gridCol w:w="990"/>
        <w:gridCol w:w="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76" w:type="dxa"/>
            <w:tcBorders>
              <w:tl2br w:val="nil"/>
              <w:tr2bl w:val="nil"/>
            </w:tcBorders>
            <w:vAlign w:val="center"/>
          </w:tcPr>
          <w:p>
            <w:pPr>
              <w:pStyle w:val="2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预测</w:t>
            </w:r>
            <w:r>
              <w:rPr>
                <w:rFonts w:hint="default" w:ascii="Times New Roman" w:hAnsi="Times New Roman" w:cs="Times New Roman"/>
                <w:color w:val="auto"/>
                <w:highlight w:val="none"/>
              </w:rPr>
              <w:t>点名称</w:t>
            </w:r>
          </w:p>
        </w:tc>
        <w:tc>
          <w:tcPr>
            <w:tcW w:w="1334"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2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浓度增量(mg/m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69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出现时间(YYMMDDHH)</w:t>
            </w:r>
          </w:p>
        </w:tc>
        <w:tc>
          <w:tcPr>
            <w:tcW w:w="123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9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1334"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1.94E-03</w:t>
            </w:r>
          </w:p>
        </w:tc>
        <w:tc>
          <w:tcPr>
            <w:tcW w:w="1695" w:type="dxa"/>
            <w:tcBorders>
              <w:tl2br w:val="nil"/>
              <w:tr2bl w:val="nil"/>
            </w:tcBorders>
            <w:vAlign w:val="center"/>
          </w:tcPr>
          <w:p>
            <w:pPr>
              <w:pStyle w:val="21"/>
              <w:bidi w:val="0"/>
              <w:rPr>
                <w:rFonts w:hint="default"/>
                <w:color w:val="auto"/>
              </w:rPr>
            </w:pPr>
            <w:r>
              <w:rPr>
                <w:rFonts w:hint="eastAsia"/>
                <w:color w:val="auto"/>
              </w:rPr>
              <w:t>19093018</w:t>
            </w:r>
          </w:p>
        </w:tc>
        <w:tc>
          <w:tcPr>
            <w:tcW w:w="1230" w:type="dxa"/>
            <w:tcBorders>
              <w:tl2br w:val="nil"/>
              <w:tr2bl w:val="nil"/>
            </w:tcBorders>
            <w:vAlign w:val="center"/>
          </w:tcPr>
          <w:p>
            <w:pPr>
              <w:pStyle w:val="21"/>
              <w:bidi w:val="0"/>
              <w:rPr>
                <w:rFonts w:hint="default"/>
                <w:color w:val="auto"/>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0.39</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8.08E-04</w:t>
            </w:r>
          </w:p>
        </w:tc>
        <w:tc>
          <w:tcPr>
            <w:tcW w:w="1695" w:type="dxa"/>
            <w:tcBorders>
              <w:tl2br w:val="nil"/>
              <w:tr2bl w:val="nil"/>
            </w:tcBorders>
            <w:vAlign w:val="center"/>
          </w:tcPr>
          <w:p>
            <w:pPr>
              <w:pStyle w:val="21"/>
              <w:bidi w:val="0"/>
              <w:rPr>
                <w:rFonts w:hint="default"/>
                <w:color w:val="auto"/>
              </w:rPr>
            </w:pPr>
            <w:r>
              <w:rPr>
                <w:rFonts w:hint="eastAsia"/>
                <w:color w:val="auto"/>
              </w:rPr>
              <w:t>190808</w:t>
            </w:r>
          </w:p>
        </w:tc>
        <w:tc>
          <w:tcPr>
            <w:tcW w:w="1230" w:type="dxa"/>
            <w:tcBorders>
              <w:tl2br w:val="nil"/>
              <w:tr2bl w:val="nil"/>
            </w:tcBorders>
            <w:vAlign w:val="center"/>
          </w:tcPr>
          <w:p>
            <w:pPr>
              <w:pStyle w:val="21"/>
              <w:bidi w:val="0"/>
              <w:rPr>
                <w:rFonts w:hint="default"/>
                <w:color w:val="auto"/>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0.54</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7.21E-05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0.12</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9.46E-04</w:t>
            </w:r>
          </w:p>
        </w:tc>
        <w:tc>
          <w:tcPr>
            <w:tcW w:w="1695" w:type="dxa"/>
            <w:tcBorders>
              <w:tl2br w:val="nil"/>
              <w:tr2bl w:val="nil"/>
            </w:tcBorders>
            <w:vAlign w:val="center"/>
          </w:tcPr>
          <w:p>
            <w:pPr>
              <w:pStyle w:val="21"/>
              <w:bidi w:val="0"/>
              <w:rPr>
                <w:rFonts w:hint="default"/>
                <w:color w:val="auto"/>
              </w:rPr>
            </w:pPr>
            <w:r>
              <w:rPr>
                <w:rFonts w:hint="eastAsia"/>
                <w:color w:val="auto"/>
              </w:rPr>
              <w:t>19082019</w:t>
            </w:r>
          </w:p>
        </w:tc>
        <w:tc>
          <w:tcPr>
            <w:tcW w:w="1230" w:type="dxa"/>
            <w:tcBorders>
              <w:tl2br w:val="nil"/>
              <w:tr2bl w:val="nil"/>
            </w:tcBorders>
            <w:vAlign w:val="center"/>
          </w:tcPr>
          <w:p>
            <w:pPr>
              <w:pStyle w:val="21"/>
              <w:bidi w:val="0"/>
              <w:rPr>
                <w:rFonts w:hint="default"/>
                <w:color w:val="auto"/>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0.19</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3.24E-04</w:t>
            </w:r>
          </w:p>
        </w:tc>
        <w:tc>
          <w:tcPr>
            <w:tcW w:w="1695" w:type="dxa"/>
            <w:tcBorders>
              <w:tl2br w:val="nil"/>
              <w:tr2bl w:val="nil"/>
            </w:tcBorders>
            <w:vAlign w:val="center"/>
          </w:tcPr>
          <w:p>
            <w:pPr>
              <w:pStyle w:val="21"/>
              <w:bidi w:val="0"/>
              <w:rPr>
                <w:rFonts w:hint="default"/>
                <w:color w:val="auto"/>
              </w:rPr>
            </w:pPr>
            <w:r>
              <w:rPr>
                <w:rFonts w:hint="eastAsia"/>
                <w:color w:val="auto"/>
              </w:rPr>
              <w:t>190201</w:t>
            </w:r>
          </w:p>
        </w:tc>
        <w:tc>
          <w:tcPr>
            <w:tcW w:w="1230" w:type="dxa"/>
            <w:tcBorders>
              <w:tl2br w:val="nil"/>
              <w:tr2bl w:val="nil"/>
            </w:tcBorders>
            <w:vAlign w:val="center"/>
          </w:tcPr>
          <w:p>
            <w:pPr>
              <w:pStyle w:val="21"/>
              <w:bidi w:val="0"/>
              <w:rPr>
                <w:rFonts w:hint="default"/>
                <w:color w:val="auto"/>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0.22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3.62E-05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0.06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1.62E-03</w:t>
            </w:r>
          </w:p>
        </w:tc>
        <w:tc>
          <w:tcPr>
            <w:tcW w:w="1695" w:type="dxa"/>
            <w:tcBorders>
              <w:tl2br w:val="nil"/>
              <w:tr2bl w:val="nil"/>
            </w:tcBorders>
            <w:vAlign w:val="center"/>
          </w:tcPr>
          <w:p>
            <w:pPr>
              <w:pStyle w:val="21"/>
              <w:bidi w:val="0"/>
              <w:rPr>
                <w:rFonts w:hint="default"/>
                <w:color w:val="auto"/>
              </w:rPr>
            </w:pPr>
            <w:r>
              <w:rPr>
                <w:rFonts w:hint="eastAsia"/>
                <w:color w:val="auto"/>
              </w:rPr>
              <w:t>19042909</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0.32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1.39E-04</w:t>
            </w:r>
          </w:p>
        </w:tc>
        <w:tc>
          <w:tcPr>
            <w:tcW w:w="1695" w:type="dxa"/>
            <w:tcBorders>
              <w:tl2br w:val="nil"/>
              <w:tr2bl w:val="nil"/>
            </w:tcBorders>
            <w:vAlign w:val="center"/>
          </w:tcPr>
          <w:p>
            <w:pPr>
              <w:pStyle w:val="21"/>
              <w:bidi w:val="0"/>
              <w:rPr>
                <w:rFonts w:hint="default"/>
                <w:color w:val="auto"/>
              </w:rPr>
            </w:pPr>
            <w:r>
              <w:rPr>
                <w:rFonts w:hint="eastAsia"/>
                <w:color w:val="auto"/>
              </w:rPr>
              <w:t>190216</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0.09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2.08E-05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0.03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1.80E-03</w:t>
            </w:r>
          </w:p>
        </w:tc>
        <w:tc>
          <w:tcPr>
            <w:tcW w:w="1695" w:type="dxa"/>
            <w:tcBorders>
              <w:tl2br w:val="nil"/>
              <w:tr2bl w:val="nil"/>
            </w:tcBorders>
            <w:vAlign w:val="center"/>
          </w:tcPr>
          <w:p>
            <w:pPr>
              <w:pStyle w:val="21"/>
              <w:bidi w:val="0"/>
              <w:rPr>
                <w:rFonts w:hint="default"/>
                <w:color w:val="auto"/>
              </w:rPr>
            </w:pPr>
            <w:r>
              <w:rPr>
                <w:rFonts w:hint="eastAsia"/>
                <w:color w:val="auto"/>
              </w:rPr>
              <w:t>19051808</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0.36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1.77E-04</w:t>
            </w:r>
          </w:p>
        </w:tc>
        <w:tc>
          <w:tcPr>
            <w:tcW w:w="1695" w:type="dxa"/>
            <w:tcBorders>
              <w:tl2br w:val="nil"/>
              <w:tr2bl w:val="nil"/>
            </w:tcBorders>
            <w:vAlign w:val="center"/>
          </w:tcPr>
          <w:p>
            <w:pPr>
              <w:pStyle w:val="21"/>
              <w:bidi w:val="0"/>
              <w:rPr>
                <w:rFonts w:hint="default"/>
                <w:color w:val="auto"/>
              </w:rPr>
            </w:pPr>
            <w:r>
              <w:rPr>
                <w:rFonts w:hint="eastAsia"/>
                <w:color w:val="auto"/>
              </w:rPr>
              <w:t>190518</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0.12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1.89E-05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0.03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5.24E-04</w:t>
            </w:r>
          </w:p>
        </w:tc>
        <w:tc>
          <w:tcPr>
            <w:tcW w:w="1695" w:type="dxa"/>
            <w:tcBorders>
              <w:tl2br w:val="nil"/>
              <w:tr2bl w:val="nil"/>
            </w:tcBorders>
            <w:vAlign w:val="center"/>
          </w:tcPr>
          <w:p>
            <w:pPr>
              <w:pStyle w:val="21"/>
              <w:bidi w:val="0"/>
              <w:rPr>
                <w:rFonts w:hint="default"/>
                <w:color w:val="auto"/>
              </w:rPr>
            </w:pPr>
            <w:r>
              <w:rPr>
                <w:rFonts w:hint="eastAsia"/>
                <w:color w:val="auto"/>
              </w:rPr>
              <w:t>19042909</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0.10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6.20E-05</w:t>
            </w:r>
          </w:p>
        </w:tc>
        <w:tc>
          <w:tcPr>
            <w:tcW w:w="1695" w:type="dxa"/>
            <w:tcBorders>
              <w:tl2br w:val="nil"/>
              <w:tr2bl w:val="nil"/>
            </w:tcBorders>
            <w:vAlign w:val="center"/>
          </w:tcPr>
          <w:p>
            <w:pPr>
              <w:pStyle w:val="21"/>
              <w:bidi w:val="0"/>
              <w:rPr>
                <w:rFonts w:hint="default"/>
                <w:color w:val="auto"/>
              </w:rPr>
            </w:pPr>
            <w:r>
              <w:rPr>
                <w:rFonts w:hint="eastAsia"/>
                <w:color w:val="auto"/>
              </w:rPr>
              <w:t>191004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0.04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8.08E-06</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0.01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3.03E-04</w:t>
            </w:r>
          </w:p>
        </w:tc>
        <w:tc>
          <w:tcPr>
            <w:tcW w:w="1695" w:type="dxa"/>
            <w:tcBorders>
              <w:tl2br w:val="nil"/>
              <w:tr2bl w:val="nil"/>
            </w:tcBorders>
            <w:vAlign w:val="center"/>
          </w:tcPr>
          <w:p>
            <w:pPr>
              <w:pStyle w:val="21"/>
              <w:bidi w:val="0"/>
              <w:rPr>
                <w:rFonts w:hint="default"/>
                <w:color w:val="auto"/>
              </w:rPr>
            </w:pPr>
            <w:r>
              <w:rPr>
                <w:rFonts w:hint="eastAsia"/>
                <w:color w:val="auto"/>
              </w:rPr>
              <w:t>19063023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0.06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2.34E-05</w:t>
            </w:r>
          </w:p>
        </w:tc>
        <w:tc>
          <w:tcPr>
            <w:tcW w:w="1695" w:type="dxa"/>
            <w:tcBorders>
              <w:tl2br w:val="nil"/>
              <w:tr2bl w:val="nil"/>
            </w:tcBorders>
            <w:vAlign w:val="center"/>
          </w:tcPr>
          <w:p>
            <w:pPr>
              <w:pStyle w:val="21"/>
              <w:bidi w:val="0"/>
              <w:rPr>
                <w:rFonts w:hint="default"/>
                <w:color w:val="auto"/>
              </w:rPr>
            </w:pPr>
            <w:r>
              <w:rPr>
                <w:rFonts w:hint="eastAsia"/>
                <w:color w:val="auto"/>
              </w:rPr>
              <w:t>191004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2.56E-06</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7.70E-04</w:t>
            </w:r>
          </w:p>
        </w:tc>
        <w:tc>
          <w:tcPr>
            <w:tcW w:w="1695" w:type="dxa"/>
            <w:tcBorders>
              <w:tl2br w:val="nil"/>
              <w:tr2bl w:val="nil"/>
            </w:tcBorders>
            <w:vAlign w:val="center"/>
          </w:tcPr>
          <w:p>
            <w:pPr>
              <w:pStyle w:val="21"/>
              <w:bidi w:val="0"/>
              <w:rPr>
                <w:rFonts w:hint="default"/>
                <w:color w:val="auto"/>
              </w:rPr>
            </w:pPr>
            <w:r>
              <w:rPr>
                <w:rFonts w:hint="eastAsia"/>
                <w:color w:val="auto"/>
              </w:rPr>
              <w:t>19072020</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5.00E-01</w:t>
            </w:r>
          </w:p>
        </w:tc>
        <w:tc>
          <w:tcPr>
            <w:tcW w:w="990" w:type="dxa"/>
            <w:tcBorders>
              <w:tl2br w:val="nil"/>
              <w:tr2bl w:val="nil"/>
            </w:tcBorders>
            <w:vAlign w:val="center"/>
          </w:tcPr>
          <w:p>
            <w:pPr>
              <w:pStyle w:val="21"/>
              <w:bidi w:val="0"/>
              <w:rPr>
                <w:rFonts w:hint="default"/>
                <w:color w:val="auto"/>
              </w:rPr>
            </w:pPr>
            <w:r>
              <w:rPr>
                <w:rFonts w:hint="eastAsia"/>
                <w:color w:val="auto"/>
              </w:rPr>
              <w:t>0.15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1.47E-04</w:t>
            </w:r>
          </w:p>
        </w:tc>
        <w:tc>
          <w:tcPr>
            <w:tcW w:w="1695" w:type="dxa"/>
            <w:tcBorders>
              <w:tl2br w:val="nil"/>
              <w:tr2bl w:val="nil"/>
            </w:tcBorders>
            <w:vAlign w:val="center"/>
          </w:tcPr>
          <w:p>
            <w:pPr>
              <w:pStyle w:val="21"/>
              <w:bidi w:val="0"/>
              <w:rPr>
                <w:rFonts w:hint="default"/>
                <w:color w:val="auto"/>
              </w:rPr>
            </w:pPr>
            <w:r>
              <w:rPr>
                <w:rFonts w:hint="eastAsia"/>
                <w:color w:val="auto"/>
              </w:rPr>
              <w:t>190613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0.10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1.61E-05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6.00E-02</w:t>
            </w:r>
          </w:p>
        </w:tc>
        <w:tc>
          <w:tcPr>
            <w:tcW w:w="990" w:type="dxa"/>
            <w:tcBorders>
              <w:tl2br w:val="nil"/>
              <w:tr2bl w:val="nil"/>
            </w:tcBorders>
            <w:vAlign w:val="center"/>
          </w:tcPr>
          <w:p>
            <w:pPr>
              <w:pStyle w:val="21"/>
              <w:bidi w:val="0"/>
              <w:rPr>
                <w:rFonts w:hint="default"/>
                <w:color w:val="auto"/>
              </w:rPr>
            </w:pPr>
            <w:r>
              <w:rPr>
                <w:rFonts w:hint="eastAsia"/>
                <w:color w:val="auto"/>
              </w:rPr>
              <w:t>0.03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福建闽客工贸有限公司</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8.94E-04</w:t>
            </w:r>
          </w:p>
        </w:tc>
        <w:tc>
          <w:tcPr>
            <w:tcW w:w="1695" w:type="dxa"/>
            <w:tcBorders>
              <w:tl2br w:val="nil"/>
              <w:tr2bl w:val="nil"/>
            </w:tcBorders>
            <w:vAlign w:val="center"/>
          </w:tcPr>
          <w:p>
            <w:pPr>
              <w:pStyle w:val="21"/>
              <w:bidi w:val="0"/>
              <w:rPr>
                <w:rFonts w:hint="eastAsia"/>
                <w:color w:val="auto"/>
              </w:rPr>
            </w:pPr>
            <w:r>
              <w:rPr>
                <w:rFonts w:hint="eastAsia"/>
                <w:color w:val="auto"/>
              </w:rPr>
              <w:t>19112709</w:t>
            </w:r>
          </w:p>
        </w:tc>
        <w:tc>
          <w:tcPr>
            <w:tcW w:w="1230" w:type="dxa"/>
            <w:tcBorders>
              <w:tl2br w:val="nil"/>
              <w:tr2bl w:val="nil"/>
            </w:tcBorders>
            <w:vAlign w:val="center"/>
          </w:tcPr>
          <w:p>
            <w:pPr>
              <w:pStyle w:val="21"/>
              <w:bidi w:val="0"/>
              <w:rPr>
                <w:rFonts w:hint="eastAsia"/>
                <w:color w:val="auto"/>
              </w:rPr>
            </w:pPr>
            <w:r>
              <w:rPr>
                <w:rFonts w:hint="eastAsia"/>
                <w:color w:val="auto"/>
              </w:rPr>
              <w:t>5.00E-01</w:t>
            </w:r>
          </w:p>
        </w:tc>
        <w:tc>
          <w:tcPr>
            <w:tcW w:w="990" w:type="dxa"/>
            <w:tcBorders>
              <w:tl2br w:val="nil"/>
              <w:tr2bl w:val="nil"/>
            </w:tcBorders>
            <w:vAlign w:val="center"/>
          </w:tcPr>
          <w:p>
            <w:pPr>
              <w:pStyle w:val="21"/>
              <w:bidi w:val="0"/>
              <w:rPr>
                <w:rFonts w:hint="eastAsia"/>
                <w:color w:val="auto"/>
              </w:rPr>
            </w:pPr>
            <w:r>
              <w:rPr>
                <w:rFonts w:hint="eastAsia"/>
                <w:color w:val="auto"/>
              </w:rPr>
              <w:t>0.18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1.21E-04</w:t>
            </w:r>
          </w:p>
        </w:tc>
        <w:tc>
          <w:tcPr>
            <w:tcW w:w="1695" w:type="dxa"/>
            <w:tcBorders>
              <w:tl2br w:val="nil"/>
              <w:tr2bl w:val="nil"/>
            </w:tcBorders>
            <w:vAlign w:val="center"/>
          </w:tcPr>
          <w:p>
            <w:pPr>
              <w:pStyle w:val="21"/>
              <w:bidi w:val="0"/>
              <w:rPr>
                <w:rFonts w:hint="eastAsia"/>
                <w:color w:val="auto"/>
              </w:rPr>
            </w:pPr>
            <w:r>
              <w:rPr>
                <w:rFonts w:hint="eastAsia"/>
                <w:color w:val="auto"/>
              </w:rPr>
              <w:t>190703</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6.23E-06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6.00E-02</w:t>
            </w:r>
          </w:p>
        </w:tc>
        <w:tc>
          <w:tcPr>
            <w:tcW w:w="990" w:type="dxa"/>
            <w:tcBorders>
              <w:tl2br w:val="nil"/>
              <w:tr2bl w:val="nil"/>
            </w:tcBorders>
            <w:vAlign w:val="center"/>
          </w:tcPr>
          <w:p>
            <w:pPr>
              <w:pStyle w:val="21"/>
              <w:bidi w:val="0"/>
              <w:rPr>
                <w:rFonts w:hint="eastAsia"/>
                <w:color w:val="auto"/>
              </w:rPr>
            </w:pPr>
            <w:r>
              <w:rPr>
                <w:rFonts w:hint="eastAsia"/>
                <w:color w:val="auto"/>
              </w:rPr>
              <w:t>0.01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小洋</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2.91E-04</w:t>
            </w:r>
          </w:p>
        </w:tc>
        <w:tc>
          <w:tcPr>
            <w:tcW w:w="1695" w:type="dxa"/>
            <w:tcBorders>
              <w:tl2br w:val="nil"/>
              <w:tr2bl w:val="nil"/>
            </w:tcBorders>
            <w:vAlign w:val="center"/>
          </w:tcPr>
          <w:p>
            <w:pPr>
              <w:pStyle w:val="21"/>
              <w:bidi w:val="0"/>
              <w:rPr>
                <w:rFonts w:hint="eastAsia"/>
                <w:color w:val="auto"/>
              </w:rPr>
            </w:pPr>
            <w:r>
              <w:rPr>
                <w:rFonts w:hint="eastAsia"/>
                <w:color w:val="auto"/>
              </w:rPr>
              <w:t>19052003</w:t>
            </w:r>
          </w:p>
        </w:tc>
        <w:tc>
          <w:tcPr>
            <w:tcW w:w="1230" w:type="dxa"/>
            <w:tcBorders>
              <w:tl2br w:val="nil"/>
              <w:tr2bl w:val="nil"/>
            </w:tcBorders>
            <w:vAlign w:val="center"/>
          </w:tcPr>
          <w:p>
            <w:pPr>
              <w:pStyle w:val="21"/>
              <w:bidi w:val="0"/>
              <w:rPr>
                <w:rFonts w:hint="eastAsia"/>
                <w:color w:val="auto"/>
              </w:rPr>
            </w:pPr>
            <w:r>
              <w:rPr>
                <w:rFonts w:hint="eastAsia"/>
                <w:color w:val="auto"/>
              </w:rPr>
              <w:t>5.00E-01</w:t>
            </w:r>
          </w:p>
        </w:tc>
        <w:tc>
          <w:tcPr>
            <w:tcW w:w="990" w:type="dxa"/>
            <w:tcBorders>
              <w:tl2br w:val="nil"/>
              <w:tr2bl w:val="nil"/>
            </w:tcBorders>
            <w:vAlign w:val="center"/>
          </w:tcPr>
          <w:p>
            <w:pPr>
              <w:pStyle w:val="21"/>
              <w:bidi w:val="0"/>
              <w:rPr>
                <w:rFonts w:hint="eastAsia"/>
                <w:color w:val="auto"/>
              </w:rPr>
            </w:pPr>
            <w:r>
              <w:rPr>
                <w:rFonts w:hint="eastAsia"/>
                <w:color w:val="auto"/>
              </w:rPr>
              <w:t>0.06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2.46E-05</w:t>
            </w:r>
          </w:p>
        </w:tc>
        <w:tc>
          <w:tcPr>
            <w:tcW w:w="1695" w:type="dxa"/>
            <w:tcBorders>
              <w:tl2br w:val="nil"/>
              <w:tr2bl w:val="nil"/>
            </w:tcBorders>
            <w:vAlign w:val="center"/>
          </w:tcPr>
          <w:p>
            <w:pPr>
              <w:pStyle w:val="21"/>
              <w:bidi w:val="0"/>
              <w:rPr>
                <w:rFonts w:hint="eastAsia"/>
                <w:color w:val="auto"/>
              </w:rPr>
            </w:pPr>
            <w:r>
              <w:rPr>
                <w:rFonts w:hint="eastAsia"/>
                <w:color w:val="auto"/>
              </w:rPr>
              <w:t>191007</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2.32E-06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6.00E-02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竹栏头</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3.50E-04</w:t>
            </w:r>
          </w:p>
        </w:tc>
        <w:tc>
          <w:tcPr>
            <w:tcW w:w="1695" w:type="dxa"/>
            <w:tcBorders>
              <w:tl2br w:val="nil"/>
              <w:tr2bl w:val="nil"/>
            </w:tcBorders>
            <w:vAlign w:val="center"/>
          </w:tcPr>
          <w:p>
            <w:pPr>
              <w:pStyle w:val="21"/>
              <w:bidi w:val="0"/>
              <w:rPr>
                <w:rFonts w:hint="eastAsia"/>
                <w:color w:val="auto"/>
              </w:rPr>
            </w:pPr>
            <w:r>
              <w:rPr>
                <w:rFonts w:hint="eastAsia"/>
                <w:color w:val="auto"/>
              </w:rPr>
              <w:t>19063003</w:t>
            </w:r>
          </w:p>
        </w:tc>
        <w:tc>
          <w:tcPr>
            <w:tcW w:w="1230" w:type="dxa"/>
            <w:tcBorders>
              <w:tl2br w:val="nil"/>
              <w:tr2bl w:val="nil"/>
            </w:tcBorders>
            <w:vAlign w:val="center"/>
          </w:tcPr>
          <w:p>
            <w:pPr>
              <w:pStyle w:val="21"/>
              <w:bidi w:val="0"/>
              <w:rPr>
                <w:rFonts w:hint="eastAsia"/>
                <w:color w:val="auto"/>
              </w:rPr>
            </w:pPr>
            <w:r>
              <w:rPr>
                <w:rFonts w:hint="eastAsia"/>
                <w:color w:val="auto"/>
              </w:rPr>
              <w:t>5.00E-01</w:t>
            </w:r>
          </w:p>
        </w:tc>
        <w:tc>
          <w:tcPr>
            <w:tcW w:w="990" w:type="dxa"/>
            <w:tcBorders>
              <w:tl2br w:val="nil"/>
              <w:tr2bl w:val="nil"/>
            </w:tcBorders>
            <w:vAlign w:val="center"/>
          </w:tcPr>
          <w:p>
            <w:pPr>
              <w:pStyle w:val="21"/>
              <w:bidi w:val="0"/>
              <w:rPr>
                <w:rFonts w:hint="eastAsia"/>
                <w:color w:val="auto"/>
              </w:rPr>
            </w:pPr>
            <w:r>
              <w:rPr>
                <w:rFonts w:hint="eastAsia"/>
                <w:color w:val="auto"/>
              </w:rPr>
              <w:t>0.07</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3.45E-05</w:t>
            </w:r>
          </w:p>
        </w:tc>
        <w:tc>
          <w:tcPr>
            <w:tcW w:w="1695" w:type="dxa"/>
            <w:tcBorders>
              <w:tl2br w:val="nil"/>
              <w:tr2bl w:val="nil"/>
            </w:tcBorders>
            <w:vAlign w:val="center"/>
          </w:tcPr>
          <w:p>
            <w:pPr>
              <w:pStyle w:val="21"/>
              <w:bidi w:val="0"/>
              <w:rPr>
                <w:rFonts w:hint="eastAsia"/>
                <w:color w:val="auto"/>
              </w:rPr>
            </w:pPr>
            <w:r>
              <w:rPr>
                <w:rFonts w:hint="eastAsia"/>
                <w:color w:val="auto"/>
              </w:rPr>
              <w:t>191006</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2.50E-06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6.00E-02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东岭头</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3.31E-04</w:t>
            </w:r>
          </w:p>
        </w:tc>
        <w:tc>
          <w:tcPr>
            <w:tcW w:w="1695" w:type="dxa"/>
            <w:tcBorders>
              <w:tl2br w:val="nil"/>
              <w:tr2bl w:val="nil"/>
            </w:tcBorders>
            <w:vAlign w:val="center"/>
          </w:tcPr>
          <w:p>
            <w:pPr>
              <w:pStyle w:val="21"/>
              <w:bidi w:val="0"/>
              <w:rPr>
                <w:rFonts w:hint="eastAsia"/>
                <w:color w:val="auto"/>
              </w:rPr>
            </w:pPr>
            <w:r>
              <w:rPr>
                <w:rFonts w:hint="eastAsia"/>
                <w:color w:val="auto"/>
              </w:rPr>
              <w:t>19043008</w:t>
            </w:r>
          </w:p>
        </w:tc>
        <w:tc>
          <w:tcPr>
            <w:tcW w:w="1230" w:type="dxa"/>
            <w:tcBorders>
              <w:tl2br w:val="nil"/>
              <w:tr2bl w:val="nil"/>
            </w:tcBorders>
            <w:vAlign w:val="center"/>
          </w:tcPr>
          <w:p>
            <w:pPr>
              <w:pStyle w:val="21"/>
              <w:bidi w:val="0"/>
              <w:rPr>
                <w:rFonts w:hint="eastAsia"/>
                <w:color w:val="auto"/>
              </w:rPr>
            </w:pPr>
            <w:r>
              <w:rPr>
                <w:rFonts w:hint="eastAsia"/>
                <w:color w:val="auto"/>
              </w:rPr>
              <w:t>5.00E-01</w:t>
            </w:r>
          </w:p>
        </w:tc>
        <w:tc>
          <w:tcPr>
            <w:tcW w:w="990" w:type="dxa"/>
            <w:tcBorders>
              <w:tl2br w:val="nil"/>
              <w:tr2bl w:val="nil"/>
            </w:tcBorders>
            <w:vAlign w:val="center"/>
          </w:tcPr>
          <w:p>
            <w:pPr>
              <w:pStyle w:val="21"/>
              <w:bidi w:val="0"/>
              <w:rPr>
                <w:rFonts w:hint="eastAsia"/>
                <w:color w:val="auto"/>
              </w:rPr>
            </w:pPr>
            <w:r>
              <w:rPr>
                <w:rFonts w:hint="eastAsia"/>
                <w:color w:val="auto"/>
              </w:rPr>
              <w:t>0.07</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2.01E-05</w:t>
            </w:r>
          </w:p>
        </w:tc>
        <w:tc>
          <w:tcPr>
            <w:tcW w:w="1695" w:type="dxa"/>
            <w:tcBorders>
              <w:tl2br w:val="nil"/>
              <w:tr2bl w:val="nil"/>
            </w:tcBorders>
            <w:vAlign w:val="center"/>
          </w:tcPr>
          <w:p>
            <w:pPr>
              <w:pStyle w:val="21"/>
              <w:bidi w:val="0"/>
              <w:rPr>
                <w:rFonts w:hint="eastAsia"/>
                <w:color w:val="auto"/>
              </w:rPr>
            </w:pPr>
            <w:r>
              <w:rPr>
                <w:rFonts w:hint="eastAsia"/>
                <w:color w:val="auto"/>
              </w:rPr>
              <w:t>190605</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2.07E-06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6.00E-02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秦家洋</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1.00E-04</w:t>
            </w:r>
          </w:p>
        </w:tc>
        <w:tc>
          <w:tcPr>
            <w:tcW w:w="1695" w:type="dxa"/>
            <w:tcBorders>
              <w:tl2br w:val="nil"/>
              <w:tr2bl w:val="nil"/>
            </w:tcBorders>
            <w:vAlign w:val="center"/>
          </w:tcPr>
          <w:p>
            <w:pPr>
              <w:pStyle w:val="21"/>
              <w:bidi w:val="0"/>
              <w:rPr>
                <w:rFonts w:hint="eastAsia"/>
                <w:color w:val="auto"/>
              </w:rPr>
            </w:pPr>
            <w:r>
              <w:rPr>
                <w:rFonts w:hint="eastAsia"/>
                <w:color w:val="auto"/>
              </w:rPr>
              <w:t>19011309</w:t>
            </w:r>
          </w:p>
        </w:tc>
        <w:tc>
          <w:tcPr>
            <w:tcW w:w="1230" w:type="dxa"/>
            <w:tcBorders>
              <w:tl2br w:val="nil"/>
              <w:tr2bl w:val="nil"/>
            </w:tcBorders>
            <w:vAlign w:val="center"/>
          </w:tcPr>
          <w:p>
            <w:pPr>
              <w:pStyle w:val="21"/>
              <w:bidi w:val="0"/>
              <w:rPr>
                <w:rFonts w:hint="eastAsia"/>
                <w:color w:val="auto"/>
              </w:rPr>
            </w:pPr>
            <w:r>
              <w:rPr>
                <w:rFonts w:hint="eastAsia"/>
                <w:color w:val="auto"/>
              </w:rPr>
              <w:t>5.00E-01</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4.62E-06</w:t>
            </w:r>
          </w:p>
        </w:tc>
        <w:tc>
          <w:tcPr>
            <w:tcW w:w="1695" w:type="dxa"/>
            <w:tcBorders>
              <w:tl2br w:val="nil"/>
              <w:tr2bl w:val="nil"/>
            </w:tcBorders>
            <w:vAlign w:val="center"/>
          </w:tcPr>
          <w:p>
            <w:pPr>
              <w:pStyle w:val="21"/>
              <w:bidi w:val="0"/>
              <w:rPr>
                <w:rFonts w:hint="eastAsia"/>
                <w:color w:val="auto"/>
              </w:rPr>
            </w:pPr>
            <w:r>
              <w:rPr>
                <w:rFonts w:hint="eastAsia"/>
                <w:color w:val="auto"/>
              </w:rPr>
              <w:t>190224</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2.40E-07</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6.00E-02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13</w:t>
            </w:r>
          </w:p>
        </w:tc>
        <w:tc>
          <w:tcPr>
            <w:tcW w:w="137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山后</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2.46E-04</w:t>
            </w:r>
          </w:p>
        </w:tc>
        <w:tc>
          <w:tcPr>
            <w:tcW w:w="1695" w:type="dxa"/>
            <w:tcBorders>
              <w:tl2br w:val="nil"/>
              <w:tr2bl w:val="nil"/>
            </w:tcBorders>
            <w:vAlign w:val="center"/>
          </w:tcPr>
          <w:p>
            <w:pPr>
              <w:pStyle w:val="21"/>
              <w:bidi w:val="0"/>
              <w:rPr>
                <w:rFonts w:hint="eastAsia"/>
                <w:color w:val="auto"/>
              </w:rPr>
            </w:pPr>
            <w:r>
              <w:rPr>
                <w:rFonts w:hint="eastAsia"/>
                <w:color w:val="auto"/>
              </w:rPr>
              <w:t>19040807</w:t>
            </w:r>
          </w:p>
        </w:tc>
        <w:tc>
          <w:tcPr>
            <w:tcW w:w="1230" w:type="dxa"/>
            <w:tcBorders>
              <w:tl2br w:val="nil"/>
              <w:tr2bl w:val="nil"/>
            </w:tcBorders>
            <w:vAlign w:val="center"/>
          </w:tcPr>
          <w:p>
            <w:pPr>
              <w:pStyle w:val="21"/>
              <w:bidi w:val="0"/>
              <w:rPr>
                <w:rFonts w:hint="eastAsia"/>
                <w:color w:val="auto"/>
              </w:rPr>
            </w:pPr>
            <w:r>
              <w:rPr>
                <w:rFonts w:hint="eastAsia"/>
                <w:color w:val="auto"/>
              </w:rPr>
              <w:t>5.00E-01</w:t>
            </w:r>
          </w:p>
        </w:tc>
        <w:tc>
          <w:tcPr>
            <w:tcW w:w="990" w:type="dxa"/>
            <w:tcBorders>
              <w:tl2br w:val="nil"/>
              <w:tr2bl w:val="nil"/>
            </w:tcBorders>
            <w:vAlign w:val="center"/>
          </w:tcPr>
          <w:p>
            <w:pPr>
              <w:pStyle w:val="21"/>
              <w:bidi w:val="0"/>
              <w:rPr>
                <w:rFonts w:hint="eastAsia"/>
                <w:color w:val="auto"/>
              </w:rPr>
            </w:pPr>
            <w:r>
              <w:rPr>
                <w:rFonts w:hint="eastAsia"/>
                <w:color w:val="auto"/>
              </w:rPr>
              <w:t>0.05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1.03E-05</w:t>
            </w:r>
          </w:p>
        </w:tc>
        <w:tc>
          <w:tcPr>
            <w:tcW w:w="1695" w:type="dxa"/>
            <w:tcBorders>
              <w:tl2br w:val="nil"/>
              <w:tr2bl w:val="nil"/>
            </w:tcBorders>
            <w:vAlign w:val="center"/>
          </w:tcPr>
          <w:p>
            <w:pPr>
              <w:pStyle w:val="21"/>
              <w:bidi w:val="0"/>
              <w:rPr>
                <w:rFonts w:hint="eastAsia"/>
                <w:color w:val="auto"/>
              </w:rPr>
            </w:pPr>
            <w:r>
              <w:rPr>
                <w:rFonts w:hint="eastAsia"/>
                <w:color w:val="auto"/>
              </w:rPr>
              <w:t>190408</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4.60E-07</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6.00E-02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14</w:t>
            </w:r>
          </w:p>
        </w:tc>
        <w:tc>
          <w:tcPr>
            <w:tcW w:w="1376" w:type="dxa"/>
            <w:vMerge w:val="restart"/>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网格</w:t>
            </w: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1.17E-02</w:t>
            </w:r>
          </w:p>
        </w:tc>
        <w:tc>
          <w:tcPr>
            <w:tcW w:w="1695" w:type="dxa"/>
            <w:tcBorders>
              <w:tl2br w:val="nil"/>
              <w:tr2bl w:val="nil"/>
            </w:tcBorders>
            <w:vAlign w:val="center"/>
          </w:tcPr>
          <w:p>
            <w:pPr>
              <w:pStyle w:val="21"/>
              <w:bidi w:val="0"/>
              <w:rPr>
                <w:rFonts w:hint="default"/>
                <w:color w:val="auto"/>
              </w:rPr>
            </w:pPr>
            <w:r>
              <w:rPr>
                <w:rFonts w:hint="eastAsia"/>
                <w:color w:val="auto"/>
              </w:rPr>
              <w:t>19051323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5.00E-01</w:t>
            </w:r>
          </w:p>
        </w:tc>
        <w:tc>
          <w:tcPr>
            <w:tcW w:w="990" w:type="dxa"/>
            <w:tcBorders>
              <w:tl2br w:val="nil"/>
              <w:tr2bl w:val="nil"/>
            </w:tcBorders>
            <w:vAlign w:val="center"/>
          </w:tcPr>
          <w:p>
            <w:pPr>
              <w:pStyle w:val="21"/>
              <w:bidi w:val="0"/>
              <w:rPr>
                <w:rFonts w:hint="default"/>
                <w:color w:val="auto"/>
                <w:lang w:val="en-US" w:eastAsia="zh-CN"/>
              </w:rPr>
            </w:pPr>
            <w:r>
              <w:rPr>
                <w:rFonts w:hint="eastAsia"/>
                <w:color w:val="auto"/>
              </w:rPr>
              <w:t>2.33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1.12E-03</w:t>
            </w:r>
          </w:p>
        </w:tc>
        <w:tc>
          <w:tcPr>
            <w:tcW w:w="1695" w:type="dxa"/>
            <w:tcBorders>
              <w:tl2br w:val="nil"/>
              <w:tr2bl w:val="nil"/>
            </w:tcBorders>
            <w:vAlign w:val="center"/>
          </w:tcPr>
          <w:p>
            <w:pPr>
              <w:pStyle w:val="21"/>
              <w:bidi w:val="0"/>
              <w:rPr>
                <w:rFonts w:hint="default"/>
                <w:color w:val="auto"/>
              </w:rPr>
            </w:pPr>
            <w:r>
              <w:rPr>
                <w:rFonts w:hint="eastAsia"/>
                <w:color w:val="auto"/>
              </w:rPr>
              <w:t>190921</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lang w:val="en-US" w:eastAsia="zh-CN"/>
              </w:rPr>
            </w:pPr>
            <w:r>
              <w:rPr>
                <w:rFonts w:hint="eastAsia"/>
                <w:color w:val="auto"/>
              </w:rPr>
              <w:t>0.74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376" w:type="dxa"/>
            <w:vMerge w:val="continue"/>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334"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1.57E-04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6.00E-02</w:t>
            </w:r>
          </w:p>
        </w:tc>
        <w:tc>
          <w:tcPr>
            <w:tcW w:w="990" w:type="dxa"/>
            <w:tcBorders>
              <w:tl2br w:val="nil"/>
              <w:tr2bl w:val="nil"/>
            </w:tcBorders>
            <w:vAlign w:val="center"/>
          </w:tcPr>
          <w:p>
            <w:pPr>
              <w:pStyle w:val="21"/>
              <w:bidi w:val="0"/>
              <w:rPr>
                <w:rFonts w:hint="default"/>
                <w:color w:val="auto"/>
                <w:lang w:val="en-US" w:eastAsia="zh-CN"/>
              </w:rPr>
            </w:pPr>
            <w:r>
              <w:rPr>
                <w:rFonts w:hint="eastAsia"/>
                <w:color w:val="auto"/>
              </w:rPr>
              <w:t>0.26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bl>
    <w:p>
      <w:pP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②NO</w:t>
      </w:r>
      <w:r>
        <w:rPr>
          <w:rFonts w:hint="eastAsia" w:ascii="Times New Roman" w:hAnsi="Times New Roman" w:cs="Times New Roman"/>
          <w:color w:val="auto"/>
          <w:highlight w:val="none"/>
          <w:vertAlign w:val="subscript"/>
          <w:lang w:val="en-US" w:eastAsia="zh-CN"/>
        </w:rPr>
        <w:t>2</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cs="Times New Roman"/>
          <w:color w:val="auto"/>
          <w:highlight w:val="none"/>
          <w:lang w:val="en-US" w:eastAsia="zh-CN"/>
        </w:rPr>
        <w:t>N</w:t>
      </w:r>
      <w:r>
        <w:rPr>
          <w:rFonts w:hint="default" w:ascii="Times New Roman" w:hAnsi="Times New Roman" w:cs="Times New Roman"/>
          <w:color w:val="auto"/>
          <w:highlight w:val="none"/>
          <w:lang w:val="en-US" w:eastAsia="zh-CN"/>
        </w:rPr>
        <w:t>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_Ref1349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表5.2-28</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s="Times New Roman"/>
          <w:color w:val="auto"/>
          <w:highlight w:val="none"/>
          <w:lang w:val="en-US" w:eastAsia="zh-CN"/>
        </w:rPr>
        <w:t>N</w:t>
      </w:r>
      <w:r>
        <w:rPr>
          <w:rFonts w:hint="default" w:ascii="Times New Roman" w:hAnsi="Times New Roman" w:cs="Times New Roman"/>
          <w:color w:val="auto"/>
          <w:highlight w:val="none"/>
          <w:lang w:val="en-US" w:eastAsia="zh-CN"/>
        </w:rPr>
        <w:t>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小时、日均、年均浓度贡献值满足《环境空气质量标准》（GB3095-2012）二级标准要求。</w:t>
      </w:r>
      <w:r>
        <w:rPr>
          <w:rFonts w:hint="default" w:ascii="Times New Roman" w:hAnsi="Times New Roman" w:cs="Times New Roman"/>
          <w:color w:val="auto"/>
          <w:highlight w:val="none"/>
          <w:lang w:val="en-US" w:eastAsia="zh-CN"/>
        </w:rPr>
        <w:t>区域最大落地浓度中，小时浓度贡献值最大值为</w:t>
      </w:r>
      <w:r>
        <w:rPr>
          <w:rFonts w:hint="eastAsia" w:cs="Times New Roman"/>
          <w:color w:val="auto"/>
          <w:highlight w:val="none"/>
          <w:lang w:val="en-US" w:eastAsia="zh-CN"/>
        </w:rPr>
        <w:t>36.6</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18.29</w:t>
      </w:r>
      <w:r>
        <w:rPr>
          <w:rFonts w:hint="default" w:ascii="Times New Roman" w:hAnsi="Times New Roman" w:cs="Times New Roman"/>
          <w:color w:val="auto"/>
          <w:highlight w:val="none"/>
          <w:lang w:val="en-US" w:eastAsia="zh-CN"/>
        </w:rPr>
        <w:t>%，日均浓度贡献值最大值为</w:t>
      </w:r>
      <w:r>
        <w:rPr>
          <w:rFonts w:hint="eastAsia" w:cs="Times New Roman"/>
          <w:color w:val="auto"/>
          <w:highlight w:val="none"/>
          <w:lang w:val="en-US" w:eastAsia="zh-CN"/>
        </w:rPr>
        <w:t>3.50</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4.38</w:t>
      </w:r>
      <w:r>
        <w:rPr>
          <w:rFonts w:hint="default" w:ascii="Times New Roman" w:hAnsi="Times New Roman" w:cs="Times New Roman"/>
          <w:color w:val="auto"/>
          <w:highlight w:val="none"/>
          <w:lang w:val="en-US" w:eastAsia="zh-CN"/>
        </w:rPr>
        <w:t>%，年均浓度贡献值最大值为0.</w:t>
      </w:r>
      <w:r>
        <w:rPr>
          <w:rFonts w:hint="eastAsia" w:cs="Times New Roman"/>
          <w:color w:val="auto"/>
          <w:highlight w:val="none"/>
          <w:lang w:val="en-US" w:eastAsia="zh-CN"/>
        </w:rPr>
        <w:t>493</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，最大占标率为1.</w:t>
      </w:r>
      <w:r>
        <w:rPr>
          <w:rFonts w:hint="eastAsia" w:cs="Times New Roman"/>
          <w:color w:val="auto"/>
          <w:highlight w:val="none"/>
          <w:lang w:val="en-US" w:eastAsia="zh-CN"/>
        </w:rPr>
        <w:t>23</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_Ref23640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图5.2-15</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_Ref23646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30" w:name="_Ref1349"/>
      <w:bookmarkEnd w:id="530"/>
      <w:r>
        <w:rPr>
          <w:rFonts w:hint="eastAsia" w:cs="Times New Roman"/>
          <w:color w:val="auto"/>
          <w:highlight w:val="none"/>
          <w:lang w:val="en-US" w:eastAsia="zh-CN"/>
        </w:rPr>
        <w:t>项</w:t>
      </w:r>
      <w:r>
        <w:rPr>
          <w:rFonts w:hint="default" w:ascii="Times New Roman" w:hAnsi="Times New Roman" w:cs="Times New Roman"/>
          <w:color w:val="auto"/>
          <w:highlight w:val="none"/>
          <w:lang w:val="en-US" w:eastAsia="zh-CN"/>
        </w:rPr>
        <w:t>目新增污染物</w:t>
      </w:r>
      <w:r>
        <w:rPr>
          <w:rFonts w:hint="eastAsia"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贡献浓度预测结果</w:t>
      </w:r>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460"/>
        <w:gridCol w:w="1250"/>
        <w:gridCol w:w="1245"/>
        <w:gridCol w:w="1695"/>
        <w:gridCol w:w="1230"/>
        <w:gridCol w:w="990"/>
        <w:gridCol w:w="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460" w:type="dxa"/>
            <w:tcBorders>
              <w:tl2br w:val="nil"/>
              <w:tr2bl w:val="nil"/>
            </w:tcBorders>
            <w:vAlign w:val="center"/>
          </w:tcPr>
          <w:p>
            <w:pPr>
              <w:pStyle w:val="2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预测</w:t>
            </w:r>
            <w:r>
              <w:rPr>
                <w:rFonts w:hint="default" w:ascii="Times New Roman" w:hAnsi="Times New Roman" w:cs="Times New Roman"/>
                <w:color w:val="auto"/>
                <w:highlight w:val="none"/>
              </w:rPr>
              <w:t>点名称</w:t>
            </w:r>
          </w:p>
        </w:tc>
        <w:tc>
          <w:tcPr>
            <w:tcW w:w="125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2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浓度增量(mg/m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69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出现时间(YYMMDDHH)</w:t>
            </w:r>
          </w:p>
        </w:tc>
        <w:tc>
          <w:tcPr>
            <w:tcW w:w="123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9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1250"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6.09E-03</w:t>
            </w:r>
          </w:p>
        </w:tc>
        <w:tc>
          <w:tcPr>
            <w:tcW w:w="1695" w:type="dxa"/>
            <w:tcBorders>
              <w:tl2br w:val="nil"/>
              <w:tr2bl w:val="nil"/>
            </w:tcBorders>
            <w:vAlign w:val="center"/>
          </w:tcPr>
          <w:p>
            <w:pPr>
              <w:pStyle w:val="21"/>
              <w:bidi w:val="0"/>
              <w:rPr>
                <w:rFonts w:hint="default"/>
                <w:color w:val="auto"/>
              </w:rPr>
            </w:pPr>
            <w:r>
              <w:rPr>
                <w:rFonts w:hint="eastAsia"/>
                <w:color w:val="auto"/>
              </w:rPr>
              <w:t>19093018</w:t>
            </w:r>
          </w:p>
        </w:tc>
        <w:tc>
          <w:tcPr>
            <w:tcW w:w="1230" w:type="dxa"/>
            <w:tcBorders>
              <w:tl2br w:val="nil"/>
              <w:tr2bl w:val="nil"/>
            </w:tcBorders>
            <w:vAlign w:val="center"/>
          </w:tcPr>
          <w:p>
            <w:pPr>
              <w:pStyle w:val="21"/>
              <w:bidi w:val="0"/>
              <w:rPr>
                <w:rFonts w:hint="default"/>
                <w:color w:val="auto"/>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3.04</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2.53E-03</w:t>
            </w:r>
          </w:p>
        </w:tc>
        <w:tc>
          <w:tcPr>
            <w:tcW w:w="1695" w:type="dxa"/>
            <w:tcBorders>
              <w:tl2br w:val="nil"/>
              <w:tr2bl w:val="nil"/>
            </w:tcBorders>
            <w:vAlign w:val="center"/>
          </w:tcPr>
          <w:p>
            <w:pPr>
              <w:pStyle w:val="21"/>
              <w:bidi w:val="0"/>
              <w:rPr>
                <w:rFonts w:hint="default"/>
                <w:color w:val="auto"/>
              </w:rPr>
            </w:pPr>
            <w:r>
              <w:rPr>
                <w:rFonts w:hint="eastAsia"/>
                <w:color w:val="auto"/>
              </w:rPr>
              <w:t>190808</w:t>
            </w:r>
          </w:p>
        </w:tc>
        <w:tc>
          <w:tcPr>
            <w:tcW w:w="1230" w:type="dxa"/>
            <w:tcBorders>
              <w:tl2br w:val="nil"/>
              <w:tr2bl w:val="nil"/>
            </w:tcBorders>
            <w:vAlign w:val="center"/>
          </w:tcPr>
          <w:p>
            <w:pPr>
              <w:pStyle w:val="21"/>
              <w:bidi w:val="0"/>
              <w:rPr>
                <w:rFonts w:hint="default"/>
                <w:color w:val="auto"/>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3.17</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2.26E-04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0.57</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2.97E-03</w:t>
            </w:r>
          </w:p>
        </w:tc>
        <w:tc>
          <w:tcPr>
            <w:tcW w:w="1695" w:type="dxa"/>
            <w:tcBorders>
              <w:tl2br w:val="nil"/>
              <w:tr2bl w:val="nil"/>
            </w:tcBorders>
            <w:vAlign w:val="center"/>
          </w:tcPr>
          <w:p>
            <w:pPr>
              <w:pStyle w:val="21"/>
              <w:bidi w:val="0"/>
              <w:rPr>
                <w:rFonts w:hint="default"/>
                <w:color w:val="auto"/>
              </w:rPr>
            </w:pPr>
            <w:r>
              <w:rPr>
                <w:rFonts w:hint="eastAsia"/>
                <w:color w:val="auto"/>
              </w:rPr>
              <w:t>19082019</w:t>
            </w:r>
          </w:p>
        </w:tc>
        <w:tc>
          <w:tcPr>
            <w:tcW w:w="1230" w:type="dxa"/>
            <w:tcBorders>
              <w:tl2br w:val="nil"/>
              <w:tr2bl w:val="nil"/>
            </w:tcBorders>
            <w:vAlign w:val="center"/>
          </w:tcPr>
          <w:p>
            <w:pPr>
              <w:pStyle w:val="21"/>
              <w:bidi w:val="0"/>
              <w:rPr>
                <w:rFonts w:hint="default"/>
                <w:color w:val="auto"/>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1.48</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1.02E-03</w:t>
            </w:r>
          </w:p>
        </w:tc>
        <w:tc>
          <w:tcPr>
            <w:tcW w:w="1695" w:type="dxa"/>
            <w:tcBorders>
              <w:tl2br w:val="nil"/>
              <w:tr2bl w:val="nil"/>
            </w:tcBorders>
            <w:vAlign w:val="center"/>
          </w:tcPr>
          <w:p>
            <w:pPr>
              <w:pStyle w:val="21"/>
              <w:bidi w:val="0"/>
              <w:rPr>
                <w:rFonts w:hint="default"/>
                <w:color w:val="auto"/>
              </w:rPr>
            </w:pPr>
            <w:r>
              <w:rPr>
                <w:rFonts w:hint="eastAsia"/>
                <w:color w:val="auto"/>
              </w:rPr>
              <w:t>190201</w:t>
            </w:r>
          </w:p>
        </w:tc>
        <w:tc>
          <w:tcPr>
            <w:tcW w:w="1230" w:type="dxa"/>
            <w:tcBorders>
              <w:tl2br w:val="nil"/>
              <w:tr2bl w:val="nil"/>
            </w:tcBorders>
            <w:vAlign w:val="center"/>
          </w:tcPr>
          <w:p>
            <w:pPr>
              <w:pStyle w:val="21"/>
              <w:bidi w:val="0"/>
              <w:rPr>
                <w:rFonts w:hint="default"/>
                <w:color w:val="auto"/>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1.27</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1.13E-04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0.28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5.07E-03</w:t>
            </w:r>
          </w:p>
        </w:tc>
        <w:tc>
          <w:tcPr>
            <w:tcW w:w="1695" w:type="dxa"/>
            <w:tcBorders>
              <w:tl2br w:val="nil"/>
              <w:tr2bl w:val="nil"/>
            </w:tcBorders>
            <w:vAlign w:val="center"/>
          </w:tcPr>
          <w:p>
            <w:pPr>
              <w:pStyle w:val="21"/>
              <w:bidi w:val="0"/>
              <w:rPr>
                <w:rFonts w:hint="default"/>
                <w:color w:val="auto"/>
              </w:rPr>
            </w:pPr>
            <w:r>
              <w:rPr>
                <w:rFonts w:hint="eastAsia"/>
                <w:color w:val="auto"/>
              </w:rPr>
              <w:t>19042909</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2.54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4.37E-04</w:t>
            </w:r>
          </w:p>
        </w:tc>
        <w:tc>
          <w:tcPr>
            <w:tcW w:w="1695" w:type="dxa"/>
            <w:tcBorders>
              <w:tl2br w:val="nil"/>
              <w:tr2bl w:val="nil"/>
            </w:tcBorders>
            <w:vAlign w:val="center"/>
          </w:tcPr>
          <w:p>
            <w:pPr>
              <w:pStyle w:val="21"/>
              <w:bidi w:val="0"/>
              <w:rPr>
                <w:rFonts w:hint="default"/>
                <w:color w:val="auto"/>
              </w:rPr>
            </w:pPr>
            <w:r>
              <w:rPr>
                <w:rFonts w:hint="eastAsia"/>
                <w:color w:val="auto"/>
              </w:rPr>
              <w:t>190216</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0.55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6.53E-05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0.16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5.63E-03</w:t>
            </w:r>
          </w:p>
        </w:tc>
        <w:tc>
          <w:tcPr>
            <w:tcW w:w="1695" w:type="dxa"/>
            <w:tcBorders>
              <w:tl2br w:val="nil"/>
              <w:tr2bl w:val="nil"/>
            </w:tcBorders>
            <w:vAlign w:val="center"/>
          </w:tcPr>
          <w:p>
            <w:pPr>
              <w:pStyle w:val="21"/>
              <w:bidi w:val="0"/>
              <w:rPr>
                <w:rFonts w:hint="default"/>
                <w:color w:val="auto"/>
              </w:rPr>
            </w:pPr>
            <w:r>
              <w:rPr>
                <w:rFonts w:hint="eastAsia"/>
                <w:color w:val="auto"/>
              </w:rPr>
              <w:t>19051808</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2.82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5.55E-04</w:t>
            </w:r>
          </w:p>
        </w:tc>
        <w:tc>
          <w:tcPr>
            <w:tcW w:w="1695" w:type="dxa"/>
            <w:tcBorders>
              <w:tl2br w:val="nil"/>
              <w:tr2bl w:val="nil"/>
            </w:tcBorders>
            <w:vAlign w:val="center"/>
          </w:tcPr>
          <w:p>
            <w:pPr>
              <w:pStyle w:val="21"/>
              <w:bidi w:val="0"/>
              <w:rPr>
                <w:rFonts w:hint="default"/>
                <w:color w:val="auto"/>
              </w:rPr>
            </w:pPr>
            <w:r>
              <w:rPr>
                <w:rFonts w:hint="eastAsia"/>
                <w:color w:val="auto"/>
              </w:rPr>
              <w:t>190518</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0.69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5.92E-05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0.15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1.64E-03</w:t>
            </w:r>
          </w:p>
        </w:tc>
        <w:tc>
          <w:tcPr>
            <w:tcW w:w="1695" w:type="dxa"/>
            <w:tcBorders>
              <w:tl2br w:val="nil"/>
              <w:tr2bl w:val="nil"/>
            </w:tcBorders>
            <w:vAlign w:val="center"/>
          </w:tcPr>
          <w:p>
            <w:pPr>
              <w:pStyle w:val="21"/>
              <w:bidi w:val="0"/>
              <w:rPr>
                <w:rFonts w:hint="default"/>
                <w:color w:val="auto"/>
              </w:rPr>
            </w:pPr>
            <w:r>
              <w:rPr>
                <w:rFonts w:hint="eastAsia"/>
                <w:color w:val="auto"/>
              </w:rPr>
              <w:t>19042909</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0.82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1.94E-04</w:t>
            </w:r>
          </w:p>
        </w:tc>
        <w:tc>
          <w:tcPr>
            <w:tcW w:w="1695" w:type="dxa"/>
            <w:tcBorders>
              <w:tl2br w:val="nil"/>
              <w:tr2bl w:val="nil"/>
            </w:tcBorders>
            <w:vAlign w:val="center"/>
          </w:tcPr>
          <w:p>
            <w:pPr>
              <w:pStyle w:val="21"/>
              <w:bidi w:val="0"/>
              <w:rPr>
                <w:rFonts w:hint="default"/>
                <w:color w:val="auto"/>
              </w:rPr>
            </w:pPr>
            <w:r>
              <w:rPr>
                <w:rFonts w:hint="eastAsia"/>
                <w:color w:val="auto"/>
              </w:rPr>
              <w:t>191004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0.24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2.53E-05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0.06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9.52E-04</w:t>
            </w:r>
          </w:p>
        </w:tc>
        <w:tc>
          <w:tcPr>
            <w:tcW w:w="1695" w:type="dxa"/>
            <w:tcBorders>
              <w:tl2br w:val="nil"/>
              <w:tr2bl w:val="nil"/>
            </w:tcBorders>
            <w:vAlign w:val="center"/>
          </w:tcPr>
          <w:p>
            <w:pPr>
              <w:pStyle w:val="21"/>
              <w:bidi w:val="0"/>
              <w:rPr>
                <w:rFonts w:hint="default"/>
                <w:color w:val="auto"/>
              </w:rPr>
            </w:pPr>
            <w:r>
              <w:rPr>
                <w:rFonts w:hint="eastAsia"/>
                <w:color w:val="auto"/>
              </w:rPr>
              <w:t>19063023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0.48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7.33E-05</w:t>
            </w:r>
          </w:p>
        </w:tc>
        <w:tc>
          <w:tcPr>
            <w:tcW w:w="1695" w:type="dxa"/>
            <w:tcBorders>
              <w:tl2br w:val="nil"/>
              <w:tr2bl w:val="nil"/>
            </w:tcBorders>
            <w:vAlign w:val="center"/>
          </w:tcPr>
          <w:p>
            <w:pPr>
              <w:pStyle w:val="21"/>
              <w:bidi w:val="0"/>
              <w:rPr>
                <w:rFonts w:hint="default"/>
                <w:color w:val="auto"/>
              </w:rPr>
            </w:pPr>
            <w:r>
              <w:rPr>
                <w:rFonts w:hint="eastAsia"/>
                <w:color w:val="auto"/>
              </w:rPr>
              <w:t>191004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0.09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8.02E-06</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2.41E-03</w:t>
            </w:r>
          </w:p>
        </w:tc>
        <w:tc>
          <w:tcPr>
            <w:tcW w:w="1695" w:type="dxa"/>
            <w:tcBorders>
              <w:tl2br w:val="nil"/>
              <w:tr2bl w:val="nil"/>
            </w:tcBorders>
            <w:vAlign w:val="center"/>
          </w:tcPr>
          <w:p>
            <w:pPr>
              <w:pStyle w:val="21"/>
              <w:bidi w:val="0"/>
              <w:rPr>
                <w:rFonts w:hint="default"/>
                <w:color w:val="auto"/>
              </w:rPr>
            </w:pPr>
            <w:r>
              <w:rPr>
                <w:rFonts w:hint="eastAsia"/>
                <w:color w:val="auto"/>
              </w:rPr>
              <w:t>19072020</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1.21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4.60E-04</w:t>
            </w:r>
          </w:p>
        </w:tc>
        <w:tc>
          <w:tcPr>
            <w:tcW w:w="1695" w:type="dxa"/>
            <w:tcBorders>
              <w:tl2br w:val="nil"/>
              <w:tr2bl w:val="nil"/>
            </w:tcBorders>
            <w:vAlign w:val="center"/>
          </w:tcPr>
          <w:p>
            <w:pPr>
              <w:pStyle w:val="21"/>
              <w:bidi w:val="0"/>
              <w:rPr>
                <w:rFonts w:hint="default"/>
                <w:color w:val="auto"/>
              </w:rPr>
            </w:pPr>
            <w:r>
              <w:rPr>
                <w:rFonts w:hint="eastAsia"/>
                <w:color w:val="auto"/>
              </w:rPr>
              <w:t>190613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8.00E-02</w:t>
            </w:r>
          </w:p>
        </w:tc>
        <w:tc>
          <w:tcPr>
            <w:tcW w:w="990" w:type="dxa"/>
            <w:tcBorders>
              <w:tl2br w:val="nil"/>
              <w:tr2bl w:val="nil"/>
            </w:tcBorders>
            <w:vAlign w:val="center"/>
          </w:tcPr>
          <w:p>
            <w:pPr>
              <w:pStyle w:val="21"/>
              <w:bidi w:val="0"/>
              <w:rPr>
                <w:rFonts w:hint="default"/>
                <w:color w:val="auto"/>
              </w:rPr>
            </w:pPr>
            <w:r>
              <w:rPr>
                <w:rFonts w:hint="eastAsia"/>
                <w:color w:val="auto"/>
              </w:rPr>
              <w:t>0.58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5.05E-05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4.00E-02</w:t>
            </w:r>
          </w:p>
        </w:tc>
        <w:tc>
          <w:tcPr>
            <w:tcW w:w="990" w:type="dxa"/>
            <w:tcBorders>
              <w:tl2br w:val="nil"/>
              <w:tr2bl w:val="nil"/>
            </w:tcBorders>
            <w:vAlign w:val="center"/>
          </w:tcPr>
          <w:p>
            <w:pPr>
              <w:pStyle w:val="21"/>
              <w:bidi w:val="0"/>
              <w:rPr>
                <w:rFonts w:hint="default"/>
                <w:color w:val="auto"/>
              </w:rPr>
            </w:pPr>
            <w:r>
              <w:rPr>
                <w:rFonts w:hint="eastAsia"/>
                <w:color w:val="auto"/>
              </w:rPr>
              <w:t>0.13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8</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福建闽客工贸有限公司</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2.80E-03</w:t>
            </w:r>
          </w:p>
        </w:tc>
        <w:tc>
          <w:tcPr>
            <w:tcW w:w="1695" w:type="dxa"/>
            <w:tcBorders>
              <w:tl2br w:val="nil"/>
              <w:tr2bl w:val="nil"/>
            </w:tcBorders>
            <w:vAlign w:val="center"/>
          </w:tcPr>
          <w:p>
            <w:pPr>
              <w:pStyle w:val="21"/>
              <w:bidi w:val="0"/>
              <w:rPr>
                <w:rFonts w:hint="eastAsia"/>
                <w:color w:val="auto"/>
              </w:rPr>
            </w:pPr>
            <w:r>
              <w:rPr>
                <w:rFonts w:hint="eastAsia"/>
                <w:color w:val="auto"/>
              </w:rPr>
              <w:t>19112709</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1.40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3.81E-04</w:t>
            </w:r>
          </w:p>
        </w:tc>
        <w:tc>
          <w:tcPr>
            <w:tcW w:w="1695" w:type="dxa"/>
            <w:tcBorders>
              <w:tl2br w:val="nil"/>
              <w:tr2bl w:val="nil"/>
            </w:tcBorders>
            <w:vAlign w:val="center"/>
          </w:tcPr>
          <w:p>
            <w:pPr>
              <w:pStyle w:val="21"/>
              <w:bidi w:val="0"/>
              <w:rPr>
                <w:rFonts w:hint="eastAsia"/>
                <w:color w:val="auto"/>
              </w:rPr>
            </w:pPr>
            <w:r>
              <w:rPr>
                <w:rFonts w:hint="eastAsia"/>
                <w:color w:val="auto"/>
              </w:rPr>
              <w:t>190703</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0.48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1.95E-05</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0.05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9</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小洋</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9.12E-04</w:t>
            </w:r>
          </w:p>
        </w:tc>
        <w:tc>
          <w:tcPr>
            <w:tcW w:w="1695" w:type="dxa"/>
            <w:tcBorders>
              <w:tl2br w:val="nil"/>
              <w:tr2bl w:val="nil"/>
            </w:tcBorders>
            <w:vAlign w:val="center"/>
          </w:tcPr>
          <w:p>
            <w:pPr>
              <w:pStyle w:val="21"/>
              <w:bidi w:val="0"/>
              <w:rPr>
                <w:rFonts w:hint="eastAsia"/>
                <w:color w:val="auto"/>
              </w:rPr>
            </w:pPr>
            <w:r>
              <w:rPr>
                <w:rFonts w:hint="eastAsia"/>
                <w:color w:val="auto"/>
              </w:rPr>
              <w:t>19052003</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0.46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7.72E-05</w:t>
            </w:r>
          </w:p>
        </w:tc>
        <w:tc>
          <w:tcPr>
            <w:tcW w:w="1695" w:type="dxa"/>
            <w:tcBorders>
              <w:tl2br w:val="nil"/>
              <w:tr2bl w:val="nil"/>
            </w:tcBorders>
            <w:vAlign w:val="center"/>
          </w:tcPr>
          <w:p>
            <w:pPr>
              <w:pStyle w:val="21"/>
              <w:bidi w:val="0"/>
              <w:rPr>
                <w:rFonts w:hint="eastAsia"/>
                <w:color w:val="auto"/>
              </w:rPr>
            </w:pPr>
            <w:r>
              <w:rPr>
                <w:rFonts w:hint="eastAsia"/>
                <w:color w:val="auto"/>
              </w:rPr>
              <w:t>191007</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0.10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7.28E-06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10</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竹栏头</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1.10E-03</w:t>
            </w:r>
          </w:p>
        </w:tc>
        <w:tc>
          <w:tcPr>
            <w:tcW w:w="1695" w:type="dxa"/>
            <w:tcBorders>
              <w:tl2br w:val="nil"/>
              <w:tr2bl w:val="nil"/>
            </w:tcBorders>
            <w:vAlign w:val="center"/>
          </w:tcPr>
          <w:p>
            <w:pPr>
              <w:pStyle w:val="21"/>
              <w:bidi w:val="0"/>
              <w:rPr>
                <w:rFonts w:hint="eastAsia"/>
                <w:color w:val="auto"/>
              </w:rPr>
            </w:pPr>
            <w:r>
              <w:rPr>
                <w:rFonts w:hint="eastAsia"/>
                <w:color w:val="auto"/>
              </w:rPr>
              <w:t>19063003</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0.55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1.08E-04</w:t>
            </w:r>
          </w:p>
        </w:tc>
        <w:tc>
          <w:tcPr>
            <w:tcW w:w="1695" w:type="dxa"/>
            <w:tcBorders>
              <w:tl2br w:val="nil"/>
              <w:tr2bl w:val="nil"/>
            </w:tcBorders>
            <w:vAlign w:val="center"/>
          </w:tcPr>
          <w:p>
            <w:pPr>
              <w:pStyle w:val="21"/>
              <w:bidi w:val="0"/>
              <w:rPr>
                <w:rFonts w:hint="eastAsia"/>
                <w:color w:val="auto"/>
              </w:rPr>
            </w:pPr>
            <w:r>
              <w:rPr>
                <w:rFonts w:hint="eastAsia"/>
                <w:color w:val="auto"/>
              </w:rPr>
              <w:t>191006</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0.14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7.85E-06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11</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东岭头</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1.04E-03</w:t>
            </w:r>
          </w:p>
        </w:tc>
        <w:tc>
          <w:tcPr>
            <w:tcW w:w="1695" w:type="dxa"/>
            <w:tcBorders>
              <w:tl2br w:val="nil"/>
              <w:tr2bl w:val="nil"/>
            </w:tcBorders>
            <w:vAlign w:val="center"/>
          </w:tcPr>
          <w:p>
            <w:pPr>
              <w:pStyle w:val="21"/>
              <w:bidi w:val="0"/>
              <w:rPr>
                <w:rFonts w:hint="eastAsia"/>
                <w:color w:val="auto"/>
              </w:rPr>
            </w:pPr>
            <w:r>
              <w:rPr>
                <w:rFonts w:hint="eastAsia"/>
                <w:color w:val="auto"/>
              </w:rPr>
              <w:t>19043008</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0.52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6.31E-05</w:t>
            </w:r>
          </w:p>
        </w:tc>
        <w:tc>
          <w:tcPr>
            <w:tcW w:w="1695" w:type="dxa"/>
            <w:tcBorders>
              <w:tl2br w:val="nil"/>
              <w:tr2bl w:val="nil"/>
            </w:tcBorders>
            <w:vAlign w:val="center"/>
          </w:tcPr>
          <w:p>
            <w:pPr>
              <w:pStyle w:val="21"/>
              <w:bidi w:val="0"/>
              <w:rPr>
                <w:rFonts w:hint="eastAsia"/>
                <w:color w:val="auto"/>
              </w:rPr>
            </w:pPr>
            <w:r>
              <w:rPr>
                <w:rFonts w:hint="eastAsia"/>
                <w:color w:val="auto"/>
              </w:rPr>
              <w:t>190605</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0.08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6.50E-06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12</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秦家洋</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3.14E-04</w:t>
            </w:r>
          </w:p>
        </w:tc>
        <w:tc>
          <w:tcPr>
            <w:tcW w:w="1695" w:type="dxa"/>
            <w:tcBorders>
              <w:tl2br w:val="nil"/>
              <w:tr2bl w:val="nil"/>
            </w:tcBorders>
            <w:vAlign w:val="center"/>
          </w:tcPr>
          <w:p>
            <w:pPr>
              <w:pStyle w:val="21"/>
              <w:bidi w:val="0"/>
              <w:rPr>
                <w:rFonts w:hint="eastAsia"/>
                <w:color w:val="auto"/>
              </w:rPr>
            </w:pPr>
            <w:r>
              <w:rPr>
                <w:rFonts w:hint="eastAsia"/>
                <w:color w:val="auto"/>
              </w:rPr>
              <w:t>19011309</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0.16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1.45E-05</w:t>
            </w:r>
          </w:p>
        </w:tc>
        <w:tc>
          <w:tcPr>
            <w:tcW w:w="1695" w:type="dxa"/>
            <w:tcBorders>
              <w:tl2br w:val="nil"/>
              <w:tr2bl w:val="nil"/>
            </w:tcBorders>
            <w:vAlign w:val="center"/>
          </w:tcPr>
          <w:p>
            <w:pPr>
              <w:pStyle w:val="21"/>
              <w:bidi w:val="0"/>
              <w:rPr>
                <w:rFonts w:hint="eastAsia"/>
                <w:color w:val="auto"/>
              </w:rPr>
            </w:pPr>
            <w:r>
              <w:rPr>
                <w:rFonts w:hint="eastAsia"/>
                <w:color w:val="auto"/>
              </w:rPr>
              <w:t>190224</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0.02</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7.50E-07</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13</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山后</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7.73E-04</w:t>
            </w:r>
          </w:p>
        </w:tc>
        <w:tc>
          <w:tcPr>
            <w:tcW w:w="1695" w:type="dxa"/>
            <w:tcBorders>
              <w:tl2br w:val="nil"/>
              <w:tr2bl w:val="nil"/>
            </w:tcBorders>
            <w:vAlign w:val="center"/>
          </w:tcPr>
          <w:p>
            <w:pPr>
              <w:pStyle w:val="21"/>
              <w:bidi w:val="0"/>
              <w:rPr>
                <w:rFonts w:hint="eastAsia"/>
                <w:color w:val="auto"/>
              </w:rPr>
            </w:pPr>
            <w:r>
              <w:rPr>
                <w:rFonts w:hint="eastAsia"/>
                <w:color w:val="auto"/>
              </w:rPr>
              <w:t>19040807</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0.39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3.22E-05</w:t>
            </w:r>
          </w:p>
        </w:tc>
        <w:tc>
          <w:tcPr>
            <w:tcW w:w="1695" w:type="dxa"/>
            <w:tcBorders>
              <w:tl2br w:val="nil"/>
              <w:tr2bl w:val="nil"/>
            </w:tcBorders>
            <w:vAlign w:val="center"/>
          </w:tcPr>
          <w:p>
            <w:pPr>
              <w:pStyle w:val="21"/>
              <w:bidi w:val="0"/>
              <w:rPr>
                <w:rFonts w:hint="eastAsia"/>
                <w:color w:val="auto"/>
              </w:rPr>
            </w:pPr>
            <w:r>
              <w:rPr>
                <w:rFonts w:hint="eastAsia"/>
                <w:color w:val="auto"/>
              </w:rPr>
              <w:t>190408</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0.04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1.43E-06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14</w:t>
            </w:r>
          </w:p>
        </w:tc>
        <w:tc>
          <w:tcPr>
            <w:tcW w:w="1460"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网格</w:t>
            </w: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3.66E-02</w:t>
            </w:r>
          </w:p>
        </w:tc>
        <w:tc>
          <w:tcPr>
            <w:tcW w:w="1695" w:type="dxa"/>
            <w:tcBorders>
              <w:tl2br w:val="nil"/>
              <w:tr2bl w:val="nil"/>
            </w:tcBorders>
            <w:vAlign w:val="center"/>
          </w:tcPr>
          <w:p>
            <w:pPr>
              <w:pStyle w:val="21"/>
              <w:bidi w:val="0"/>
              <w:rPr>
                <w:rFonts w:hint="eastAsia"/>
                <w:color w:val="auto"/>
              </w:rPr>
            </w:pPr>
            <w:r>
              <w:rPr>
                <w:rFonts w:hint="eastAsia"/>
                <w:color w:val="auto"/>
              </w:rPr>
              <w:t>19051323</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18.29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3.50E-03</w:t>
            </w:r>
          </w:p>
        </w:tc>
        <w:tc>
          <w:tcPr>
            <w:tcW w:w="1695" w:type="dxa"/>
            <w:tcBorders>
              <w:tl2br w:val="nil"/>
              <w:tr2bl w:val="nil"/>
            </w:tcBorders>
            <w:vAlign w:val="center"/>
          </w:tcPr>
          <w:p>
            <w:pPr>
              <w:pStyle w:val="21"/>
              <w:bidi w:val="0"/>
              <w:rPr>
                <w:rFonts w:hint="eastAsia"/>
                <w:color w:val="auto"/>
              </w:rPr>
            </w:pPr>
            <w:r>
              <w:rPr>
                <w:rFonts w:hint="eastAsia"/>
                <w:color w:val="auto"/>
              </w:rPr>
              <w:t>190921</w:t>
            </w:r>
          </w:p>
        </w:tc>
        <w:tc>
          <w:tcPr>
            <w:tcW w:w="1230" w:type="dxa"/>
            <w:tcBorders>
              <w:tl2br w:val="nil"/>
              <w:tr2bl w:val="nil"/>
            </w:tcBorders>
            <w:vAlign w:val="center"/>
          </w:tcPr>
          <w:p>
            <w:pPr>
              <w:pStyle w:val="21"/>
              <w:bidi w:val="0"/>
              <w:rPr>
                <w:rFonts w:hint="eastAsia"/>
                <w:color w:val="auto"/>
              </w:rPr>
            </w:pPr>
            <w:r>
              <w:rPr>
                <w:rFonts w:hint="eastAsia"/>
                <w:color w:val="auto"/>
              </w:rPr>
              <w:t>8.00E-02</w:t>
            </w:r>
          </w:p>
        </w:tc>
        <w:tc>
          <w:tcPr>
            <w:tcW w:w="990" w:type="dxa"/>
            <w:tcBorders>
              <w:tl2br w:val="nil"/>
              <w:tr2bl w:val="nil"/>
            </w:tcBorders>
            <w:vAlign w:val="center"/>
          </w:tcPr>
          <w:p>
            <w:pPr>
              <w:pStyle w:val="21"/>
              <w:bidi w:val="0"/>
              <w:rPr>
                <w:rFonts w:hint="eastAsia"/>
                <w:color w:val="auto"/>
              </w:rPr>
            </w:pPr>
            <w:r>
              <w:rPr>
                <w:rFonts w:hint="eastAsia"/>
                <w:color w:val="auto"/>
              </w:rPr>
              <w:t>4.38</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60"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4.93E-04</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4.00E-02</w:t>
            </w:r>
          </w:p>
        </w:tc>
        <w:tc>
          <w:tcPr>
            <w:tcW w:w="990" w:type="dxa"/>
            <w:tcBorders>
              <w:tl2br w:val="nil"/>
              <w:tr2bl w:val="nil"/>
            </w:tcBorders>
            <w:vAlign w:val="center"/>
          </w:tcPr>
          <w:p>
            <w:pPr>
              <w:pStyle w:val="21"/>
              <w:bidi w:val="0"/>
              <w:rPr>
                <w:rFonts w:hint="eastAsia"/>
                <w:color w:val="auto"/>
              </w:rPr>
            </w:pPr>
            <w:r>
              <w:rPr>
                <w:rFonts w:hint="eastAsia"/>
                <w:color w:val="auto"/>
              </w:rPr>
              <w:t>1.23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bl>
    <w:p>
      <w:pP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③PM</w:t>
      </w:r>
      <w:r>
        <w:rPr>
          <w:rFonts w:hint="eastAsia" w:cs="Times New Roman"/>
          <w:color w:val="auto"/>
          <w:highlight w:val="none"/>
          <w:vertAlign w:val="subscript"/>
          <w:lang w:val="en-US" w:eastAsia="zh-CN"/>
        </w:rPr>
        <w:t>10</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cs="Times New Roman"/>
          <w:color w:val="auto"/>
          <w:highlight w:val="none"/>
          <w:lang w:val="en-US" w:eastAsia="zh-CN"/>
        </w:rPr>
        <w:t>PM</w:t>
      </w:r>
      <w:r>
        <w:rPr>
          <w:rFonts w:hint="eastAsia"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_Ref7015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表5.2-29</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s="Times New Roman"/>
          <w:color w:val="auto"/>
          <w:highlight w:val="none"/>
          <w:lang w:val="en-US" w:eastAsia="zh-CN"/>
        </w:rPr>
        <w:t>PM</w:t>
      </w:r>
      <w:r>
        <w:rPr>
          <w:rFonts w:hint="eastAsia"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日均、年均浓度贡献值满足《环境空气质量标准》（GB3095-2012）二级标准要求</w:t>
      </w:r>
      <w:r>
        <w:rPr>
          <w:rFonts w:hint="default" w:ascii="Times New Roman" w:hAnsi="Times New Roman" w:cs="Times New Roman"/>
          <w:color w:val="auto"/>
          <w:highlight w:val="none"/>
          <w:lang w:val="en-US" w:eastAsia="zh-CN"/>
        </w:rPr>
        <w:t>。区域最大落地浓度中，日均浓度贡献值最大值为</w:t>
      </w:r>
      <w:r>
        <w:rPr>
          <w:rFonts w:hint="eastAsia" w:cs="Times New Roman"/>
          <w:color w:val="auto"/>
          <w:highlight w:val="none"/>
          <w:lang w:val="en-US" w:eastAsia="zh-CN"/>
        </w:rPr>
        <w:t>25.7</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17.11</w:t>
      </w:r>
      <w:r>
        <w:rPr>
          <w:rFonts w:hint="default" w:ascii="Times New Roman" w:hAnsi="Times New Roman" w:cs="Times New Roman"/>
          <w:color w:val="auto"/>
          <w:highlight w:val="none"/>
          <w:lang w:val="en-US" w:eastAsia="zh-CN"/>
        </w:rPr>
        <w:t>%，年均浓度贡献值最大值为</w:t>
      </w:r>
      <w:r>
        <w:rPr>
          <w:rFonts w:hint="eastAsia" w:cs="Times New Roman"/>
          <w:color w:val="auto"/>
          <w:highlight w:val="none"/>
          <w:lang w:val="en-US" w:eastAsia="zh-CN"/>
        </w:rPr>
        <w:t>1.66</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2.37</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_Ref23787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图5.2-18</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_Ref23790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图5.2-19</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31" w:name="_Ref7015"/>
      <w:r>
        <w:rPr>
          <w:rFonts w:hint="eastAsia" w:cs="Times New Roman"/>
          <w:color w:val="auto"/>
          <w:highlight w:val="none"/>
          <w:lang w:val="en-US" w:eastAsia="zh-CN"/>
        </w:rPr>
        <w:t>项</w:t>
      </w:r>
      <w:r>
        <w:rPr>
          <w:rFonts w:hint="default" w:ascii="Times New Roman" w:hAnsi="Times New Roman" w:cs="Times New Roman"/>
          <w:color w:val="auto"/>
          <w:highlight w:val="none"/>
          <w:lang w:val="en-US" w:eastAsia="zh-CN"/>
        </w:rPr>
        <w:t>目新增污染物</w:t>
      </w:r>
      <w:r>
        <w:rPr>
          <w:rFonts w:hint="eastAsia" w:cs="Times New Roman"/>
          <w:color w:val="auto"/>
          <w:highlight w:val="none"/>
          <w:lang w:val="en-US" w:eastAsia="zh-CN"/>
        </w:rPr>
        <w:t>PM</w:t>
      </w:r>
      <w:r>
        <w:rPr>
          <w:rFonts w:hint="eastAsia"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贡献浓度预测结果</w:t>
      </w:r>
      <w:bookmarkEnd w:id="531"/>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426"/>
        <w:gridCol w:w="1284"/>
        <w:gridCol w:w="1245"/>
        <w:gridCol w:w="1695"/>
        <w:gridCol w:w="1230"/>
        <w:gridCol w:w="990"/>
        <w:gridCol w:w="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426" w:type="dxa"/>
            <w:tcBorders>
              <w:tl2br w:val="nil"/>
              <w:tr2bl w:val="nil"/>
            </w:tcBorders>
            <w:vAlign w:val="center"/>
          </w:tcPr>
          <w:p>
            <w:pPr>
              <w:pStyle w:val="2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预测</w:t>
            </w:r>
            <w:r>
              <w:rPr>
                <w:rFonts w:hint="default" w:ascii="Times New Roman" w:hAnsi="Times New Roman" w:cs="Times New Roman"/>
                <w:color w:val="auto"/>
                <w:highlight w:val="none"/>
              </w:rPr>
              <w:t>点名称</w:t>
            </w:r>
          </w:p>
        </w:tc>
        <w:tc>
          <w:tcPr>
            <w:tcW w:w="1284"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2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浓度增量(mg/m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69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出现时间(YYMMDDHH)</w:t>
            </w:r>
          </w:p>
        </w:tc>
        <w:tc>
          <w:tcPr>
            <w:tcW w:w="123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9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一层村</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4.14E-03</w:t>
            </w:r>
          </w:p>
        </w:tc>
        <w:tc>
          <w:tcPr>
            <w:tcW w:w="1695" w:type="dxa"/>
            <w:tcBorders>
              <w:tl2br w:val="nil"/>
              <w:tr2bl w:val="nil"/>
            </w:tcBorders>
            <w:vAlign w:val="center"/>
          </w:tcPr>
          <w:p>
            <w:pPr>
              <w:pStyle w:val="21"/>
              <w:bidi w:val="0"/>
              <w:rPr>
                <w:rFonts w:hint="default"/>
                <w:color w:val="auto"/>
              </w:rPr>
            </w:pPr>
            <w:r>
              <w:rPr>
                <w:rFonts w:hint="eastAsia"/>
                <w:color w:val="auto"/>
              </w:rPr>
              <w:t>190808</w:t>
            </w:r>
          </w:p>
        </w:tc>
        <w:tc>
          <w:tcPr>
            <w:tcW w:w="1230" w:type="dxa"/>
            <w:tcBorders>
              <w:tl2br w:val="nil"/>
              <w:tr2bl w:val="nil"/>
            </w:tcBorders>
            <w:vAlign w:val="center"/>
          </w:tcPr>
          <w:p>
            <w:pPr>
              <w:pStyle w:val="21"/>
              <w:bidi w:val="0"/>
              <w:rPr>
                <w:rFonts w:hint="default"/>
                <w:color w:val="auto"/>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2.76</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6.11E-04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0.87</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3.01E-03</w:t>
            </w:r>
          </w:p>
        </w:tc>
        <w:tc>
          <w:tcPr>
            <w:tcW w:w="1695" w:type="dxa"/>
            <w:tcBorders>
              <w:tl2br w:val="nil"/>
              <w:tr2bl w:val="nil"/>
            </w:tcBorders>
            <w:vAlign w:val="center"/>
          </w:tcPr>
          <w:p>
            <w:pPr>
              <w:pStyle w:val="21"/>
              <w:bidi w:val="0"/>
              <w:rPr>
                <w:rFonts w:hint="default"/>
                <w:color w:val="auto"/>
              </w:rPr>
            </w:pPr>
            <w:r>
              <w:rPr>
                <w:rFonts w:hint="eastAsia"/>
                <w:color w:val="auto"/>
              </w:rPr>
              <w:t>190201</w:t>
            </w:r>
          </w:p>
        </w:tc>
        <w:tc>
          <w:tcPr>
            <w:tcW w:w="1230" w:type="dxa"/>
            <w:tcBorders>
              <w:tl2br w:val="nil"/>
              <w:tr2bl w:val="nil"/>
            </w:tcBorders>
            <w:vAlign w:val="center"/>
          </w:tcPr>
          <w:p>
            <w:pPr>
              <w:pStyle w:val="21"/>
              <w:bidi w:val="0"/>
              <w:rPr>
                <w:rFonts w:hint="default"/>
                <w:color w:val="auto"/>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2.01</w:t>
            </w:r>
          </w:p>
        </w:tc>
        <w:tc>
          <w:tcPr>
            <w:tcW w:w="763"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3.40E-04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0.49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1.58E-03</w:t>
            </w:r>
          </w:p>
        </w:tc>
        <w:tc>
          <w:tcPr>
            <w:tcW w:w="1695" w:type="dxa"/>
            <w:tcBorders>
              <w:tl2br w:val="nil"/>
              <w:tr2bl w:val="nil"/>
            </w:tcBorders>
            <w:vAlign w:val="center"/>
          </w:tcPr>
          <w:p>
            <w:pPr>
              <w:pStyle w:val="21"/>
              <w:bidi w:val="0"/>
              <w:rPr>
                <w:rFonts w:hint="default"/>
                <w:color w:val="auto"/>
              </w:rPr>
            </w:pPr>
            <w:r>
              <w:rPr>
                <w:rFonts w:hint="eastAsia"/>
                <w:color w:val="auto"/>
              </w:rPr>
              <w:t>190216</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1.05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2.37E-04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0.34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3.81E-03</w:t>
            </w:r>
          </w:p>
        </w:tc>
        <w:tc>
          <w:tcPr>
            <w:tcW w:w="1695" w:type="dxa"/>
            <w:tcBorders>
              <w:tl2br w:val="nil"/>
              <w:tr2bl w:val="nil"/>
            </w:tcBorders>
            <w:vAlign w:val="center"/>
          </w:tcPr>
          <w:p>
            <w:pPr>
              <w:pStyle w:val="21"/>
              <w:bidi w:val="0"/>
              <w:rPr>
                <w:rFonts w:hint="default"/>
                <w:color w:val="auto"/>
              </w:rPr>
            </w:pPr>
            <w:r>
              <w:rPr>
                <w:rFonts w:hint="eastAsia"/>
                <w:color w:val="auto"/>
              </w:rPr>
              <w:t>190518</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2.54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3.02E-04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0.43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7.34E-04</w:t>
            </w:r>
          </w:p>
        </w:tc>
        <w:tc>
          <w:tcPr>
            <w:tcW w:w="1695" w:type="dxa"/>
            <w:tcBorders>
              <w:tl2br w:val="nil"/>
              <w:tr2bl w:val="nil"/>
            </w:tcBorders>
            <w:vAlign w:val="center"/>
          </w:tcPr>
          <w:p>
            <w:pPr>
              <w:pStyle w:val="21"/>
              <w:bidi w:val="0"/>
              <w:rPr>
                <w:rFonts w:hint="default"/>
                <w:color w:val="auto"/>
              </w:rPr>
            </w:pPr>
            <w:r>
              <w:rPr>
                <w:rFonts w:hint="eastAsia"/>
                <w:color w:val="auto"/>
              </w:rPr>
              <w:t>190121</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0.49</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9.46E-05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0.14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2.99E-04</w:t>
            </w:r>
          </w:p>
        </w:tc>
        <w:tc>
          <w:tcPr>
            <w:tcW w:w="1695" w:type="dxa"/>
            <w:tcBorders>
              <w:tl2br w:val="nil"/>
              <w:tr2bl w:val="nil"/>
            </w:tcBorders>
            <w:vAlign w:val="center"/>
          </w:tcPr>
          <w:p>
            <w:pPr>
              <w:pStyle w:val="21"/>
              <w:bidi w:val="0"/>
              <w:rPr>
                <w:rFonts w:hint="default"/>
                <w:color w:val="auto"/>
              </w:rPr>
            </w:pPr>
            <w:r>
              <w:rPr>
                <w:rFonts w:hint="eastAsia"/>
                <w:color w:val="auto"/>
              </w:rPr>
              <w:t>190126</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0.20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3.25E-05</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0.05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default"/>
                <w:color w:val="auto"/>
              </w:rPr>
            </w:pPr>
            <w:r>
              <w:rPr>
                <w:rFonts w:hint="eastAsia"/>
                <w:color w:val="auto"/>
              </w:rPr>
              <w:t>1.70E-03</w:t>
            </w:r>
          </w:p>
        </w:tc>
        <w:tc>
          <w:tcPr>
            <w:tcW w:w="1695" w:type="dxa"/>
            <w:tcBorders>
              <w:tl2br w:val="nil"/>
              <w:tr2bl w:val="nil"/>
            </w:tcBorders>
            <w:vAlign w:val="center"/>
          </w:tcPr>
          <w:p>
            <w:pPr>
              <w:pStyle w:val="21"/>
              <w:bidi w:val="0"/>
              <w:rPr>
                <w:rFonts w:hint="default"/>
                <w:color w:val="auto"/>
              </w:rPr>
            </w:pPr>
            <w:r>
              <w:rPr>
                <w:rFonts w:hint="eastAsia"/>
                <w:color w:val="auto"/>
              </w:rPr>
              <w:t>190613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1.50E-01</w:t>
            </w:r>
          </w:p>
        </w:tc>
        <w:tc>
          <w:tcPr>
            <w:tcW w:w="990" w:type="dxa"/>
            <w:tcBorders>
              <w:tl2br w:val="nil"/>
              <w:tr2bl w:val="nil"/>
            </w:tcBorders>
            <w:vAlign w:val="center"/>
          </w:tcPr>
          <w:p>
            <w:pPr>
              <w:pStyle w:val="21"/>
              <w:bidi w:val="0"/>
              <w:rPr>
                <w:rFonts w:hint="default"/>
                <w:color w:val="auto"/>
              </w:rPr>
            </w:pPr>
            <w:r>
              <w:rPr>
                <w:rFonts w:hint="eastAsia"/>
                <w:color w:val="auto"/>
              </w:rPr>
              <w:t>1.14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default"/>
                <w:color w:val="auto"/>
              </w:rPr>
            </w:pPr>
            <w:r>
              <w:rPr>
                <w:rFonts w:hint="eastAsia"/>
                <w:color w:val="auto"/>
              </w:rPr>
              <w:t>1.83E-04</w:t>
            </w:r>
          </w:p>
        </w:tc>
        <w:tc>
          <w:tcPr>
            <w:tcW w:w="1695" w:type="dxa"/>
            <w:tcBorders>
              <w:tl2br w:val="nil"/>
              <w:tr2bl w:val="nil"/>
            </w:tcBorders>
            <w:vAlign w:val="center"/>
          </w:tcPr>
          <w:p>
            <w:pPr>
              <w:pStyle w:val="21"/>
              <w:bidi w:val="0"/>
              <w:rPr>
                <w:rFonts w:hint="default"/>
                <w:color w:val="auto"/>
              </w:rPr>
            </w:pPr>
            <w:r>
              <w:rPr>
                <w:rFonts w:hint="eastAsia"/>
                <w:color w:val="auto"/>
              </w:rPr>
              <w:t>平均值</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7.00E-02</w:t>
            </w:r>
          </w:p>
        </w:tc>
        <w:tc>
          <w:tcPr>
            <w:tcW w:w="990" w:type="dxa"/>
            <w:tcBorders>
              <w:tl2br w:val="nil"/>
              <w:tr2bl w:val="nil"/>
            </w:tcBorders>
            <w:vAlign w:val="center"/>
          </w:tcPr>
          <w:p>
            <w:pPr>
              <w:pStyle w:val="21"/>
              <w:bidi w:val="0"/>
              <w:rPr>
                <w:rFonts w:hint="default"/>
                <w:color w:val="auto"/>
              </w:rPr>
            </w:pPr>
            <w:r>
              <w:rPr>
                <w:rFonts w:hint="eastAsia"/>
                <w:color w:val="auto"/>
              </w:rPr>
              <w:t>0.26</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福建闽客工贸有限公司</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1.70E-03</w:t>
            </w:r>
          </w:p>
        </w:tc>
        <w:tc>
          <w:tcPr>
            <w:tcW w:w="1695" w:type="dxa"/>
            <w:tcBorders>
              <w:tl2br w:val="nil"/>
              <w:tr2bl w:val="nil"/>
            </w:tcBorders>
            <w:vAlign w:val="center"/>
          </w:tcPr>
          <w:p>
            <w:pPr>
              <w:pStyle w:val="21"/>
              <w:bidi w:val="0"/>
              <w:rPr>
                <w:rFonts w:hint="eastAsia"/>
                <w:color w:val="auto"/>
              </w:rPr>
            </w:pPr>
            <w:r>
              <w:rPr>
                <w:rFonts w:hint="eastAsia"/>
                <w:color w:val="auto"/>
              </w:rPr>
              <w:t>190703</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1.13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9.84E-05</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0.14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648" w:type="dxa"/>
            <w:vMerge w:val="restart"/>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9</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小洋</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3.43E-04</w:t>
            </w:r>
          </w:p>
        </w:tc>
        <w:tc>
          <w:tcPr>
            <w:tcW w:w="1695" w:type="dxa"/>
            <w:tcBorders>
              <w:tl2br w:val="nil"/>
              <w:tr2bl w:val="nil"/>
            </w:tcBorders>
            <w:vAlign w:val="center"/>
          </w:tcPr>
          <w:p>
            <w:pPr>
              <w:pStyle w:val="21"/>
              <w:bidi w:val="0"/>
              <w:rPr>
                <w:rFonts w:hint="eastAsia"/>
                <w:color w:val="auto"/>
              </w:rPr>
            </w:pPr>
            <w:r>
              <w:rPr>
                <w:rFonts w:hint="eastAsia"/>
                <w:color w:val="auto"/>
              </w:rPr>
              <w:t>190630</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0.23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2.90E-05</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0.04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竹栏头</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3.82E-04</w:t>
            </w:r>
          </w:p>
        </w:tc>
        <w:tc>
          <w:tcPr>
            <w:tcW w:w="1695" w:type="dxa"/>
            <w:tcBorders>
              <w:tl2br w:val="nil"/>
              <w:tr2bl w:val="nil"/>
            </w:tcBorders>
            <w:vAlign w:val="center"/>
          </w:tcPr>
          <w:p>
            <w:pPr>
              <w:pStyle w:val="21"/>
              <w:bidi w:val="0"/>
              <w:rPr>
                <w:rFonts w:hint="eastAsia"/>
                <w:color w:val="auto"/>
              </w:rPr>
            </w:pPr>
            <w:r>
              <w:rPr>
                <w:rFonts w:hint="eastAsia"/>
                <w:color w:val="auto"/>
              </w:rPr>
              <w:t>190126</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0.25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3.09E-05</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0.04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东岭头</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2.93E-04</w:t>
            </w:r>
          </w:p>
        </w:tc>
        <w:tc>
          <w:tcPr>
            <w:tcW w:w="1695" w:type="dxa"/>
            <w:tcBorders>
              <w:tl2br w:val="nil"/>
              <w:tr2bl w:val="nil"/>
            </w:tcBorders>
            <w:vAlign w:val="center"/>
          </w:tcPr>
          <w:p>
            <w:pPr>
              <w:pStyle w:val="21"/>
              <w:bidi w:val="0"/>
              <w:rPr>
                <w:rFonts w:hint="eastAsia"/>
                <w:color w:val="auto"/>
              </w:rPr>
            </w:pPr>
            <w:r>
              <w:rPr>
                <w:rFonts w:hint="eastAsia"/>
                <w:color w:val="auto"/>
              </w:rPr>
              <w:t>190430</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0.20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2.45E-05</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0.03</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秦家洋</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7.73E-05</w:t>
            </w:r>
          </w:p>
        </w:tc>
        <w:tc>
          <w:tcPr>
            <w:tcW w:w="1695" w:type="dxa"/>
            <w:tcBorders>
              <w:tl2br w:val="nil"/>
              <w:tr2bl w:val="nil"/>
            </w:tcBorders>
            <w:vAlign w:val="center"/>
          </w:tcPr>
          <w:p>
            <w:pPr>
              <w:pStyle w:val="21"/>
              <w:bidi w:val="0"/>
              <w:rPr>
                <w:rFonts w:hint="eastAsia"/>
                <w:color w:val="auto"/>
              </w:rPr>
            </w:pPr>
            <w:r>
              <w:rPr>
                <w:rFonts w:hint="eastAsia"/>
                <w:color w:val="auto"/>
              </w:rPr>
              <w:t>190113</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0.05</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2.99E-06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13</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山后</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3.63E-04</w:t>
            </w:r>
          </w:p>
        </w:tc>
        <w:tc>
          <w:tcPr>
            <w:tcW w:w="1695" w:type="dxa"/>
            <w:tcBorders>
              <w:tl2br w:val="nil"/>
              <w:tr2bl w:val="nil"/>
            </w:tcBorders>
            <w:vAlign w:val="center"/>
          </w:tcPr>
          <w:p>
            <w:pPr>
              <w:pStyle w:val="21"/>
              <w:bidi w:val="0"/>
              <w:rPr>
                <w:rFonts w:hint="eastAsia"/>
                <w:color w:val="auto"/>
              </w:rPr>
            </w:pPr>
            <w:r>
              <w:rPr>
                <w:rFonts w:hint="eastAsia"/>
                <w:color w:val="auto"/>
              </w:rPr>
              <w:t>190702</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0.24</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8.41E-06</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0.01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14</w:t>
            </w:r>
          </w:p>
        </w:tc>
        <w:tc>
          <w:tcPr>
            <w:tcW w:w="1426" w:type="dxa"/>
            <w:vMerge w:val="restart"/>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网格</w:t>
            </w: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245" w:type="dxa"/>
            <w:tcBorders>
              <w:tl2br w:val="nil"/>
              <w:tr2bl w:val="nil"/>
            </w:tcBorders>
            <w:vAlign w:val="center"/>
          </w:tcPr>
          <w:p>
            <w:pPr>
              <w:pStyle w:val="21"/>
              <w:bidi w:val="0"/>
              <w:rPr>
                <w:rFonts w:hint="eastAsia"/>
                <w:color w:val="auto"/>
              </w:rPr>
            </w:pPr>
            <w:r>
              <w:rPr>
                <w:rFonts w:hint="eastAsia"/>
                <w:color w:val="auto"/>
              </w:rPr>
              <w:t>2.57E-02</w:t>
            </w:r>
          </w:p>
        </w:tc>
        <w:tc>
          <w:tcPr>
            <w:tcW w:w="1695" w:type="dxa"/>
            <w:tcBorders>
              <w:tl2br w:val="nil"/>
              <w:tr2bl w:val="nil"/>
            </w:tcBorders>
            <w:vAlign w:val="center"/>
          </w:tcPr>
          <w:p>
            <w:pPr>
              <w:pStyle w:val="21"/>
              <w:bidi w:val="0"/>
              <w:rPr>
                <w:rFonts w:hint="eastAsia"/>
                <w:color w:val="auto"/>
              </w:rPr>
            </w:pPr>
            <w:r>
              <w:rPr>
                <w:rFonts w:hint="eastAsia"/>
                <w:color w:val="auto"/>
              </w:rPr>
              <w:t>190220</w:t>
            </w:r>
          </w:p>
        </w:tc>
        <w:tc>
          <w:tcPr>
            <w:tcW w:w="1230" w:type="dxa"/>
            <w:tcBorders>
              <w:tl2br w:val="nil"/>
              <w:tr2bl w:val="nil"/>
            </w:tcBorders>
            <w:vAlign w:val="center"/>
          </w:tcPr>
          <w:p>
            <w:pPr>
              <w:pStyle w:val="21"/>
              <w:bidi w:val="0"/>
              <w:rPr>
                <w:rFonts w:hint="eastAsia"/>
                <w:color w:val="auto"/>
              </w:rPr>
            </w:pPr>
            <w:r>
              <w:rPr>
                <w:rFonts w:hint="eastAsia"/>
                <w:color w:val="auto"/>
              </w:rPr>
              <w:t>1.50E-01</w:t>
            </w:r>
          </w:p>
        </w:tc>
        <w:tc>
          <w:tcPr>
            <w:tcW w:w="990" w:type="dxa"/>
            <w:tcBorders>
              <w:tl2br w:val="nil"/>
              <w:tr2bl w:val="nil"/>
            </w:tcBorders>
            <w:vAlign w:val="center"/>
          </w:tcPr>
          <w:p>
            <w:pPr>
              <w:pStyle w:val="21"/>
              <w:bidi w:val="0"/>
              <w:rPr>
                <w:rFonts w:hint="eastAsia"/>
                <w:color w:val="auto"/>
              </w:rPr>
            </w:pPr>
            <w:r>
              <w:rPr>
                <w:rFonts w:hint="eastAsia"/>
                <w:color w:val="auto"/>
              </w:rPr>
              <w:t>17.11</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426" w:type="dxa"/>
            <w:vMerge w:val="continue"/>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p>
        </w:tc>
        <w:tc>
          <w:tcPr>
            <w:tcW w:w="1284"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245" w:type="dxa"/>
            <w:tcBorders>
              <w:tl2br w:val="nil"/>
              <w:tr2bl w:val="nil"/>
            </w:tcBorders>
            <w:vAlign w:val="center"/>
          </w:tcPr>
          <w:p>
            <w:pPr>
              <w:pStyle w:val="21"/>
              <w:bidi w:val="0"/>
              <w:rPr>
                <w:rFonts w:hint="eastAsia"/>
                <w:color w:val="auto"/>
              </w:rPr>
            </w:pPr>
            <w:r>
              <w:rPr>
                <w:rFonts w:hint="eastAsia"/>
                <w:color w:val="auto"/>
              </w:rPr>
              <w:t>1.66E-03</w:t>
            </w:r>
          </w:p>
        </w:tc>
        <w:tc>
          <w:tcPr>
            <w:tcW w:w="1695" w:type="dxa"/>
            <w:tcBorders>
              <w:tl2br w:val="nil"/>
              <w:tr2bl w:val="nil"/>
            </w:tcBorders>
            <w:vAlign w:val="center"/>
          </w:tcPr>
          <w:p>
            <w:pPr>
              <w:pStyle w:val="21"/>
              <w:bidi w:val="0"/>
              <w:rPr>
                <w:rFonts w:hint="eastAsia"/>
                <w:color w:val="auto"/>
              </w:rPr>
            </w:pPr>
            <w:r>
              <w:rPr>
                <w:rFonts w:hint="eastAsia"/>
                <w:color w:val="auto"/>
              </w:rPr>
              <w:t>平均值</w:t>
            </w:r>
          </w:p>
        </w:tc>
        <w:tc>
          <w:tcPr>
            <w:tcW w:w="1230" w:type="dxa"/>
            <w:tcBorders>
              <w:tl2br w:val="nil"/>
              <w:tr2bl w:val="nil"/>
            </w:tcBorders>
            <w:vAlign w:val="center"/>
          </w:tcPr>
          <w:p>
            <w:pPr>
              <w:pStyle w:val="21"/>
              <w:bidi w:val="0"/>
              <w:rPr>
                <w:rFonts w:hint="eastAsia"/>
                <w:color w:val="auto"/>
              </w:rPr>
            </w:pPr>
            <w:r>
              <w:rPr>
                <w:rFonts w:hint="eastAsia"/>
                <w:color w:val="auto"/>
              </w:rPr>
              <w:t>7.00E-02</w:t>
            </w:r>
          </w:p>
        </w:tc>
        <w:tc>
          <w:tcPr>
            <w:tcW w:w="990" w:type="dxa"/>
            <w:tcBorders>
              <w:tl2br w:val="nil"/>
              <w:tr2bl w:val="nil"/>
            </w:tcBorders>
            <w:vAlign w:val="center"/>
          </w:tcPr>
          <w:p>
            <w:pPr>
              <w:pStyle w:val="21"/>
              <w:bidi w:val="0"/>
              <w:rPr>
                <w:rFonts w:hint="eastAsia"/>
                <w:color w:val="auto"/>
              </w:rPr>
            </w:pPr>
            <w:r>
              <w:rPr>
                <w:rFonts w:hint="eastAsia"/>
                <w:color w:val="auto"/>
              </w:rPr>
              <w:t>2.37</w:t>
            </w:r>
          </w:p>
        </w:tc>
        <w:tc>
          <w:tcPr>
            <w:tcW w:w="763"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bl>
    <w:p>
      <w:pP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④非甲烷总烃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_Ref7080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表5.2-30</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ascii="Times New Roman" w:hAnsi="Times New Roman" w:cs="Times New Roman"/>
          <w:color w:val="auto"/>
          <w:highlight w:val="none"/>
          <w:lang w:val="en-US" w:eastAsia="zh-CN"/>
        </w:rPr>
        <w:t>非甲烷总烃</w:t>
      </w:r>
      <w:r>
        <w:rPr>
          <w:rFonts w:hint="eastAsia" w:cs="Times New Roman"/>
          <w:color w:val="auto"/>
          <w:highlight w:val="none"/>
          <w:lang w:val="en-US" w:eastAsia="zh-CN"/>
        </w:rPr>
        <w:t>小时</w:t>
      </w:r>
      <w:r>
        <w:rPr>
          <w:rFonts w:hint="default" w:ascii="Times New Roman" w:hAnsi="Times New Roman" w:cs="Times New Roman"/>
          <w:color w:val="auto"/>
          <w:highlight w:val="none"/>
          <w:lang w:val="en-US" w:eastAsia="zh-CN"/>
        </w:rPr>
        <w:t>浓度贡献值满足</w:t>
      </w:r>
      <w:r>
        <w:rPr>
          <w:rFonts w:hint="eastAsia" w:cs="Times New Roman"/>
          <w:color w:val="auto"/>
          <w:highlight w:val="none"/>
          <w:lang w:val="en-US" w:eastAsia="zh-CN"/>
        </w:rPr>
        <w:t>《大气污染物综合排放标准详解》中的</w:t>
      </w:r>
      <w:r>
        <w:rPr>
          <w:rFonts w:hint="default" w:ascii="Times New Roman" w:hAnsi="Times New Roman" w:cs="Times New Roman"/>
          <w:color w:val="auto"/>
          <w:highlight w:val="none"/>
          <w:lang w:val="en-US" w:eastAsia="zh-CN"/>
        </w:rPr>
        <w:t>要求。区域最大落地浓度中，</w:t>
      </w:r>
      <w:r>
        <w:rPr>
          <w:rFonts w:hint="eastAsia" w:cs="Times New Roman"/>
          <w:color w:val="auto"/>
          <w:highlight w:val="none"/>
          <w:lang w:val="en-US" w:eastAsia="zh-CN"/>
        </w:rPr>
        <w:t>小时</w:t>
      </w:r>
      <w:r>
        <w:rPr>
          <w:rFonts w:hint="default" w:ascii="Times New Roman" w:hAnsi="Times New Roman" w:cs="Times New Roman"/>
          <w:color w:val="auto"/>
          <w:highlight w:val="none"/>
          <w:lang w:val="en-US" w:eastAsia="zh-CN"/>
        </w:rPr>
        <w:t>浓度贡献值最大值为</w:t>
      </w:r>
      <w:r>
        <w:rPr>
          <w:rFonts w:hint="eastAsia" w:cs="Times New Roman"/>
          <w:color w:val="auto"/>
          <w:highlight w:val="none"/>
          <w:lang w:val="en-US" w:eastAsia="zh-CN"/>
        </w:rPr>
        <w:t>212</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10.60</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_Ref23871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图5.2-20</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32" w:name="_Ref7080"/>
      <w:r>
        <w:rPr>
          <w:rFonts w:hint="eastAsia" w:cs="Times New Roman"/>
          <w:color w:val="auto"/>
          <w:highlight w:val="none"/>
          <w:lang w:val="en-US" w:eastAsia="zh-CN"/>
        </w:rPr>
        <w:t>项</w:t>
      </w:r>
      <w:r>
        <w:rPr>
          <w:rFonts w:hint="default" w:ascii="Times New Roman" w:hAnsi="Times New Roman" w:cs="Times New Roman"/>
          <w:color w:val="auto"/>
          <w:highlight w:val="none"/>
          <w:lang w:val="en-US" w:eastAsia="zh-CN"/>
        </w:rPr>
        <w:t>目新增污染物</w:t>
      </w:r>
      <w:r>
        <w:rPr>
          <w:rFonts w:hint="eastAsia"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lang w:val="en-US" w:eastAsia="zh-CN"/>
        </w:rPr>
        <w:t>贡献浓度预测结果</w:t>
      </w:r>
      <w:bookmarkEnd w:id="532"/>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360"/>
        <w:gridCol w:w="1350"/>
        <w:gridCol w:w="1245"/>
        <w:gridCol w:w="1698"/>
        <w:gridCol w:w="1230"/>
        <w:gridCol w:w="990"/>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60" w:type="dxa"/>
            <w:tcBorders>
              <w:tl2br w:val="nil"/>
              <w:tr2bl w:val="nil"/>
            </w:tcBorders>
            <w:vAlign w:val="center"/>
          </w:tcPr>
          <w:p>
            <w:pPr>
              <w:pStyle w:val="2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预测</w:t>
            </w:r>
            <w:r>
              <w:rPr>
                <w:rFonts w:hint="default" w:ascii="Times New Roman" w:hAnsi="Times New Roman" w:cs="Times New Roman"/>
                <w:color w:val="auto"/>
                <w:highlight w:val="none"/>
              </w:rPr>
              <w:t>点名称</w:t>
            </w:r>
          </w:p>
        </w:tc>
        <w:tc>
          <w:tcPr>
            <w:tcW w:w="135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2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浓度增量(mg/m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出现时间(YYMMDDHH)</w:t>
            </w:r>
          </w:p>
        </w:tc>
        <w:tc>
          <w:tcPr>
            <w:tcW w:w="123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9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一层村</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2.99E-02</w:t>
            </w:r>
          </w:p>
        </w:tc>
        <w:tc>
          <w:tcPr>
            <w:tcW w:w="1698" w:type="dxa"/>
            <w:tcBorders>
              <w:tl2br w:val="nil"/>
              <w:tr2bl w:val="nil"/>
            </w:tcBorders>
            <w:vAlign w:val="center"/>
          </w:tcPr>
          <w:p>
            <w:pPr>
              <w:pStyle w:val="21"/>
              <w:bidi w:val="0"/>
              <w:rPr>
                <w:rFonts w:hint="default"/>
                <w:color w:val="auto"/>
              </w:rPr>
            </w:pPr>
            <w:r>
              <w:rPr>
                <w:rFonts w:hint="eastAsia"/>
                <w:color w:val="auto"/>
              </w:rPr>
              <w:t>19040707</w:t>
            </w:r>
          </w:p>
        </w:tc>
        <w:tc>
          <w:tcPr>
            <w:tcW w:w="1230" w:type="dxa"/>
            <w:tcBorders>
              <w:tl2br w:val="nil"/>
              <w:tr2bl w:val="nil"/>
            </w:tcBorders>
            <w:vAlign w:val="center"/>
          </w:tcPr>
          <w:p>
            <w:pPr>
              <w:pStyle w:val="21"/>
              <w:bidi w:val="0"/>
              <w:rPr>
                <w:rFonts w:hint="default"/>
                <w:color w:val="auto"/>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1.49</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2.36E-02</w:t>
            </w:r>
          </w:p>
        </w:tc>
        <w:tc>
          <w:tcPr>
            <w:tcW w:w="1698" w:type="dxa"/>
            <w:tcBorders>
              <w:tl2br w:val="nil"/>
              <w:tr2bl w:val="nil"/>
            </w:tcBorders>
            <w:vAlign w:val="center"/>
          </w:tcPr>
          <w:p>
            <w:pPr>
              <w:pStyle w:val="21"/>
              <w:bidi w:val="0"/>
              <w:rPr>
                <w:rFonts w:hint="default"/>
                <w:color w:val="auto"/>
              </w:rPr>
            </w:pPr>
            <w:r>
              <w:rPr>
                <w:rFonts w:hint="eastAsia"/>
                <w:color w:val="auto"/>
              </w:rPr>
              <w:t>19063002</w:t>
            </w:r>
          </w:p>
        </w:tc>
        <w:tc>
          <w:tcPr>
            <w:tcW w:w="1230" w:type="dxa"/>
            <w:tcBorders>
              <w:tl2br w:val="nil"/>
              <w:tr2bl w:val="nil"/>
            </w:tcBorders>
            <w:vAlign w:val="center"/>
          </w:tcPr>
          <w:p>
            <w:pPr>
              <w:pStyle w:val="21"/>
              <w:bidi w:val="0"/>
              <w:rPr>
                <w:rFonts w:hint="default"/>
                <w:color w:val="auto"/>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1.18</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2.74E-02</w:t>
            </w:r>
          </w:p>
        </w:tc>
        <w:tc>
          <w:tcPr>
            <w:tcW w:w="1698" w:type="dxa"/>
            <w:tcBorders>
              <w:tl2br w:val="nil"/>
              <w:tr2bl w:val="nil"/>
            </w:tcBorders>
            <w:vAlign w:val="center"/>
          </w:tcPr>
          <w:p>
            <w:pPr>
              <w:pStyle w:val="21"/>
              <w:bidi w:val="0"/>
              <w:rPr>
                <w:rFonts w:hint="default"/>
                <w:color w:val="auto"/>
              </w:rPr>
            </w:pPr>
            <w:r>
              <w:rPr>
                <w:rFonts w:hint="eastAsia"/>
                <w:color w:val="auto"/>
              </w:rPr>
              <w:t>19070303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1.37</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2.24E-02</w:t>
            </w:r>
          </w:p>
        </w:tc>
        <w:tc>
          <w:tcPr>
            <w:tcW w:w="1698" w:type="dxa"/>
            <w:tcBorders>
              <w:tl2br w:val="nil"/>
              <w:tr2bl w:val="nil"/>
            </w:tcBorders>
            <w:vAlign w:val="center"/>
          </w:tcPr>
          <w:p>
            <w:pPr>
              <w:pStyle w:val="21"/>
              <w:bidi w:val="0"/>
              <w:rPr>
                <w:rFonts w:hint="default"/>
                <w:color w:val="auto"/>
              </w:rPr>
            </w:pPr>
            <w:r>
              <w:rPr>
                <w:rFonts w:hint="eastAsia"/>
                <w:color w:val="auto"/>
              </w:rPr>
              <w:t>19051808</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1.12</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1.93E-02</w:t>
            </w:r>
          </w:p>
        </w:tc>
        <w:tc>
          <w:tcPr>
            <w:tcW w:w="1698" w:type="dxa"/>
            <w:tcBorders>
              <w:tl2br w:val="nil"/>
              <w:tr2bl w:val="nil"/>
            </w:tcBorders>
            <w:vAlign w:val="center"/>
          </w:tcPr>
          <w:p>
            <w:pPr>
              <w:pStyle w:val="21"/>
              <w:bidi w:val="0"/>
              <w:rPr>
                <w:rFonts w:hint="default"/>
                <w:color w:val="auto"/>
              </w:rPr>
            </w:pPr>
            <w:r>
              <w:rPr>
                <w:rFonts w:hint="eastAsia"/>
                <w:color w:val="auto"/>
              </w:rPr>
              <w:t>19070303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0.97</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1.16E-02</w:t>
            </w:r>
          </w:p>
        </w:tc>
        <w:tc>
          <w:tcPr>
            <w:tcW w:w="1698" w:type="dxa"/>
            <w:tcBorders>
              <w:tl2br w:val="nil"/>
              <w:tr2bl w:val="nil"/>
            </w:tcBorders>
            <w:vAlign w:val="center"/>
          </w:tcPr>
          <w:p>
            <w:pPr>
              <w:pStyle w:val="21"/>
              <w:bidi w:val="0"/>
              <w:rPr>
                <w:rFonts w:hint="default"/>
                <w:color w:val="auto"/>
              </w:rPr>
            </w:pPr>
            <w:r>
              <w:rPr>
                <w:rFonts w:hint="eastAsia"/>
                <w:color w:val="auto"/>
              </w:rPr>
              <w:t>19103021</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0.58</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135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1.68E-02</w:t>
            </w:r>
          </w:p>
        </w:tc>
        <w:tc>
          <w:tcPr>
            <w:tcW w:w="1698" w:type="dxa"/>
            <w:tcBorders>
              <w:tl2br w:val="nil"/>
              <w:tr2bl w:val="nil"/>
            </w:tcBorders>
            <w:vAlign w:val="center"/>
          </w:tcPr>
          <w:p>
            <w:pPr>
              <w:pStyle w:val="21"/>
              <w:bidi w:val="0"/>
              <w:rPr>
                <w:rFonts w:hint="default"/>
                <w:color w:val="auto"/>
              </w:rPr>
            </w:pPr>
            <w:r>
              <w:rPr>
                <w:rFonts w:hint="eastAsia"/>
                <w:color w:val="auto"/>
              </w:rPr>
              <w:t>19061304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2.00E+00</w:t>
            </w:r>
          </w:p>
        </w:tc>
        <w:tc>
          <w:tcPr>
            <w:tcW w:w="990" w:type="dxa"/>
            <w:tcBorders>
              <w:tl2br w:val="nil"/>
              <w:tr2bl w:val="nil"/>
            </w:tcBorders>
            <w:vAlign w:val="center"/>
          </w:tcPr>
          <w:p>
            <w:pPr>
              <w:pStyle w:val="21"/>
              <w:bidi w:val="0"/>
              <w:rPr>
                <w:rFonts w:hint="default"/>
                <w:color w:val="auto"/>
              </w:rPr>
            </w:pPr>
            <w:r>
              <w:rPr>
                <w:rFonts w:hint="eastAsia"/>
                <w:color w:val="auto"/>
              </w:rPr>
              <w:t>0.84</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福建闽客工贸有限公司</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2.33E-02</w:t>
            </w:r>
          </w:p>
        </w:tc>
        <w:tc>
          <w:tcPr>
            <w:tcW w:w="1698" w:type="dxa"/>
            <w:tcBorders>
              <w:tl2br w:val="nil"/>
              <w:tr2bl w:val="nil"/>
            </w:tcBorders>
            <w:vAlign w:val="center"/>
          </w:tcPr>
          <w:p>
            <w:pPr>
              <w:pStyle w:val="21"/>
              <w:bidi w:val="0"/>
              <w:rPr>
                <w:rFonts w:hint="eastAsia"/>
                <w:color w:val="auto"/>
              </w:rPr>
            </w:pPr>
            <w:r>
              <w:rPr>
                <w:rFonts w:hint="eastAsia"/>
                <w:color w:val="auto"/>
              </w:rPr>
              <w:t>19070607</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1.16</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9</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小洋</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9.53E-03</w:t>
            </w:r>
          </w:p>
        </w:tc>
        <w:tc>
          <w:tcPr>
            <w:tcW w:w="1698" w:type="dxa"/>
            <w:tcBorders>
              <w:tl2br w:val="nil"/>
              <w:tr2bl w:val="nil"/>
            </w:tcBorders>
            <w:vAlign w:val="center"/>
          </w:tcPr>
          <w:p>
            <w:pPr>
              <w:pStyle w:val="21"/>
              <w:bidi w:val="0"/>
              <w:rPr>
                <w:rFonts w:hint="eastAsia"/>
                <w:color w:val="auto"/>
              </w:rPr>
            </w:pPr>
            <w:r>
              <w:rPr>
                <w:rFonts w:hint="eastAsia"/>
                <w:color w:val="auto"/>
              </w:rPr>
              <w:t>19042106</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0.48</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竹栏头</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1.17E-02</w:t>
            </w:r>
          </w:p>
        </w:tc>
        <w:tc>
          <w:tcPr>
            <w:tcW w:w="1698" w:type="dxa"/>
            <w:tcBorders>
              <w:tl2br w:val="nil"/>
              <w:tr2bl w:val="nil"/>
            </w:tcBorders>
            <w:vAlign w:val="center"/>
          </w:tcPr>
          <w:p>
            <w:pPr>
              <w:pStyle w:val="21"/>
              <w:bidi w:val="0"/>
              <w:rPr>
                <w:rFonts w:hint="eastAsia"/>
                <w:color w:val="auto"/>
              </w:rPr>
            </w:pPr>
            <w:r>
              <w:rPr>
                <w:rFonts w:hint="eastAsia"/>
                <w:color w:val="auto"/>
              </w:rPr>
              <w:t>19011107</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0.59</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东岭头</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4.10E-03</w:t>
            </w:r>
          </w:p>
        </w:tc>
        <w:tc>
          <w:tcPr>
            <w:tcW w:w="1698" w:type="dxa"/>
            <w:tcBorders>
              <w:tl2br w:val="nil"/>
              <w:tr2bl w:val="nil"/>
            </w:tcBorders>
            <w:vAlign w:val="center"/>
          </w:tcPr>
          <w:p>
            <w:pPr>
              <w:pStyle w:val="21"/>
              <w:bidi w:val="0"/>
              <w:rPr>
                <w:rFonts w:hint="eastAsia"/>
                <w:color w:val="auto"/>
              </w:rPr>
            </w:pPr>
            <w:r>
              <w:rPr>
                <w:rFonts w:hint="eastAsia"/>
                <w:color w:val="auto"/>
              </w:rPr>
              <w:t>19022708</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0.20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秦家洋</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9.00E-04</w:t>
            </w:r>
          </w:p>
        </w:tc>
        <w:tc>
          <w:tcPr>
            <w:tcW w:w="1698" w:type="dxa"/>
            <w:tcBorders>
              <w:tl2br w:val="nil"/>
              <w:tr2bl w:val="nil"/>
            </w:tcBorders>
            <w:vAlign w:val="center"/>
          </w:tcPr>
          <w:p>
            <w:pPr>
              <w:pStyle w:val="21"/>
              <w:bidi w:val="0"/>
              <w:rPr>
                <w:rFonts w:hint="eastAsia"/>
                <w:color w:val="auto"/>
              </w:rPr>
            </w:pPr>
            <w:r>
              <w:rPr>
                <w:rFonts w:hint="eastAsia"/>
                <w:color w:val="auto"/>
              </w:rPr>
              <w:t>19052707</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0.05</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13</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山后</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5.44E-03</w:t>
            </w:r>
          </w:p>
        </w:tc>
        <w:tc>
          <w:tcPr>
            <w:tcW w:w="1698" w:type="dxa"/>
            <w:tcBorders>
              <w:tl2br w:val="nil"/>
              <w:tr2bl w:val="nil"/>
            </w:tcBorders>
            <w:vAlign w:val="center"/>
          </w:tcPr>
          <w:p>
            <w:pPr>
              <w:pStyle w:val="21"/>
              <w:bidi w:val="0"/>
              <w:rPr>
                <w:rFonts w:hint="eastAsia"/>
                <w:color w:val="auto"/>
              </w:rPr>
            </w:pPr>
            <w:r>
              <w:rPr>
                <w:rFonts w:hint="eastAsia"/>
                <w:color w:val="auto"/>
              </w:rPr>
              <w:t>19112308</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0.27</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dxa"/>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14</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网格</w:t>
            </w:r>
          </w:p>
        </w:tc>
        <w:tc>
          <w:tcPr>
            <w:tcW w:w="1350"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2.12E-01</w:t>
            </w:r>
          </w:p>
        </w:tc>
        <w:tc>
          <w:tcPr>
            <w:tcW w:w="1698" w:type="dxa"/>
            <w:tcBorders>
              <w:tl2br w:val="nil"/>
              <w:tr2bl w:val="nil"/>
            </w:tcBorders>
            <w:vAlign w:val="center"/>
          </w:tcPr>
          <w:p>
            <w:pPr>
              <w:pStyle w:val="21"/>
              <w:bidi w:val="0"/>
              <w:rPr>
                <w:rFonts w:hint="eastAsia"/>
                <w:color w:val="auto"/>
              </w:rPr>
            </w:pPr>
            <w:r>
              <w:rPr>
                <w:rFonts w:hint="eastAsia"/>
                <w:color w:val="auto"/>
              </w:rPr>
              <w:t>19011106</w:t>
            </w:r>
          </w:p>
        </w:tc>
        <w:tc>
          <w:tcPr>
            <w:tcW w:w="1230" w:type="dxa"/>
            <w:tcBorders>
              <w:tl2br w:val="nil"/>
              <w:tr2bl w:val="nil"/>
            </w:tcBorders>
            <w:vAlign w:val="center"/>
          </w:tcPr>
          <w:p>
            <w:pPr>
              <w:pStyle w:val="21"/>
              <w:bidi w:val="0"/>
              <w:rPr>
                <w:rFonts w:hint="eastAsia"/>
                <w:color w:val="auto"/>
              </w:rPr>
            </w:pPr>
            <w:r>
              <w:rPr>
                <w:rFonts w:hint="eastAsia"/>
                <w:color w:val="auto"/>
              </w:rPr>
              <w:t>2.00E+00</w:t>
            </w:r>
          </w:p>
        </w:tc>
        <w:tc>
          <w:tcPr>
            <w:tcW w:w="990" w:type="dxa"/>
            <w:tcBorders>
              <w:tl2br w:val="nil"/>
              <w:tr2bl w:val="nil"/>
            </w:tcBorders>
            <w:vAlign w:val="center"/>
          </w:tcPr>
          <w:p>
            <w:pPr>
              <w:pStyle w:val="21"/>
              <w:bidi w:val="0"/>
              <w:rPr>
                <w:rFonts w:hint="eastAsia"/>
                <w:color w:val="auto"/>
              </w:rPr>
            </w:pPr>
            <w:r>
              <w:rPr>
                <w:rFonts w:hint="eastAsia"/>
                <w:color w:val="auto"/>
              </w:rPr>
              <w:t>10.60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bl>
    <w:p>
      <w:pP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⑤氨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cs="Times New Roman"/>
          <w:color w:val="auto"/>
          <w:highlight w:val="none"/>
          <w:lang w:val="en-US" w:eastAsia="zh-CN"/>
        </w:rPr>
        <w:t>氨</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_Ref7135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s="Times New Roman"/>
          <w:color w:val="auto"/>
          <w:highlight w:val="none"/>
          <w:lang w:val="en-US" w:eastAsia="zh-CN"/>
        </w:rPr>
        <w:t>氨小时</w:t>
      </w:r>
      <w:r>
        <w:rPr>
          <w:rFonts w:hint="default" w:ascii="Times New Roman" w:hAnsi="Times New Roman" w:cs="Times New Roman"/>
          <w:color w:val="auto"/>
          <w:highlight w:val="none"/>
          <w:lang w:val="en-US" w:eastAsia="zh-CN"/>
        </w:rPr>
        <w:t>浓度贡献值满足</w:t>
      </w:r>
      <w:r>
        <w:rPr>
          <w:rFonts w:ascii="Times New Roman" w:hAnsi="Times New Roman"/>
          <w:color w:val="auto"/>
          <w:szCs w:val="22"/>
          <w:highlight w:val="none"/>
        </w:rPr>
        <w:t>《环境影响评价技术导则-大气环境》（HJ2.2-2018）附录D表D.1其他污染物空气质量浓度参考限值要求(该污染物无长期浓度限值)</w:t>
      </w:r>
      <w:r>
        <w:rPr>
          <w:rFonts w:hint="default" w:ascii="Times New Roman" w:hAnsi="Times New Roman" w:cs="Times New Roman"/>
          <w:color w:val="auto"/>
          <w:highlight w:val="none"/>
          <w:lang w:val="en-US" w:eastAsia="zh-CN"/>
        </w:rPr>
        <w:t>。区域最大落地浓度中，</w:t>
      </w:r>
      <w:r>
        <w:rPr>
          <w:rFonts w:hint="eastAsia" w:cs="Times New Roman"/>
          <w:color w:val="auto"/>
          <w:highlight w:val="none"/>
          <w:lang w:val="en-US" w:eastAsia="zh-CN"/>
        </w:rPr>
        <w:t>小时</w:t>
      </w:r>
      <w:r>
        <w:rPr>
          <w:rFonts w:hint="default" w:ascii="Times New Roman" w:hAnsi="Times New Roman" w:cs="Times New Roman"/>
          <w:color w:val="auto"/>
          <w:highlight w:val="none"/>
          <w:lang w:val="en-US" w:eastAsia="zh-CN"/>
        </w:rPr>
        <w:t>浓度贡献值最大值为</w:t>
      </w:r>
      <w:r>
        <w:rPr>
          <w:rFonts w:hint="eastAsia" w:cs="Times New Roman"/>
          <w:color w:val="auto"/>
          <w:highlight w:val="none"/>
          <w:lang w:val="en-US" w:eastAsia="zh-CN"/>
        </w:rPr>
        <w:t>0.853</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0.43</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_Ref23956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图5.2-21</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33" w:name="_Ref7135"/>
      <w:r>
        <w:rPr>
          <w:rFonts w:hint="eastAsia" w:cs="Times New Roman"/>
          <w:color w:val="auto"/>
          <w:highlight w:val="none"/>
          <w:lang w:val="en-US" w:eastAsia="zh-CN"/>
        </w:rPr>
        <w:t>项</w:t>
      </w:r>
      <w:r>
        <w:rPr>
          <w:rFonts w:hint="default" w:ascii="Times New Roman" w:hAnsi="Times New Roman" w:cs="Times New Roman"/>
          <w:color w:val="auto"/>
          <w:highlight w:val="none"/>
          <w:lang w:val="en-US" w:eastAsia="zh-CN"/>
        </w:rPr>
        <w:t>目新增污染物</w:t>
      </w:r>
      <w:r>
        <w:rPr>
          <w:rFonts w:hint="eastAsia" w:cs="Times New Roman"/>
          <w:color w:val="auto"/>
          <w:highlight w:val="none"/>
          <w:lang w:val="en-US" w:eastAsia="zh-CN"/>
        </w:rPr>
        <w:t>氨</w:t>
      </w:r>
      <w:r>
        <w:rPr>
          <w:rFonts w:hint="default" w:ascii="Times New Roman" w:hAnsi="Times New Roman" w:cs="Times New Roman"/>
          <w:color w:val="auto"/>
          <w:highlight w:val="none"/>
          <w:lang w:val="en-US" w:eastAsia="zh-CN"/>
        </w:rPr>
        <w:t>贡献浓度预测结果</w:t>
      </w:r>
      <w:bookmarkEnd w:id="533"/>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360"/>
        <w:gridCol w:w="1351"/>
        <w:gridCol w:w="1245"/>
        <w:gridCol w:w="1698"/>
        <w:gridCol w:w="1230"/>
        <w:gridCol w:w="990"/>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60" w:type="dxa"/>
            <w:tcBorders>
              <w:tl2br w:val="nil"/>
              <w:tr2bl w:val="nil"/>
            </w:tcBorders>
            <w:vAlign w:val="center"/>
          </w:tcPr>
          <w:p>
            <w:pPr>
              <w:pStyle w:val="2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预测</w:t>
            </w:r>
            <w:r>
              <w:rPr>
                <w:rFonts w:hint="default" w:ascii="Times New Roman" w:hAnsi="Times New Roman" w:cs="Times New Roman"/>
                <w:color w:val="auto"/>
                <w:highlight w:val="none"/>
              </w:rPr>
              <w:t>点名称</w:t>
            </w:r>
          </w:p>
        </w:tc>
        <w:tc>
          <w:tcPr>
            <w:tcW w:w="1351"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2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浓度增量(mg/m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出现时间(YYMMDDHH)</w:t>
            </w:r>
          </w:p>
        </w:tc>
        <w:tc>
          <w:tcPr>
            <w:tcW w:w="123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9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2.60E-04</w:t>
            </w:r>
          </w:p>
        </w:tc>
        <w:tc>
          <w:tcPr>
            <w:tcW w:w="1698" w:type="dxa"/>
            <w:tcBorders>
              <w:tl2br w:val="nil"/>
              <w:tr2bl w:val="nil"/>
            </w:tcBorders>
            <w:vAlign w:val="center"/>
          </w:tcPr>
          <w:p>
            <w:pPr>
              <w:pStyle w:val="21"/>
              <w:bidi w:val="0"/>
              <w:rPr>
                <w:rFonts w:hint="default"/>
                <w:color w:val="auto"/>
              </w:rPr>
            </w:pPr>
            <w:r>
              <w:rPr>
                <w:rFonts w:hint="eastAsia"/>
                <w:color w:val="auto"/>
              </w:rPr>
              <w:t>19020223</w:t>
            </w:r>
          </w:p>
        </w:tc>
        <w:tc>
          <w:tcPr>
            <w:tcW w:w="1230" w:type="dxa"/>
            <w:tcBorders>
              <w:tl2br w:val="nil"/>
              <w:tr2bl w:val="nil"/>
            </w:tcBorders>
            <w:vAlign w:val="center"/>
          </w:tcPr>
          <w:p>
            <w:pPr>
              <w:pStyle w:val="21"/>
              <w:bidi w:val="0"/>
              <w:rPr>
                <w:rFonts w:hint="default"/>
                <w:color w:val="auto"/>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0.13</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1.07E-04</w:t>
            </w:r>
          </w:p>
        </w:tc>
        <w:tc>
          <w:tcPr>
            <w:tcW w:w="1698" w:type="dxa"/>
            <w:tcBorders>
              <w:tl2br w:val="nil"/>
              <w:tr2bl w:val="nil"/>
            </w:tcBorders>
            <w:vAlign w:val="center"/>
          </w:tcPr>
          <w:p>
            <w:pPr>
              <w:pStyle w:val="21"/>
              <w:bidi w:val="0"/>
              <w:rPr>
                <w:rFonts w:hint="default"/>
                <w:color w:val="auto"/>
              </w:rPr>
            </w:pPr>
            <w:r>
              <w:rPr>
                <w:rFonts w:hint="eastAsia"/>
                <w:color w:val="auto"/>
              </w:rPr>
              <w:t>19042106</w:t>
            </w:r>
          </w:p>
        </w:tc>
        <w:tc>
          <w:tcPr>
            <w:tcW w:w="1230" w:type="dxa"/>
            <w:tcBorders>
              <w:tl2br w:val="nil"/>
              <w:tr2bl w:val="nil"/>
            </w:tcBorders>
            <w:vAlign w:val="center"/>
          </w:tcPr>
          <w:p>
            <w:pPr>
              <w:pStyle w:val="21"/>
              <w:bidi w:val="0"/>
              <w:rPr>
                <w:rFonts w:hint="default"/>
                <w:color w:val="auto"/>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0.05</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4.03E-05</w:t>
            </w:r>
          </w:p>
        </w:tc>
        <w:tc>
          <w:tcPr>
            <w:tcW w:w="1698" w:type="dxa"/>
            <w:tcBorders>
              <w:tl2br w:val="nil"/>
              <w:tr2bl w:val="nil"/>
            </w:tcBorders>
            <w:vAlign w:val="center"/>
          </w:tcPr>
          <w:p>
            <w:pPr>
              <w:pStyle w:val="21"/>
              <w:bidi w:val="0"/>
              <w:rPr>
                <w:rFonts w:hint="default"/>
                <w:color w:val="auto"/>
              </w:rPr>
            </w:pPr>
            <w:r>
              <w:rPr>
                <w:rFonts w:hint="eastAsia"/>
                <w:color w:val="auto"/>
              </w:rPr>
              <w:t>19070303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0.02</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1.40E-04</w:t>
            </w:r>
          </w:p>
        </w:tc>
        <w:tc>
          <w:tcPr>
            <w:tcW w:w="1698" w:type="dxa"/>
            <w:tcBorders>
              <w:tl2br w:val="nil"/>
              <w:tr2bl w:val="nil"/>
            </w:tcBorders>
            <w:vAlign w:val="center"/>
          </w:tcPr>
          <w:p>
            <w:pPr>
              <w:pStyle w:val="21"/>
              <w:bidi w:val="0"/>
              <w:rPr>
                <w:rFonts w:hint="default"/>
                <w:color w:val="auto"/>
              </w:rPr>
            </w:pPr>
            <w:r>
              <w:rPr>
                <w:rFonts w:hint="eastAsia"/>
                <w:color w:val="auto"/>
              </w:rPr>
              <w:t>19040506</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0.07</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3.12E-05</w:t>
            </w:r>
          </w:p>
        </w:tc>
        <w:tc>
          <w:tcPr>
            <w:tcW w:w="1698" w:type="dxa"/>
            <w:tcBorders>
              <w:tl2br w:val="nil"/>
              <w:tr2bl w:val="nil"/>
            </w:tcBorders>
            <w:vAlign w:val="center"/>
          </w:tcPr>
          <w:p>
            <w:pPr>
              <w:pStyle w:val="21"/>
              <w:bidi w:val="0"/>
              <w:rPr>
                <w:rFonts w:hint="default"/>
                <w:color w:val="auto"/>
              </w:rPr>
            </w:pPr>
            <w:r>
              <w:rPr>
                <w:rFonts w:hint="eastAsia"/>
                <w:color w:val="auto"/>
              </w:rPr>
              <w:t>19030123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0.02</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1.55E-05</w:t>
            </w:r>
          </w:p>
        </w:tc>
        <w:tc>
          <w:tcPr>
            <w:tcW w:w="1698" w:type="dxa"/>
            <w:tcBorders>
              <w:tl2br w:val="nil"/>
              <w:tr2bl w:val="nil"/>
            </w:tcBorders>
            <w:vAlign w:val="center"/>
          </w:tcPr>
          <w:p>
            <w:pPr>
              <w:pStyle w:val="21"/>
              <w:bidi w:val="0"/>
              <w:rPr>
                <w:rFonts w:hint="default"/>
                <w:color w:val="auto"/>
              </w:rPr>
            </w:pPr>
            <w:r>
              <w:rPr>
                <w:rFonts w:hint="eastAsia"/>
                <w:color w:val="auto"/>
              </w:rPr>
              <w:t>19030123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0.01</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7.43E-05</w:t>
            </w:r>
          </w:p>
        </w:tc>
        <w:tc>
          <w:tcPr>
            <w:tcW w:w="1698" w:type="dxa"/>
            <w:tcBorders>
              <w:tl2br w:val="nil"/>
              <w:tr2bl w:val="nil"/>
            </w:tcBorders>
            <w:vAlign w:val="center"/>
          </w:tcPr>
          <w:p>
            <w:pPr>
              <w:pStyle w:val="21"/>
              <w:bidi w:val="0"/>
              <w:rPr>
                <w:rFonts w:hint="default"/>
                <w:color w:val="auto"/>
              </w:rPr>
            </w:pPr>
            <w:r>
              <w:rPr>
                <w:rFonts w:hint="eastAsia"/>
                <w:color w:val="auto"/>
              </w:rPr>
              <w:t>19052724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rPr>
            </w:pPr>
            <w:r>
              <w:rPr>
                <w:rFonts w:hint="eastAsia"/>
                <w:color w:val="auto"/>
              </w:rPr>
              <w:t>0.04</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8</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1.78E-04</w:t>
            </w:r>
          </w:p>
        </w:tc>
        <w:tc>
          <w:tcPr>
            <w:tcW w:w="1698" w:type="dxa"/>
            <w:tcBorders>
              <w:tl2br w:val="nil"/>
              <w:tr2bl w:val="nil"/>
            </w:tcBorders>
            <w:vAlign w:val="center"/>
          </w:tcPr>
          <w:p>
            <w:pPr>
              <w:pStyle w:val="21"/>
              <w:bidi w:val="0"/>
              <w:rPr>
                <w:rFonts w:hint="default"/>
                <w:color w:val="auto"/>
              </w:rPr>
            </w:pPr>
            <w:r>
              <w:rPr>
                <w:rFonts w:hint="eastAsia"/>
                <w:color w:val="auto"/>
              </w:rPr>
              <w:t>19060402</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2.00E-01</w:t>
            </w:r>
          </w:p>
        </w:tc>
        <w:tc>
          <w:tcPr>
            <w:tcW w:w="990" w:type="dxa"/>
            <w:tcBorders>
              <w:tl2br w:val="nil"/>
              <w:tr2bl w:val="nil"/>
            </w:tcBorders>
            <w:vAlign w:val="center"/>
          </w:tcPr>
          <w:p>
            <w:pPr>
              <w:pStyle w:val="21"/>
              <w:bidi w:val="0"/>
              <w:rPr>
                <w:rFonts w:hint="default"/>
                <w:color w:val="auto"/>
                <w:lang w:val="en-US" w:eastAsia="zh-CN"/>
              </w:rPr>
            </w:pPr>
            <w:r>
              <w:rPr>
                <w:rFonts w:hint="eastAsia"/>
                <w:color w:val="auto"/>
              </w:rPr>
              <w:t>0.09</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9</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小洋</w:t>
            </w:r>
          </w:p>
        </w:tc>
        <w:tc>
          <w:tcPr>
            <w:tcW w:w="1351"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7.32E-06</w:t>
            </w:r>
          </w:p>
        </w:tc>
        <w:tc>
          <w:tcPr>
            <w:tcW w:w="1698" w:type="dxa"/>
            <w:tcBorders>
              <w:tl2br w:val="nil"/>
              <w:tr2bl w:val="nil"/>
            </w:tcBorders>
            <w:vAlign w:val="center"/>
          </w:tcPr>
          <w:p>
            <w:pPr>
              <w:pStyle w:val="21"/>
              <w:bidi w:val="0"/>
              <w:rPr>
                <w:rFonts w:hint="eastAsia"/>
                <w:color w:val="auto"/>
              </w:rPr>
            </w:pPr>
            <w:r>
              <w:rPr>
                <w:rFonts w:hint="eastAsia"/>
                <w:color w:val="auto"/>
              </w:rPr>
              <w:t>19042106</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10</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竹栏头</w:t>
            </w:r>
          </w:p>
        </w:tc>
        <w:tc>
          <w:tcPr>
            <w:tcW w:w="1351"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6.85E-06</w:t>
            </w:r>
          </w:p>
        </w:tc>
        <w:tc>
          <w:tcPr>
            <w:tcW w:w="1698" w:type="dxa"/>
            <w:tcBorders>
              <w:tl2br w:val="nil"/>
              <w:tr2bl w:val="nil"/>
            </w:tcBorders>
            <w:vAlign w:val="center"/>
          </w:tcPr>
          <w:p>
            <w:pPr>
              <w:pStyle w:val="21"/>
              <w:bidi w:val="0"/>
              <w:rPr>
                <w:rFonts w:hint="eastAsia"/>
                <w:color w:val="auto"/>
              </w:rPr>
            </w:pPr>
            <w:r>
              <w:rPr>
                <w:rFonts w:hint="eastAsia"/>
                <w:color w:val="auto"/>
              </w:rPr>
              <w:t>19011107</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11</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东岭头</w:t>
            </w:r>
          </w:p>
        </w:tc>
        <w:tc>
          <w:tcPr>
            <w:tcW w:w="1351"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4.79E-06</w:t>
            </w:r>
          </w:p>
        </w:tc>
        <w:tc>
          <w:tcPr>
            <w:tcW w:w="1698" w:type="dxa"/>
            <w:tcBorders>
              <w:tl2br w:val="nil"/>
              <w:tr2bl w:val="nil"/>
            </w:tcBorders>
            <w:vAlign w:val="center"/>
          </w:tcPr>
          <w:p>
            <w:pPr>
              <w:pStyle w:val="21"/>
              <w:bidi w:val="0"/>
              <w:rPr>
                <w:rFonts w:hint="eastAsia"/>
                <w:color w:val="auto"/>
              </w:rPr>
            </w:pPr>
            <w:r>
              <w:rPr>
                <w:rFonts w:hint="eastAsia"/>
                <w:color w:val="auto"/>
              </w:rPr>
              <w:t>19101808</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12</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秦家洋</w:t>
            </w:r>
          </w:p>
        </w:tc>
        <w:tc>
          <w:tcPr>
            <w:tcW w:w="1351"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5.80E-07</w:t>
            </w:r>
          </w:p>
        </w:tc>
        <w:tc>
          <w:tcPr>
            <w:tcW w:w="1698" w:type="dxa"/>
            <w:tcBorders>
              <w:tl2br w:val="nil"/>
              <w:tr2bl w:val="nil"/>
            </w:tcBorders>
            <w:vAlign w:val="center"/>
          </w:tcPr>
          <w:p>
            <w:pPr>
              <w:pStyle w:val="21"/>
              <w:bidi w:val="0"/>
              <w:rPr>
                <w:rFonts w:hint="eastAsia"/>
                <w:color w:val="auto"/>
              </w:rPr>
            </w:pPr>
            <w:r>
              <w:rPr>
                <w:rFonts w:hint="eastAsia"/>
                <w:color w:val="auto"/>
              </w:rPr>
              <w:t>19052707</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13</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山后</w:t>
            </w:r>
          </w:p>
        </w:tc>
        <w:tc>
          <w:tcPr>
            <w:tcW w:w="1351"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6.62E-06</w:t>
            </w:r>
          </w:p>
        </w:tc>
        <w:tc>
          <w:tcPr>
            <w:tcW w:w="1698" w:type="dxa"/>
            <w:tcBorders>
              <w:tl2br w:val="nil"/>
              <w:tr2bl w:val="nil"/>
            </w:tcBorders>
            <w:vAlign w:val="center"/>
          </w:tcPr>
          <w:p>
            <w:pPr>
              <w:pStyle w:val="21"/>
              <w:bidi w:val="0"/>
              <w:rPr>
                <w:rFonts w:hint="eastAsia"/>
                <w:color w:val="auto"/>
              </w:rPr>
            </w:pPr>
            <w:r>
              <w:rPr>
                <w:rFonts w:hint="eastAsia"/>
                <w:color w:val="auto"/>
              </w:rPr>
              <w:t>19022409</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14</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网格</w:t>
            </w:r>
          </w:p>
        </w:tc>
        <w:tc>
          <w:tcPr>
            <w:tcW w:w="1351" w:type="dxa"/>
            <w:tcBorders>
              <w:tl2br w:val="nil"/>
              <w:tr2bl w:val="nil"/>
            </w:tcBorders>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8.53E-04</w:t>
            </w:r>
          </w:p>
        </w:tc>
        <w:tc>
          <w:tcPr>
            <w:tcW w:w="1698" w:type="dxa"/>
            <w:tcBorders>
              <w:tl2br w:val="nil"/>
              <w:tr2bl w:val="nil"/>
            </w:tcBorders>
            <w:vAlign w:val="center"/>
          </w:tcPr>
          <w:p>
            <w:pPr>
              <w:pStyle w:val="21"/>
              <w:bidi w:val="0"/>
              <w:rPr>
                <w:rFonts w:hint="eastAsia"/>
                <w:color w:val="auto"/>
              </w:rPr>
            </w:pPr>
            <w:r>
              <w:rPr>
                <w:rFonts w:hint="eastAsia"/>
                <w:color w:val="auto"/>
              </w:rPr>
              <w:t>19051516</w:t>
            </w:r>
          </w:p>
        </w:tc>
        <w:tc>
          <w:tcPr>
            <w:tcW w:w="1230" w:type="dxa"/>
            <w:tcBorders>
              <w:tl2br w:val="nil"/>
              <w:tr2bl w:val="nil"/>
            </w:tcBorders>
            <w:vAlign w:val="center"/>
          </w:tcPr>
          <w:p>
            <w:pPr>
              <w:pStyle w:val="21"/>
              <w:bidi w:val="0"/>
              <w:rPr>
                <w:rFonts w:hint="eastAsia"/>
                <w:color w:val="auto"/>
              </w:rPr>
            </w:pPr>
            <w:r>
              <w:rPr>
                <w:rFonts w:hint="eastAsia"/>
                <w:color w:val="auto"/>
              </w:rPr>
              <w:t>2.00E-01</w:t>
            </w:r>
          </w:p>
        </w:tc>
        <w:tc>
          <w:tcPr>
            <w:tcW w:w="990" w:type="dxa"/>
            <w:tcBorders>
              <w:tl2br w:val="nil"/>
              <w:tr2bl w:val="nil"/>
            </w:tcBorders>
            <w:vAlign w:val="center"/>
          </w:tcPr>
          <w:p>
            <w:pPr>
              <w:pStyle w:val="21"/>
              <w:bidi w:val="0"/>
              <w:rPr>
                <w:rFonts w:hint="eastAsia"/>
                <w:color w:val="auto"/>
              </w:rPr>
            </w:pPr>
            <w:r>
              <w:rPr>
                <w:rFonts w:hint="eastAsia"/>
                <w:color w:val="auto"/>
              </w:rPr>
              <w:t>0.43</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bl>
    <w:p>
      <w:pP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⑥硫化氢</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cs="Times New Roman"/>
          <w:color w:val="auto"/>
          <w:highlight w:val="none"/>
          <w:lang w:val="en-US" w:eastAsia="zh-CN"/>
        </w:rPr>
        <w:t>硫化氢</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_Ref24789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s="Times New Roman"/>
          <w:color w:val="auto"/>
          <w:highlight w:val="none"/>
          <w:lang w:val="en-US" w:eastAsia="zh-CN"/>
        </w:rPr>
        <w:t>硫化氢小时</w:t>
      </w:r>
      <w:r>
        <w:rPr>
          <w:rFonts w:hint="default" w:ascii="Times New Roman" w:hAnsi="Times New Roman" w:cs="Times New Roman"/>
          <w:color w:val="auto"/>
          <w:highlight w:val="none"/>
          <w:lang w:val="en-US" w:eastAsia="zh-CN"/>
        </w:rPr>
        <w:t>浓度贡献值满足</w:t>
      </w:r>
      <w:r>
        <w:rPr>
          <w:rFonts w:ascii="Times New Roman" w:hAnsi="Times New Roman"/>
          <w:color w:val="auto"/>
          <w:szCs w:val="22"/>
          <w:highlight w:val="none"/>
        </w:rPr>
        <w:t>《环境影响评价技术导则-大气环境》（HJ2.2-2018）附录D表D.1其他污染物空气质量浓度参考限值要求(该污染物无长期浓度限值)</w:t>
      </w:r>
      <w:r>
        <w:rPr>
          <w:rFonts w:hint="default" w:ascii="Times New Roman" w:hAnsi="Times New Roman" w:cs="Times New Roman"/>
          <w:color w:val="auto"/>
          <w:highlight w:val="none"/>
          <w:lang w:val="en-US" w:eastAsia="zh-CN"/>
        </w:rPr>
        <w:t>。区域最大落地浓度中，</w:t>
      </w:r>
      <w:r>
        <w:rPr>
          <w:rFonts w:hint="eastAsia" w:cs="Times New Roman"/>
          <w:color w:val="auto"/>
          <w:highlight w:val="none"/>
          <w:lang w:val="en-US" w:eastAsia="zh-CN"/>
        </w:rPr>
        <w:t>小时</w:t>
      </w:r>
      <w:r>
        <w:rPr>
          <w:rFonts w:hint="default" w:ascii="Times New Roman" w:hAnsi="Times New Roman" w:cs="Times New Roman"/>
          <w:color w:val="auto"/>
          <w:highlight w:val="none"/>
          <w:lang w:val="en-US" w:eastAsia="zh-CN"/>
        </w:rPr>
        <w:t>浓度贡献值最大值为</w:t>
      </w:r>
      <w:r>
        <w:rPr>
          <w:rFonts w:hint="eastAsia" w:cs="Times New Roman"/>
          <w:color w:val="auto"/>
          <w:highlight w:val="none"/>
          <w:lang w:val="en-US" w:eastAsia="zh-CN"/>
        </w:rPr>
        <w:t>0.033</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0.33</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_Ref24002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图5.2-22</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34" w:name="_Ref24789"/>
      <w:r>
        <w:rPr>
          <w:rFonts w:hint="default" w:ascii="Times New Roman" w:hAnsi="Times New Roman" w:cs="Times New Roman"/>
          <w:color w:val="auto"/>
          <w:highlight w:val="none"/>
          <w:lang w:val="en-US" w:eastAsia="zh-CN"/>
        </w:rPr>
        <w:t>目新增污染物</w:t>
      </w:r>
      <w:r>
        <w:rPr>
          <w:rFonts w:hint="eastAsia" w:cs="Times New Roman"/>
          <w:color w:val="auto"/>
          <w:highlight w:val="none"/>
          <w:lang w:val="en-US" w:eastAsia="zh-CN"/>
        </w:rPr>
        <w:t>硫化氢</w:t>
      </w:r>
      <w:r>
        <w:rPr>
          <w:rFonts w:hint="default" w:ascii="Times New Roman" w:hAnsi="Times New Roman" w:cs="Times New Roman"/>
          <w:color w:val="auto"/>
          <w:highlight w:val="none"/>
          <w:lang w:val="en-US" w:eastAsia="zh-CN"/>
        </w:rPr>
        <w:t>贡献浓度预测结果</w:t>
      </w:r>
      <w:bookmarkEnd w:id="534"/>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360"/>
        <w:gridCol w:w="1351"/>
        <w:gridCol w:w="1245"/>
        <w:gridCol w:w="1698"/>
        <w:gridCol w:w="1230"/>
        <w:gridCol w:w="990"/>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60" w:type="dxa"/>
            <w:tcBorders>
              <w:tl2br w:val="nil"/>
              <w:tr2bl w:val="nil"/>
            </w:tcBorders>
            <w:vAlign w:val="center"/>
          </w:tcPr>
          <w:p>
            <w:pPr>
              <w:pStyle w:val="2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预测</w:t>
            </w:r>
            <w:r>
              <w:rPr>
                <w:rFonts w:hint="default" w:ascii="Times New Roman" w:hAnsi="Times New Roman" w:cs="Times New Roman"/>
                <w:color w:val="auto"/>
                <w:highlight w:val="none"/>
              </w:rPr>
              <w:t>点名称</w:t>
            </w:r>
          </w:p>
        </w:tc>
        <w:tc>
          <w:tcPr>
            <w:tcW w:w="1351"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2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浓度增量(mg/m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6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出现时间(YYMMDDHH)</w:t>
            </w:r>
          </w:p>
        </w:tc>
        <w:tc>
          <w:tcPr>
            <w:tcW w:w="123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90"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1.01E-05</w:t>
            </w:r>
          </w:p>
        </w:tc>
        <w:tc>
          <w:tcPr>
            <w:tcW w:w="1698" w:type="dxa"/>
            <w:tcBorders>
              <w:tl2br w:val="nil"/>
              <w:tr2bl w:val="nil"/>
            </w:tcBorders>
            <w:vAlign w:val="center"/>
          </w:tcPr>
          <w:p>
            <w:pPr>
              <w:pStyle w:val="21"/>
              <w:bidi w:val="0"/>
              <w:rPr>
                <w:rFonts w:hint="default"/>
                <w:color w:val="auto"/>
              </w:rPr>
            </w:pPr>
            <w:r>
              <w:rPr>
                <w:rFonts w:hint="eastAsia"/>
                <w:color w:val="auto"/>
              </w:rPr>
              <w:t>19020223</w:t>
            </w:r>
          </w:p>
        </w:tc>
        <w:tc>
          <w:tcPr>
            <w:tcW w:w="1230" w:type="dxa"/>
            <w:tcBorders>
              <w:tl2br w:val="nil"/>
              <w:tr2bl w:val="nil"/>
            </w:tcBorders>
            <w:vAlign w:val="center"/>
          </w:tcPr>
          <w:p>
            <w:pPr>
              <w:pStyle w:val="21"/>
              <w:bidi w:val="0"/>
              <w:rPr>
                <w:rFonts w:hint="default"/>
                <w:color w:val="auto"/>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0.10</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4.15E-06</w:t>
            </w:r>
          </w:p>
        </w:tc>
        <w:tc>
          <w:tcPr>
            <w:tcW w:w="1698" w:type="dxa"/>
            <w:tcBorders>
              <w:tl2br w:val="nil"/>
              <w:tr2bl w:val="nil"/>
            </w:tcBorders>
            <w:vAlign w:val="center"/>
          </w:tcPr>
          <w:p>
            <w:pPr>
              <w:pStyle w:val="21"/>
              <w:bidi w:val="0"/>
              <w:rPr>
                <w:rFonts w:hint="default"/>
                <w:color w:val="auto"/>
              </w:rPr>
            </w:pPr>
            <w:r>
              <w:rPr>
                <w:rFonts w:hint="eastAsia"/>
                <w:color w:val="auto"/>
              </w:rPr>
              <w:t>19042106</w:t>
            </w:r>
          </w:p>
        </w:tc>
        <w:tc>
          <w:tcPr>
            <w:tcW w:w="1230" w:type="dxa"/>
            <w:tcBorders>
              <w:tl2br w:val="nil"/>
              <w:tr2bl w:val="nil"/>
            </w:tcBorders>
            <w:vAlign w:val="center"/>
          </w:tcPr>
          <w:p>
            <w:pPr>
              <w:pStyle w:val="21"/>
              <w:bidi w:val="0"/>
              <w:rPr>
                <w:rFonts w:hint="default"/>
                <w:color w:val="auto"/>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0.04</w:t>
            </w:r>
          </w:p>
        </w:tc>
        <w:tc>
          <w:tcPr>
            <w:tcW w:w="762"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1.56E-06</w:t>
            </w:r>
          </w:p>
        </w:tc>
        <w:tc>
          <w:tcPr>
            <w:tcW w:w="1698" w:type="dxa"/>
            <w:tcBorders>
              <w:tl2br w:val="nil"/>
              <w:tr2bl w:val="nil"/>
            </w:tcBorders>
            <w:vAlign w:val="center"/>
          </w:tcPr>
          <w:p>
            <w:pPr>
              <w:pStyle w:val="21"/>
              <w:bidi w:val="0"/>
              <w:rPr>
                <w:rFonts w:hint="default"/>
                <w:color w:val="auto"/>
              </w:rPr>
            </w:pPr>
            <w:r>
              <w:rPr>
                <w:rFonts w:hint="eastAsia"/>
                <w:color w:val="auto"/>
              </w:rPr>
              <w:t>19070303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0.02</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5.42E-06</w:t>
            </w:r>
          </w:p>
        </w:tc>
        <w:tc>
          <w:tcPr>
            <w:tcW w:w="1698" w:type="dxa"/>
            <w:tcBorders>
              <w:tl2br w:val="nil"/>
              <w:tr2bl w:val="nil"/>
            </w:tcBorders>
            <w:vAlign w:val="center"/>
          </w:tcPr>
          <w:p>
            <w:pPr>
              <w:pStyle w:val="21"/>
              <w:bidi w:val="0"/>
              <w:rPr>
                <w:rFonts w:hint="default"/>
                <w:color w:val="auto"/>
              </w:rPr>
            </w:pPr>
            <w:r>
              <w:rPr>
                <w:rFonts w:hint="eastAsia"/>
                <w:color w:val="auto"/>
              </w:rPr>
              <w:t>19040506</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0.05</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1.21E-06</w:t>
            </w:r>
          </w:p>
        </w:tc>
        <w:tc>
          <w:tcPr>
            <w:tcW w:w="1698" w:type="dxa"/>
            <w:tcBorders>
              <w:tl2br w:val="nil"/>
              <w:tr2bl w:val="nil"/>
            </w:tcBorders>
            <w:vAlign w:val="center"/>
          </w:tcPr>
          <w:p>
            <w:pPr>
              <w:pStyle w:val="21"/>
              <w:bidi w:val="0"/>
              <w:rPr>
                <w:rFonts w:hint="default"/>
                <w:color w:val="auto"/>
              </w:rPr>
            </w:pPr>
            <w:r>
              <w:rPr>
                <w:rFonts w:hint="eastAsia"/>
                <w:color w:val="auto"/>
              </w:rPr>
              <w:t>19030123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0.01</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6.00E-07</w:t>
            </w:r>
          </w:p>
        </w:tc>
        <w:tc>
          <w:tcPr>
            <w:tcW w:w="1698" w:type="dxa"/>
            <w:tcBorders>
              <w:tl2br w:val="nil"/>
              <w:tr2bl w:val="nil"/>
            </w:tcBorders>
            <w:vAlign w:val="center"/>
          </w:tcPr>
          <w:p>
            <w:pPr>
              <w:pStyle w:val="21"/>
              <w:bidi w:val="0"/>
              <w:rPr>
                <w:rFonts w:hint="default"/>
                <w:color w:val="auto"/>
              </w:rPr>
            </w:pPr>
            <w:r>
              <w:rPr>
                <w:rFonts w:hint="eastAsia"/>
                <w:color w:val="auto"/>
              </w:rPr>
              <w:t>19030123</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0.01</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1351"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2.87E-06</w:t>
            </w:r>
          </w:p>
        </w:tc>
        <w:tc>
          <w:tcPr>
            <w:tcW w:w="1698" w:type="dxa"/>
            <w:tcBorders>
              <w:tl2br w:val="nil"/>
              <w:tr2bl w:val="nil"/>
            </w:tcBorders>
            <w:vAlign w:val="center"/>
          </w:tcPr>
          <w:p>
            <w:pPr>
              <w:pStyle w:val="21"/>
              <w:bidi w:val="0"/>
              <w:rPr>
                <w:rFonts w:hint="default"/>
                <w:color w:val="auto"/>
              </w:rPr>
            </w:pPr>
            <w:r>
              <w:rPr>
                <w:rFonts w:hint="eastAsia"/>
                <w:color w:val="auto"/>
              </w:rPr>
              <w:t>19052724</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1.00E-02</w:t>
            </w:r>
          </w:p>
        </w:tc>
        <w:tc>
          <w:tcPr>
            <w:tcW w:w="990" w:type="dxa"/>
            <w:tcBorders>
              <w:tl2br w:val="nil"/>
              <w:tr2bl w:val="nil"/>
            </w:tcBorders>
            <w:vAlign w:val="center"/>
          </w:tcPr>
          <w:p>
            <w:pPr>
              <w:pStyle w:val="21"/>
              <w:bidi w:val="0"/>
              <w:rPr>
                <w:rFonts w:hint="default"/>
                <w:color w:val="auto"/>
              </w:rPr>
            </w:pPr>
            <w:r>
              <w:rPr>
                <w:rFonts w:hint="eastAsia"/>
                <w:color w:val="auto"/>
              </w:rPr>
              <w:t>0.03</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8</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1351" w:type="dxa"/>
            <w:tcBorders>
              <w:tl2br w:val="nil"/>
              <w:tr2bl w:val="nil"/>
            </w:tcBorders>
            <w:vAlign w:val="center"/>
          </w:tcPr>
          <w:p>
            <w:pPr>
              <w:pStyle w:val="21"/>
              <w:bidi w:val="0"/>
              <w:rPr>
                <w:rFonts w:hint="default"/>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default"/>
                <w:color w:val="auto"/>
              </w:rPr>
            </w:pPr>
            <w:r>
              <w:rPr>
                <w:rFonts w:hint="eastAsia"/>
                <w:color w:val="auto"/>
              </w:rPr>
              <w:t>6.88E-06</w:t>
            </w:r>
          </w:p>
        </w:tc>
        <w:tc>
          <w:tcPr>
            <w:tcW w:w="1698" w:type="dxa"/>
            <w:tcBorders>
              <w:tl2br w:val="nil"/>
              <w:tr2bl w:val="nil"/>
            </w:tcBorders>
            <w:vAlign w:val="center"/>
          </w:tcPr>
          <w:p>
            <w:pPr>
              <w:pStyle w:val="21"/>
              <w:bidi w:val="0"/>
              <w:rPr>
                <w:rFonts w:hint="default"/>
                <w:color w:val="auto"/>
              </w:rPr>
            </w:pPr>
            <w:r>
              <w:rPr>
                <w:rFonts w:hint="eastAsia"/>
                <w:color w:val="auto"/>
              </w:rPr>
              <w:t>19060402</w:t>
            </w:r>
          </w:p>
        </w:tc>
        <w:tc>
          <w:tcPr>
            <w:tcW w:w="1230" w:type="dxa"/>
            <w:tcBorders>
              <w:tl2br w:val="nil"/>
              <w:tr2bl w:val="nil"/>
            </w:tcBorders>
            <w:vAlign w:val="center"/>
          </w:tcPr>
          <w:p>
            <w:pPr>
              <w:pStyle w:val="21"/>
              <w:bidi w:val="0"/>
              <w:rPr>
                <w:rFonts w:hint="default"/>
                <w:color w:val="auto"/>
                <w:lang w:val="en-US" w:eastAsia="zh-CN"/>
              </w:rPr>
            </w:pPr>
            <w:r>
              <w:rPr>
                <w:rFonts w:hint="eastAsia"/>
                <w:color w:val="auto"/>
              </w:rPr>
              <w:t>1.00E-02</w:t>
            </w:r>
          </w:p>
        </w:tc>
        <w:tc>
          <w:tcPr>
            <w:tcW w:w="990" w:type="dxa"/>
            <w:tcBorders>
              <w:tl2br w:val="nil"/>
              <w:tr2bl w:val="nil"/>
            </w:tcBorders>
            <w:vAlign w:val="center"/>
          </w:tcPr>
          <w:p>
            <w:pPr>
              <w:pStyle w:val="21"/>
              <w:bidi w:val="0"/>
              <w:rPr>
                <w:rFonts w:hint="default"/>
                <w:color w:val="auto"/>
                <w:lang w:val="en-US" w:eastAsia="zh-CN"/>
              </w:rPr>
            </w:pPr>
            <w:r>
              <w:rPr>
                <w:rFonts w:hint="eastAsia"/>
                <w:color w:val="auto"/>
              </w:rPr>
              <w:t>0.07</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9</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小洋</w:t>
            </w:r>
          </w:p>
        </w:tc>
        <w:tc>
          <w:tcPr>
            <w:tcW w:w="1351" w:type="dxa"/>
            <w:tcBorders>
              <w:tl2br w:val="nil"/>
              <w:tr2bl w:val="nil"/>
            </w:tcBorders>
            <w:vAlign w:val="center"/>
          </w:tcPr>
          <w:p>
            <w:pPr>
              <w:pStyle w:val="21"/>
              <w:bidi w:val="0"/>
              <w:rPr>
                <w:rFonts w:hint="eastAsia"/>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2.80E-07</w:t>
            </w:r>
          </w:p>
        </w:tc>
        <w:tc>
          <w:tcPr>
            <w:tcW w:w="1698" w:type="dxa"/>
            <w:tcBorders>
              <w:tl2br w:val="nil"/>
              <w:tr2bl w:val="nil"/>
            </w:tcBorders>
            <w:vAlign w:val="center"/>
          </w:tcPr>
          <w:p>
            <w:pPr>
              <w:pStyle w:val="21"/>
              <w:bidi w:val="0"/>
              <w:rPr>
                <w:rFonts w:hint="eastAsia"/>
                <w:color w:val="auto"/>
              </w:rPr>
            </w:pPr>
            <w:r>
              <w:rPr>
                <w:rFonts w:hint="eastAsia"/>
                <w:color w:val="auto"/>
              </w:rPr>
              <w:t>19042106</w:t>
            </w:r>
          </w:p>
        </w:tc>
        <w:tc>
          <w:tcPr>
            <w:tcW w:w="1230" w:type="dxa"/>
            <w:tcBorders>
              <w:tl2br w:val="nil"/>
              <w:tr2bl w:val="nil"/>
            </w:tcBorders>
            <w:vAlign w:val="center"/>
          </w:tcPr>
          <w:p>
            <w:pPr>
              <w:pStyle w:val="21"/>
              <w:bidi w:val="0"/>
              <w:rPr>
                <w:rFonts w:hint="eastAsia"/>
                <w:color w:val="auto"/>
              </w:rPr>
            </w:pPr>
            <w:r>
              <w:rPr>
                <w:rFonts w:hint="eastAsia"/>
                <w:color w:val="auto"/>
              </w:rPr>
              <w:t>1.00E-02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10</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竹栏头</w:t>
            </w:r>
          </w:p>
        </w:tc>
        <w:tc>
          <w:tcPr>
            <w:tcW w:w="1351" w:type="dxa"/>
            <w:tcBorders>
              <w:tl2br w:val="nil"/>
              <w:tr2bl w:val="nil"/>
            </w:tcBorders>
            <w:vAlign w:val="center"/>
          </w:tcPr>
          <w:p>
            <w:pPr>
              <w:pStyle w:val="21"/>
              <w:bidi w:val="0"/>
              <w:rPr>
                <w:rFonts w:hint="eastAsia"/>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2.60E-07</w:t>
            </w:r>
          </w:p>
        </w:tc>
        <w:tc>
          <w:tcPr>
            <w:tcW w:w="1698" w:type="dxa"/>
            <w:tcBorders>
              <w:tl2br w:val="nil"/>
              <w:tr2bl w:val="nil"/>
            </w:tcBorders>
            <w:vAlign w:val="center"/>
          </w:tcPr>
          <w:p>
            <w:pPr>
              <w:pStyle w:val="21"/>
              <w:bidi w:val="0"/>
              <w:rPr>
                <w:rFonts w:hint="eastAsia"/>
                <w:color w:val="auto"/>
              </w:rPr>
            </w:pPr>
            <w:r>
              <w:rPr>
                <w:rFonts w:hint="eastAsia"/>
                <w:color w:val="auto"/>
              </w:rPr>
              <w:t>19011107</w:t>
            </w:r>
          </w:p>
        </w:tc>
        <w:tc>
          <w:tcPr>
            <w:tcW w:w="1230" w:type="dxa"/>
            <w:tcBorders>
              <w:tl2br w:val="nil"/>
              <w:tr2bl w:val="nil"/>
            </w:tcBorders>
            <w:vAlign w:val="center"/>
          </w:tcPr>
          <w:p>
            <w:pPr>
              <w:pStyle w:val="21"/>
              <w:bidi w:val="0"/>
              <w:rPr>
                <w:rFonts w:hint="eastAsia"/>
                <w:color w:val="auto"/>
              </w:rPr>
            </w:pPr>
            <w:r>
              <w:rPr>
                <w:rFonts w:hint="eastAsia"/>
                <w:color w:val="auto"/>
              </w:rPr>
              <w:t>1.00E-02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11</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东岭头</w:t>
            </w:r>
          </w:p>
        </w:tc>
        <w:tc>
          <w:tcPr>
            <w:tcW w:w="1351" w:type="dxa"/>
            <w:tcBorders>
              <w:tl2br w:val="nil"/>
              <w:tr2bl w:val="nil"/>
            </w:tcBorders>
            <w:vAlign w:val="center"/>
          </w:tcPr>
          <w:p>
            <w:pPr>
              <w:pStyle w:val="21"/>
              <w:bidi w:val="0"/>
              <w:rPr>
                <w:rFonts w:hint="eastAsia"/>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1.80E-07</w:t>
            </w:r>
          </w:p>
        </w:tc>
        <w:tc>
          <w:tcPr>
            <w:tcW w:w="1698" w:type="dxa"/>
            <w:tcBorders>
              <w:tl2br w:val="nil"/>
              <w:tr2bl w:val="nil"/>
            </w:tcBorders>
            <w:vAlign w:val="center"/>
          </w:tcPr>
          <w:p>
            <w:pPr>
              <w:pStyle w:val="21"/>
              <w:bidi w:val="0"/>
              <w:rPr>
                <w:rFonts w:hint="eastAsia"/>
                <w:color w:val="auto"/>
              </w:rPr>
            </w:pPr>
            <w:r>
              <w:rPr>
                <w:rFonts w:hint="eastAsia"/>
                <w:color w:val="auto"/>
              </w:rPr>
              <w:t>19101808</w:t>
            </w:r>
          </w:p>
        </w:tc>
        <w:tc>
          <w:tcPr>
            <w:tcW w:w="1230" w:type="dxa"/>
            <w:tcBorders>
              <w:tl2br w:val="nil"/>
              <w:tr2bl w:val="nil"/>
            </w:tcBorders>
            <w:vAlign w:val="center"/>
          </w:tcPr>
          <w:p>
            <w:pPr>
              <w:pStyle w:val="21"/>
              <w:bidi w:val="0"/>
              <w:rPr>
                <w:rFonts w:hint="eastAsia"/>
                <w:color w:val="auto"/>
              </w:rPr>
            </w:pPr>
            <w:r>
              <w:rPr>
                <w:rFonts w:hint="eastAsia"/>
                <w:color w:val="auto"/>
              </w:rPr>
              <w:t>1.00E-02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12</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秦家洋</w:t>
            </w:r>
          </w:p>
        </w:tc>
        <w:tc>
          <w:tcPr>
            <w:tcW w:w="1351" w:type="dxa"/>
            <w:tcBorders>
              <w:tl2br w:val="nil"/>
              <w:tr2bl w:val="nil"/>
            </w:tcBorders>
            <w:vAlign w:val="center"/>
          </w:tcPr>
          <w:p>
            <w:pPr>
              <w:pStyle w:val="21"/>
              <w:bidi w:val="0"/>
              <w:rPr>
                <w:rFonts w:hint="eastAsia"/>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2.00E-08</w:t>
            </w:r>
          </w:p>
        </w:tc>
        <w:tc>
          <w:tcPr>
            <w:tcW w:w="1698" w:type="dxa"/>
            <w:tcBorders>
              <w:tl2br w:val="nil"/>
              <w:tr2bl w:val="nil"/>
            </w:tcBorders>
            <w:vAlign w:val="center"/>
          </w:tcPr>
          <w:p>
            <w:pPr>
              <w:pStyle w:val="21"/>
              <w:bidi w:val="0"/>
              <w:rPr>
                <w:rFonts w:hint="eastAsia"/>
                <w:color w:val="auto"/>
              </w:rPr>
            </w:pPr>
            <w:r>
              <w:rPr>
                <w:rFonts w:hint="eastAsia"/>
                <w:color w:val="auto"/>
              </w:rPr>
              <w:t>19052707</w:t>
            </w:r>
          </w:p>
        </w:tc>
        <w:tc>
          <w:tcPr>
            <w:tcW w:w="1230" w:type="dxa"/>
            <w:tcBorders>
              <w:tl2br w:val="nil"/>
              <w:tr2bl w:val="nil"/>
            </w:tcBorders>
            <w:vAlign w:val="center"/>
          </w:tcPr>
          <w:p>
            <w:pPr>
              <w:pStyle w:val="21"/>
              <w:bidi w:val="0"/>
              <w:rPr>
                <w:rFonts w:hint="eastAsia"/>
                <w:color w:val="auto"/>
              </w:rPr>
            </w:pPr>
            <w:r>
              <w:rPr>
                <w:rFonts w:hint="eastAsia"/>
                <w:color w:val="auto"/>
              </w:rPr>
              <w:t>1.00E-02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13</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山后</w:t>
            </w:r>
          </w:p>
        </w:tc>
        <w:tc>
          <w:tcPr>
            <w:tcW w:w="1351" w:type="dxa"/>
            <w:tcBorders>
              <w:tl2br w:val="nil"/>
              <w:tr2bl w:val="nil"/>
            </w:tcBorders>
            <w:vAlign w:val="center"/>
          </w:tcPr>
          <w:p>
            <w:pPr>
              <w:pStyle w:val="21"/>
              <w:bidi w:val="0"/>
              <w:rPr>
                <w:rFonts w:hint="eastAsia"/>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2.60E-07</w:t>
            </w:r>
          </w:p>
        </w:tc>
        <w:tc>
          <w:tcPr>
            <w:tcW w:w="1698" w:type="dxa"/>
            <w:tcBorders>
              <w:tl2br w:val="nil"/>
              <w:tr2bl w:val="nil"/>
            </w:tcBorders>
            <w:vAlign w:val="center"/>
          </w:tcPr>
          <w:p>
            <w:pPr>
              <w:pStyle w:val="21"/>
              <w:bidi w:val="0"/>
              <w:rPr>
                <w:rFonts w:hint="eastAsia"/>
                <w:color w:val="auto"/>
              </w:rPr>
            </w:pPr>
            <w:r>
              <w:rPr>
                <w:rFonts w:hint="eastAsia"/>
                <w:color w:val="auto"/>
              </w:rPr>
              <w:t>19022409</w:t>
            </w:r>
          </w:p>
        </w:tc>
        <w:tc>
          <w:tcPr>
            <w:tcW w:w="1230" w:type="dxa"/>
            <w:tcBorders>
              <w:tl2br w:val="nil"/>
              <w:tr2bl w:val="nil"/>
            </w:tcBorders>
            <w:vAlign w:val="center"/>
          </w:tcPr>
          <w:p>
            <w:pPr>
              <w:pStyle w:val="21"/>
              <w:bidi w:val="0"/>
              <w:rPr>
                <w:rFonts w:hint="eastAsia"/>
                <w:color w:val="auto"/>
              </w:rPr>
            </w:pPr>
            <w:r>
              <w:rPr>
                <w:rFonts w:hint="eastAsia"/>
                <w:color w:val="auto"/>
              </w:rPr>
              <w:t>1.00E-02</w:t>
            </w:r>
          </w:p>
        </w:tc>
        <w:tc>
          <w:tcPr>
            <w:tcW w:w="990" w:type="dxa"/>
            <w:tcBorders>
              <w:tl2br w:val="nil"/>
              <w:tr2bl w:val="nil"/>
            </w:tcBorders>
            <w:vAlign w:val="center"/>
          </w:tcPr>
          <w:p>
            <w:pPr>
              <w:pStyle w:val="21"/>
              <w:bidi w:val="0"/>
              <w:rPr>
                <w:rFonts w:hint="eastAsia"/>
                <w:color w:val="auto"/>
              </w:rPr>
            </w:pPr>
            <w:r>
              <w:rPr>
                <w:rFonts w:hint="eastAsia"/>
                <w:color w:val="auto"/>
              </w:rPr>
              <w:t>0.00</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14</w:t>
            </w:r>
          </w:p>
        </w:tc>
        <w:tc>
          <w:tcPr>
            <w:tcW w:w="1360"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网格</w:t>
            </w:r>
          </w:p>
        </w:tc>
        <w:tc>
          <w:tcPr>
            <w:tcW w:w="1351" w:type="dxa"/>
            <w:tcBorders>
              <w:tl2br w:val="nil"/>
              <w:tr2bl w:val="nil"/>
            </w:tcBorders>
            <w:vAlign w:val="center"/>
          </w:tcPr>
          <w:p>
            <w:pPr>
              <w:pStyle w:val="21"/>
              <w:bidi w:val="0"/>
              <w:rPr>
                <w:rFonts w:hint="eastAsia"/>
                <w:color w:val="auto"/>
                <w:highlight w:val="none"/>
                <w:lang w:val="en-US" w:eastAsia="zh-CN"/>
              </w:rPr>
            </w:pPr>
            <w:r>
              <w:rPr>
                <w:rFonts w:hint="eastAsia"/>
                <w:color w:val="auto"/>
                <w:highlight w:val="none"/>
                <w:lang w:val="en-US" w:eastAsia="zh-CN"/>
              </w:rPr>
              <w:t>1小时</w:t>
            </w:r>
          </w:p>
        </w:tc>
        <w:tc>
          <w:tcPr>
            <w:tcW w:w="1245" w:type="dxa"/>
            <w:tcBorders>
              <w:tl2br w:val="nil"/>
              <w:tr2bl w:val="nil"/>
            </w:tcBorders>
            <w:vAlign w:val="center"/>
          </w:tcPr>
          <w:p>
            <w:pPr>
              <w:pStyle w:val="21"/>
              <w:bidi w:val="0"/>
              <w:rPr>
                <w:rFonts w:hint="eastAsia"/>
                <w:color w:val="auto"/>
              </w:rPr>
            </w:pPr>
            <w:r>
              <w:rPr>
                <w:rFonts w:hint="eastAsia"/>
                <w:color w:val="auto"/>
              </w:rPr>
              <w:t>3.30E-05</w:t>
            </w:r>
          </w:p>
        </w:tc>
        <w:tc>
          <w:tcPr>
            <w:tcW w:w="1698" w:type="dxa"/>
            <w:tcBorders>
              <w:tl2br w:val="nil"/>
              <w:tr2bl w:val="nil"/>
            </w:tcBorders>
            <w:vAlign w:val="center"/>
          </w:tcPr>
          <w:p>
            <w:pPr>
              <w:pStyle w:val="21"/>
              <w:bidi w:val="0"/>
              <w:rPr>
                <w:rFonts w:hint="eastAsia"/>
                <w:color w:val="auto"/>
              </w:rPr>
            </w:pPr>
            <w:r>
              <w:rPr>
                <w:rFonts w:hint="eastAsia"/>
                <w:color w:val="auto"/>
              </w:rPr>
              <w:t>19051516</w:t>
            </w:r>
          </w:p>
        </w:tc>
        <w:tc>
          <w:tcPr>
            <w:tcW w:w="1230" w:type="dxa"/>
            <w:tcBorders>
              <w:tl2br w:val="nil"/>
              <w:tr2bl w:val="nil"/>
            </w:tcBorders>
            <w:vAlign w:val="center"/>
          </w:tcPr>
          <w:p>
            <w:pPr>
              <w:pStyle w:val="21"/>
              <w:bidi w:val="0"/>
              <w:rPr>
                <w:rFonts w:hint="eastAsia"/>
                <w:color w:val="auto"/>
              </w:rPr>
            </w:pPr>
            <w:r>
              <w:rPr>
                <w:rFonts w:hint="eastAsia"/>
                <w:color w:val="auto"/>
              </w:rPr>
              <w:t>1.00E-02</w:t>
            </w:r>
          </w:p>
        </w:tc>
        <w:tc>
          <w:tcPr>
            <w:tcW w:w="990" w:type="dxa"/>
            <w:tcBorders>
              <w:tl2br w:val="nil"/>
              <w:tr2bl w:val="nil"/>
            </w:tcBorders>
            <w:vAlign w:val="center"/>
          </w:tcPr>
          <w:p>
            <w:pPr>
              <w:pStyle w:val="21"/>
              <w:bidi w:val="0"/>
              <w:rPr>
                <w:rFonts w:hint="eastAsia"/>
                <w:color w:val="auto"/>
              </w:rPr>
            </w:pPr>
            <w:r>
              <w:rPr>
                <w:rFonts w:hint="eastAsia"/>
                <w:color w:val="auto"/>
              </w:rPr>
              <w:t>0.33</w:t>
            </w:r>
          </w:p>
        </w:tc>
        <w:tc>
          <w:tcPr>
            <w:tcW w:w="762" w:type="dxa"/>
            <w:tcBorders>
              <w:tl2br w:val="nil"/>
              <w:tr2bl w:val="nil"/>
            </w:tcBorders>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达标</w:t>
            </w:r>
          </w:p>
        </w:tc>
      </w:tr>
    </w:tbl>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5005" cy="3631565"/>
            <wp:effectExtent l="0" t="0" r="17145" b="6985"/>
            <wp:docPr id="6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9"/>
                    <pic:cNvPicPr>
                      <a:picLocks noChangeAspect="1"/>
                    </pic:cNvPicPr>
                  </pic:nvPicPr>
                  <pic:blipFill>
                    <a:blip r:embed="rId112"/>
                    <a:stretch>
                      <a:fillRect/>
                    </a:stretch>
                  </pic:blipFill>
                  <pic:spPr>
                    <a:xfrm>
                      <a:off x="0" y="0"/>
                      <a:ext cx="5755005" cy="363156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35" w:name="_Ref23568"/>
      <w:r>
        <w:rPr>
          <w:rFonts w:hint="eastAsia"/>
          <w:color w:val="auto"/>
          <w:highlight w:val="none"/>
          <w:lang w:val="en-US" w:eastAsia="zh-CN"/>
        </w:rPr>
        <w:t>SO</w:t>
      </w:r>
      <w:r>
        <w:rPr>
          <w:rFonts w:hint="eastAsia"/>
          <w:color w:val="auto"/>
          <w:highlight w:val="none"/>
          <w:vertAlign w:val="subscript"/>
          <w:lang w:val="en-US" w:eastAsia="zh-CN"/>
        </w:rPr>
        <w:t>2</w:t>
      </w:r>
      <w:r>
        <w:rPr>
          <w:rFonts w:hint="eastAsia"/>
          <w:color w:val="auto"/>
          <w:highlight w:val="none"/>
          <w:lang w:val="en-US" w:eastAsia="zh-CN"/>
        </w:rPr>
        <w:t>小时浓度影响分布图</w:t>
      </w:r>
      <w:bookmarkEnd w:id="535"/>
    </w:p>
    <w:p>
      <w:pPr>
        <w:ind w:left="0" w:leftChars="0" w:firstLine="0" w:firstLineChars="0"/>
        <w:rPr>
          <w:color w:val="auto"/>
        </w:rPr>
      </w:pPr>
      <w:r>
        <w:rPr>
          <w:color w:val="auto"/>
        </w:rPr>
        <w:drawing>
          <wp:inline distT="0" distB="0" distL="114300" distR="114300">
            <wp:extent cx="5756275" cy="3542665"/>
            <wp:effectExtent l="0" t="0" r="15875" b="635"/>
            <wp:docPr id="6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0"/>
                    <pic:cNvPicPr>
                      <a:picLocks noChangeAspect="1"/>
                    </pic:cNvPicPr>
                  </pic:nvPicPr>
                  <pic:blipFill>
                    <a:blip r:embed="rId113"/>
                    <a:stretch>
                      <a:fillRect/>
                    </a:stretch>
                  </pic:blipFill>
                  <pic:spPr>
                    <a:xfrm>
                      <a:off x="0" y="0"/>
                      <a:ext cx="5756275" cy="354266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r>
        <w:rPr>
          <w:rFonts w:hint="eastAsia"/>
          <w:color w:val="auto"/>
          <w:highlight w:val="none"/>
          <w:lang w:val="en-US" w:eastAsia="zh-CN"/>
        </w:rPr>
        <w:t>SO</w:t>
      </w:r>
      <w:r>
        <w:rPr>
          <w:rFonts w:hint="eastAsia"/>
          <w:color w:val="auto"/>
          <w:highlight w:val="none"/>
          <w:vertAlign w:val="subscript"/>
          <w:lang w:val="en-US" w:eastAsia="zh-CN"/>
        </w:rPr>
        <w:t>2</w:t>
      </w:r>
      <w:r>
        <w:rPr>
          <w:rFonts w:hint="eastAsia"/>
          <w:color w:val="auto"/>
          <w:highlight w:val="none"/>
          <w:lang w:val="en-US" w:eastAsia="zh-CN"/>
        </w:rPr>
        <w:t>日均浓度影响分布图</w:t>
      </w:r>
    </w:p>
    <w:p>
      <w:pPr>
        <w:ind w:left="0" w:leftChars="0" w:firstLine="0" w:firstLineChars="0"/>
        <w:jc w:val="center"/>
        <w:rPr>
          <w:rFonts w:hint="default" w:ascii="Times New Roman" w:hAnsi="Times New Roman" w:cs="Times New Roman"/>
          <w:color w:val="auto"/>
          <w:highlight w:val="none"/>
          <w:lang w:val="en-US" w:eastAsia="zh-CN"/>
        </w:rPr>
      </w:pPr>
      <w:r>
        <w:rPr>
          <w:color w:val="auto"/>
        </w:rPr>
        <w:drawing>
          <wp:inline distT="0" distB="0" distL="114300" distR="114300">
            <wp:extent cx="5754370" cy="3459480"/>
            <wp:effectExtent l="0" t="0" r="17780" b="7620"/>
            <wp:docPr id="6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1"/>
                    <pic:cNvPicPr>
                      <a:picLocks noChangeAspect="1"/>
                    </pic:cNvPicPr>
                  </pic:nvPicPr>
                  <pic:blipFill>
                    <a:blip r:embed="rId114"/>
                    <a:stretch>
                      <a:fillRect/>
                    </a:stretch>
                  </pic:blipFill>
                  <pic:spPr>
                    <a:xfrm>
                      <a:off x="0" y="0"/>
                      <a:ext cx="5754370" cy="345948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36" w:name="_Ref23574"/>
      <w:r>
        <w:rPr>
          <w:rFonts w:hint="eastAsia"/>
          <w:color w:val="auto"/>
          <w:highlight w:val="none"/>
          <w:lang w:val="en-US" w:eastAsia="zh-CN"/>
        </w:rPr>
        <w:t>SO</w:t>
      </w:r>
      <w:r>
        <w:rPr>
          <w:rFonts w:hint="eastAsia"/>
          <w:color w:val="auto"/>
          <w:highlight w:val="none"/>
          <w:vertAlign w:val="subscript"/>
          <w:lang w:val="en-US" w:eastAsia="zh-CN"/>
        </w:rPr>
        <w:t>2</w:t>
      </w:r>
      <w:r>
        <w:rPr>
          <w:rFonts w:hint="eastAsia"/>
          <w:color w:val="auto"/>
          <w:highlight w:val="none"/>
          <w:lang w:val="en-US" w:eastAsia="zh-CN"/>
        </w:rPr>
        <w:t>年均浓度影响分布图</w:t>
      </w:r>
      <w:bookmarkEnd w:id="536"/>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8815" cy="3679190"/>
            <wp:effectExtent l="0" t="0" r="13335" b="16510"/>
            <wp:docPr id="7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2"/>
                    <pic:cNvPicPr>
                      <a:picLocks noChangeAspect="1"/>
                    </pic:cNvPicPr>
                  </pic:nvPicPr>
                  <pic:blipFill>
                    <a:blip r:embed="rId115"/>
                    <a:stretch>
                      <a:fillRect/>
                    </a:stretch>
                  </pic:blipFill>
                  <pic:spPr>
                    <a:xfrm>
                      <a:off x="0" y="0"/>
                      <a:ext cx="5758815" cy="367919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37" w:name="_Ref23640"/>
      <w:r>
        <w:rPr>
          <w:rFonts w:hint="eastAsia"/>
          <w:color w:val="auto"/>
          <w:highlight w:val="none"/>
          <w:lang w:val="en-US" w:eastAsia="zh-CN"/>
        </w:rPr>
        <w:t>NO</w:t>
      </w:r>
      <w:r>
        <w:rPr>
          <w:rFonts w:hint="eastAsia"/>
          <w:color w:val="auto"/>
          <w:highlight w:val="none"/>
          <w:vertAlign w:val="subscript"/>
          <w:lang w:val="en-US" w:eastAsia="zh-CN"/>
        </w:rPr>
        <w:t>2</w:t>
      </w:r>
      <w:r>
        <w:rPr>
          <w:rFonts w:hint="eastAsia"/>
          <w:color w:val="auto"/>
          <w:highlight w:val="none"/>
          <w:lang w:val="en-US" w:eastAsia="zh-CN"/>
        </w:rPr>
        <w:t>小时浓度影响分布图</w:t>
      </w:r>
      <w:bookmarkEnd w:id="537"/>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6275" cy="3581400"/>
            <wp:effectExtent l="0" t="0" r="15875" b="0"/>
            <wp:docPr id="7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3"/>
                    <pic:cNvPicPr>
                      <a:picLocks noChangeAspect="1"/>
                    </pic:cNvPicPr>
                  </pic:nvPicPr>
                  <pic:blipFill>
                    <a:blip r:embed="rId116"/>
                    <a:stretch>
                      <a:fillRect/>
                    </a:stretch>
                  </pic:blipFill>
                  <pic:spPr>
                    <a:xfrm>
                      <a:off x="0" y="0"/>
                      <a:ext cx="5756275" cy="358140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r>
        <w:rPr>
          <w:rFonts w:hint="eastAsia"/>
          <w:color w:val="auto"/>
          <w:highlight w:val="none"/>
          <w:lang w:val="en-US" w:eastAsia="zh-CN"/>
        </w:rPr>
        <w:t>NO</w:t>
      </w:r>
      <w:r>
        <w:rPr>
          <w:rFonts w:hint="eastAsia"/>
          <w:color w:val="auto"/>
          <w:highlight w:val="none"/>
          <w:vertAlign w:val="subscript"/>
          <w:lang w:val="en-US" w:eastAsia="zh-CN"/>
        </w:rPr>
        <w:t>2</w:t>
      </w:r>
      <w:r>
        <w:rPr>
          <w:rFonts w:hint="eastAsia"/>
          <w:color w:val="auto"/>
          <w:highlight w:val="none"/>
          <w:lang w:val="en-US" w:eastAsia="zh-CN"/>
        </w:rPr>
        <w:t>日均浓度影响分布图</w:t>
      </w:r>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7545" cy="3475990"/>
            <wp:effectExtent l="0" t="0" r="14605" b="10160"/>
            <wp:docPr id="7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4"/>
                    <pic:cNvPicPr>
                      <a:picLocks noChangeAspect="1"/>
                    </pic:cNvPicPr>
                  </pic:nvPicPr>
                  <pic:blipFill>
                    <a:blip r:embed="rId117"/>
                    <a:stretch>
                      <a:fillRect/>
                    </a:stretch>
                  </pic:blipFill>
                  <pic:spPr>
                    <a:xfrm>
                      <a:off x="0" y="0"/>
                      <a:ext cx="5757545" cy="347599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38" w:name="_Ref23646"/>
      <w:r>
        <w:rPr>
          <w:rFonts w:hint="eastAsia"/>
          <w:color w:val="auto"/>
          <w:highlight w:val="none"/>
          <w:lang w:val="en-US" w:eastAsia="zh-CN"/>
        </w:rPr>
        <w:t>NO</w:t>
      </w:r>
      <w:r>
        <w:rPr>
          <w:rFonts w:hint="eastAsia"/>
          <w:color w:val="auto"/>
          <w:highlight w:val="none"/>
          <w:vertAlign w:val="subscript"/>
          <w:lang w:val="en-US" w:eastAsia="zh-CN"/>
        </w:rPr>
        <w:t>2</w:t>
      </w:r>
      <w:r>
        <w:rPr>
          <w:rFonts w:hint="eastAsia"/>
          <w:color w:val="auto"/>
          <w:highlight w:val="none"/>
          <w:lang w:val="en-US" w:eastAsia="zh-CN"/>
        </w:rPr>
        <w:t>年均浓度影响分布图</w:t>
      </w:r>
      <w:bookmarkEnd w:id="538"/>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5005" cy="3640455"/>
            <wp:effectExtent l="0" t="0" r="17145" b="17145"/>
            <wp:docPr id="9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9"/>
                    <pic:cNvPicPr>
                      <a:picLocks noChangeAspect="1"/>
                    </pic:cNvPicPr>
                  </pic:nvPicPr>
                  <pic:blipFill>
                    <a:blip r:embed="rId118"/>
                    <a:stretch>
                      <a:fillRect/>
                    </a:stretch>
                  </pic:blipFill>
                  <pic:spPr>
                    <a:xfrm>
                      <a:off x="0" y="0"/>
                      <a:ext cx="5755005" cy="3640455"/>
                    </a:xfrm>
                    <a:prstGeom prst="rect">
                      <a:avLst/>
                    </a:prstGeom>
                    <a:noFill/>
                    <a:ln>
                      <a:noFill/>
                    </a:ln>
                  </pic:spPr>
                </pic:pic>
              </a:graphicData>
            </a:graphic>
          </wp:inline>
        </w:drawing>
      </w:r>
    </w:p>
    <w:p>
      <w:pPr>
        <w:pStyle w:val="22"/>
        <w:numPr>
          <w:ilvl w:val="7"/>
          <w:numId w:val="3"/>
        </w:numPr>
        <w:bidi w:val="0"/>
        <w:rPr>
          <w:rFonts w:hint="default" w:ascii="Times New Roman" w:hAnsi="Times New Roman" w:cs="Times New Roman"/>
          <w:color w:val="auto"/>
          <w:highlight w:val="none"/>
          <w:lang w:val="en-US" w:eastAsia="zh-CN"/>
        </w:rPr>
      </w:pPr>
      <w:bookmarkStart w:id="539" w:name="_Ref23787"/>
      <w:r>
        <w:rPr>
          <w:rFonts w:hint="eastAsia"/>
          <w:color w:val="auto"/>
          <w:highlight w:val="none"/>
          <w:lang w:val="en-US" w:eastAsia="zh-CN"/>
        </w:rPr>
        <w:t>PM</w:t>
      </w:r>
      <w:r>
        <w:rPr>
          <w:rFonts w:hint="eastAsia"/>
          <w:color w:val="auto"/>
          <w:highlight w:val="none"/>
          <w:vertAlign w:val="subscript"/>
          <w:lang w:val="en-US" w:eastAsia="zh-CN"/>
        </w:rPr>
        <w:t>10</w:t>
      </w:r>
      <w:r>
        <w:rPr>
          <w:rFonts w:hint="eastAsia"/>
          <w:color w:val="auto"/>
          <w:highlight w:val="none"/>
          <w:vertAlign w:val="baseline"/>
          <w:lang w:val="en-US" w:eastAsia="zh-CN"/>
        </w:rPr>
        <w:t>日均</w:t>
      </w:r>
      <w:r>
        <w:rPr>
          <w:rFonts w:hint="eastAsia"/>
          <w:color w:val="auto"/>
          <w:highlight w:val="none"/>
          <w:lang w:val="en-US" w:eastAsia="zh-CN"/>
        </w:rPr>
        <w:t>浓度影响分布图</w:t>
      </w:r>
      <w:bookmarkEnd w:id="539"/>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60720" cy="3558540"/>
            <wp:effectExtent l="0" t="0" r="11430" b="3810"/>
            <wp:docPr id="9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0"/>
                    <pic:cNvPicPr>
                      <a:picLocks noChangeAspect="1"/>
                    </pic:cNvPicPr>
                  </pic:nvPicPr>
                  <pic:blipFill>
                    <a:blip r:embed="rId119"/>
                    <a:stretch>
                      <a:fillRect/>
                    </a:stretch>
                  </pic:blipFill>
                  <pic:spPr>
                    <a:xfrm>
                      <a:off x="0" y="0"/>
                      <a:ext cx="5760720" cy="355854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40" w:name="_Ref23790"/>
      <w:r>
        <w:rPr>
          <w:rFonts w:hint="eastAsia"/>
          <w:color w:val="auto"/>
          <w:highlight w:val="none"/>
          <w:lang w:val="en-US" w:eastAsia="zh-CN"/>
        </w:rPr>
        <w:t>PM</w:t>
      </w:r>
      <w:r>
        <w:rPr>
          <w:rFonts w:hint="eastAsia"/>
          <w:color w:val="auto"/>
          <w:highlight w:val="none"/>
          <w:vertAlign w:val="subscript"/>
          <w:lang w:val="en-US" w:eastAsia="zh-CN"/>
        </w:rPr>
        <w:t>10</w:t>
      </w:r>
      <w:r>
        <w:rPr>
          <w:rFonts w:hint="eastAsia"/>
          <w:color w:val="auto"/>
          <w:highlight w:val="none"/>
          <w:lang w:val="en-US" w:eastAsia="zh-CN"/>
        </w:rPr>
        <w:t>年均浓度影响分布图</w:t>
      </w:r>
      <w:bookmarkEnd w:id="540"/>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5005" cy="3761105"/>
            <wp:effectExtent l="0" t="0" r="17145" b="10795"/>
            <wp:docPr id="7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7"/>
                    <pic:cNvPicPr>
                      <a:picLocks noChangeAspect="1"/>
                    </pic:cNvPicPr>
                  </pic:nvPicPr>
                  <pic:blipFill>
                    <a:blip r:embed="rId120"/>
                    <a:stretch>
                      <a:fillRect/>
                    </a:stretch>
                  </pic:blipFill>
                  <pic:spPr>
                    <a:xfrm>
                      <a:off x="0" y="0"/>
                      <a:ext cx="5755005" cy="376110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41" w:name="_Ref23871"/>
      <w:r>
        <w:rPr>
          <w:rFonts w:hint="eastAsia"/>
          <w:color w:val="auto"/>
          <w:highlight w:val="none"/>
          <w:lang w:val="en-US" w:eastAsia="zh-CN"/>
        </w:rPr>
        <w:t>非甲烷总烃小时浓度影响分布图</w:t>
      </w:r>
      <w:bookmarkEnd w:id="541"/>
    </w:p>
    <w:p>
      <w:pPr>
        <w:ind w:left="0" w:leftChars="0" w:firstLine="0" w:firstLineChars="0"/>
        <w:rPr>
          <w:rFonts w:hint="eastAsia"/>
          <w:color w:val="auto"/>
          <w:highlight w:val="none"/>
          <w:lang w:val="en-US" w:eastAsia="zh-CN"/>
        </w:rPr>
      </w:pPr>
      <w:r>
        <w:rPr>
          <w:color w:val="auto"/>
        </w:rPr>
        <w:drawing>
          <wp:inline distT="0" distB="0" distL="114300" distR="114300">
            <wp:extent cx="5760720" cy="3550285"/>
            <wp:effectExtent l="0" t="0" r="11430" b="12065"/>
            <wp:docPr id="7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8"/>
                    <pic:cNvPicPr>
                      <a:picLocks noChangeAspect="1"/>
                    </pic:cNvPicPr>
                  </pic:nvPicPr>
                  <pic:blipFill>
                    <a:blip r:embed="rId121"/>
                    <a:stretch>
                      <a:fillRect/>
                    </a:stretch>
                  </pic:blipFill>
                  <pic:spPr>
                    <a:xfrm>
                      <a:off x="0" y="0"/>
                      <a:ext cx="5760720" cy="355028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42" w:name="_Ref23956"/>
      <w:r>
        <w:rPr>
          <w:rFonts w:hint="eastAsia"/>
          <w:color w:val="auto"/>
          <w:highlight w:val="none"/>
          <w:lang w:val="en-US" w:eastAsia="zh-CN"/>
        </w:rPr>
        <w:t>氨小时浓度影响分布图</w:t>
      </w:r>
      <w:bookmarkEnd w:id="542"/>
    </w:p>
    <w:p>
      <w:pPr>
        <w:ind w:left="0" w:leftChars="0" w:firstLine="0" w:firstLineChars="0"/>
        <w:rPr>
          <w:rFonts w:hint="default" w:ascii="Times New Roman" w:hAnsi="Times New Roman" w:cs="Times New Roman"/>
          <w:color w:val="auto"/>
          <w:highlight w:val="none"/>
          <w:lang w:val="en-US" w:eastAsia="zh-CN"/>
        </w:rPr>
      </w:pPr>
      <w:r>
        <w:rPr>
          <w:color w:val="auto"/>
        </w:rPr>
        <w:drawing>
          <wp:inline distT="0" distB="0" distL="114300" distR="114300">
            <wp:extent cx="5755640" cy="3423920"/>
            <wp:effectExtent l="0" t="0" r="16510" b="5080"/>
            <wp:docPr id="7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9"/>
                    <pic:cNvPicPr>
                      <a:picLocks noChangeAspect="1"/>
                    </pic:cNvPicPr>
                  </pic:nvPicPr>
                  <pic:blipFill>
                    <a:blip r:embed="rId122"/>
                    <a:stretch>
                      <a:fillRect/>
                    </a:stretch>
                  </pic:blipFill>
                  <pic:spPr>
                    <a:xfrm>
                      <a:off x="0" y="0"/>
                      <a:ext cx="5755640" cy="342392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43" w:name="_Ref24002"/>
      <w:r>
        <w:rPr>
          <w:rFonts w:hint="eastAsia"/>
          <w:color w:val="auto"/>
          <w:highlight w:val="none"/>
          <w:lang w:val="en-US" w:eastAsia="zh-CN"/>
        </w:rPr>
        <w:t>硫化氢小时浓度影响分布图</w:t>
      </w:r>
      <w:bookmarkEnd w:id="543"/>
    </w:p>
    <w:p>
      <w:pP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（2）项目叠加浓度预测结果与评价</w:t>
      </w:r>
    </w:p>
    <w:p>
      <w:pPr>
        <w:rPr>
          <w:color w:val="auto"/>
          <w:highlight w:val="none"/>
        </w:rPr>
      </w:pPr>
      <w:r>
        <w:rPr>
          <w:rFonts w:hint="eastAsia" w:ascii="Times New Roman" w:hAnsi="Times New Roman" w:cs="Times New Roman"/>
          <w:color w:val="auto"/>
          <w:highlight w:val="none"/>
          <w:lang w:val="en-US" w:eastAsia="zh-CN"/>
        </w:rPr>
        <w:t>根据项目现状监测因子及周边在建、拟建项目同类污染因子，确定本项目叠加现状浓度的污染因子为SO</w:t>
      </w:r>
      <w:r>
        <w:rPr>
          <w:rFonts w:hint="eastAsia" w:ascii="Times New Roman" w:hAnsi="Times New Roman" w:cs="Times New Roman"/>
          <w:color w:val="auto"/>
          <w:highlight w:val="none"/>
          <w:vertAlign w:val="subscript"/>
          <w:lang w:val="en-US" w:eastAsia="zh-CN"/>
        </w:rPr>
        <w:t>2</w:t>
      </w:r>
      <w:r>
        <w:rPr>
          <w:rFonts w:hint="eastAsia" w:ascii="Times New Roman" w:hAnsi="Times New Roman" w:cs="Times New Roman"/>
          <w:color w:val="auto"/>
          <w:highlight w:val="none"/>
          <w:lang w:val="en-US" w:eastAsia="zh-CN"/>
        </w:rPr>
        <w:t>、NO</w:t>
      </w:r>
      <w:r>
        <w:rPr>
          <w:rFonts w:hint="eastAsia" w:ascii="Times New Roman" w:hAnsi="Times New Roman" w:cs="Times New Roman"/>
          <w:color w:val="auto"/>
          <w:highlight w:val="none"/>
          <w:vertAlign w:val="subscript"/>
          <w:lang w:val="en-US" w:eastAsia="zh-CN"/>
        </w:rPr>
        <w:t>2</w:t>
      </w:r>
      <w:r>
        <w:rPr>
          <w:rFonts w:hint="eastAsia" w:ascii="Times New Roman" w:hAnsi="Times New Roman" w:cs="Times New Roman"/>
          <w:color w:val="auto"/>
          <w:highlight w:val="none"/>
          <w:lang w:val="en-US" w:eastAsia="zh-CN"/>
        </w:rPr>
        <w:t>、PM</w:t>
      </w:r>
      <w:r>
        <w:rPr>
          <w:rFonts w:hint="eastAsia" w:ascii="Times New Roman" w:hAnsi="Times New Roman" w:cs="Times New Roman"/>
          <w:color w:val="auto"/>
          <w:highlight w:val="none"/>
          <w:vertAlign w:val="subscript"/>
          <w:lang w:val="en-US" w:eastAsia="zh-CN"/>
        </w:rPr>
        <w:t>10</w:t>
      </w:r>
      <w:r>
        <w:rPr>
          <w:rFonts w:hint="eastAsia" w:ascii="Times New Roman" w:hAnsi="Times New Roman" w:cs="Times New Roman"/>
          <w:color w:val="auto"/>
          <w:highlight w:val="none"/>
          <w:lang w:val="en-US" w:eastAsia="zh-CN"/>
        </w:rPr>
        <w:t>、非甲烷总烃、氨、硫化氢。</w:t>
      </w:r>
      <w:r>
        <w:rPr>
          <w:color w:val="auto"/>
          <w:highlight w:val="none"/>
        </w:rPr>
        <w:t>本项目废气正常排放条件下，环境空气保护目标和网格点各污染物最大浓度及占标率预测结果如下：</w:t>
      </w:r>
    </w:p>
    <w:p>
      <w:pPr>
        <w:rPr>
          <w:rFonts w:hint="eastAsia"/>
          <w:color w:val="auto"/>
          <w:highlight w:val="none"/>
          <w:lang w:val="en-US" w:eastAsia="zh-CN"/>
        </w:rPr>
      </w:pPr>
      <w:r>
        <w:rPr>
          <w:rFonts w:hint="eastAsia"/>
          <w:color w:val="auto"/>
          <w:highlight w:val="none"/>
          <w:lang w:val="en-US" w:eastAsia="zh-CN"/>
        </w:rPr>
        <w:t>①SO</w:t>
      </w:r>
      <w:r>
        <w:rPr>
          <w:rFonts w:hint="eastAsia"/>
          <w:color w:val="auto"/>
          <w:highlight w:val="none"/>
          <w:vertAlign w:val="subscript"/>
          <w:lang w:val="en-US" w:eastAsia="zh-CN"/>
        </w:rPr>
        <w:t>2</w:t>
      </w:r>
      <w:r>
        <w:rPr>
          <w:rFonts w:hint="eastAsia"/>
          <w:color w:val="auto"/>
          <w:highlight w:val="none"/>
          <w:lang w:val="en-US" w:eastAsia="zh-CN"/>
        </w:rPr>
        <w:t>叠加现状（含已批在建、拟建项目）浓度影响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_Ref25142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对于敏感点而言，本项目排放的SO</w:t>
      </w:r>
      <w:r>
        <w:rPr>
          <w:rFonts w:hint="default" w:ascii="Times New Roman" w:hAnsi="Times New Roman" w:cs="Times New Roman"/>
          <w:color w:val="auto"/>
          <w:highlight w:val="none"/>
          <w:vertAlign w:val="subscript"/>
          <w:lang w:val="en-US" w:eastAsia="zh-CN"/>
        </w:rPr>
        <w:t>2</w:t>
      </w:r>
      <w:r>
        <w:rPr>
          <w:rFonts w:ascii="Times New Roman" w:hAnsi="Times New Roman"/>
          <w:color w:val="auto"/>
          <w:szCs w:val="22"/>
          <w:highlight w:val="none"/>
        </w:rPr>
        <w:t>叠加现状浓度后</w:t>
      </w:r>
      <w:r>
        <w:rPr>
          <w:rFonts w:hint="default" w:ascii="Times New Roman" w:hAnsi="Times New Roman" w:cs="Times New Roman"/>
          <w:color w:val="auto"/>
          <w:highlight w:val="none"/>
          <w:lang w:val="en-US" w:eastAsia="zh-CN"/>
        </w:rPr>
        <w:t>日均</w:t>
      </w:r>
      <w:r>
        <w:rPr>
          <w:rFonts w:hint="eastAsia" w:ascii="Times New Roman" w:hAnsi="Times New Roman" w:cs="Times New Roman"/>
          <w:color w:val="auto"/>
          <w:highlight w:val="none"/>
          <w:lang w:val="en-US" w:eastAsia="zh-CN"/>
        </w:rPr>
        <w:t>（98%保证率）</w:t>
      </w:r>
      <w:r>
        <w:rPr>
          <w:rFonts w:hint="default" w:ascii="Times New Roman" w:hAnsi="Times New Roman" w:cs="Times New Roman"/>
          <w:color w:val="auto"/>
          <w:highlight w:val="none"/>
          <w:lang w:val="en-US" w:eastAsia="zh-CN"/>
        </w:rPr>
        <w:t>、年均浓度</w:t>
      </w:r>
      <w:r>
        <w:rPr>
          <w:rFonts w:hint="eastAsia" w:ascii="Times New Roman" w:hAnsi="Times New Roman" w:cs="Times New Roman"/>
          <w:color w:val="auto"/>
          <w:highlight w:val="none"/>
          <w:lang w:val="en-US" w:eastAsia="zh-CN"/>
        </w:rPr>
        <w:t>均</w:t>
      </w:r>
      <w:r>
        <w:rPr>
          <w:rFonts w:hint="default" w:ascii="Times New Roman" w:hAnsi="Times New Roman" w:cs="Times New Roman"/>
          <w:color w:val="auto"/>
          <w:highlight w:val="none"/>
          <w:lang w:val="en-US" w:eastAsia="zh-CN"/>
        </w:rPr>
        <w:t>满足《环境空气质量标准》（GB3095-2012）二级标准要求。</w:t>
      </w:r>
      <w:r>
        <w:rPr>
          <w:rFonts w:hint="eastAsia" w:ascii="Times New Roman" w:hAnsi="Times New Roman" w:cs="Times New Roman"/>
          <w:color w:val="auto"/>
          <w:highlight w:val="none"/>
          <w:lang w:val="en-US" w:eastAsia="zh-CN"/>
        </w:rPr>
        <w:t>叠加现状浓度后区域最大落地浓度中</w:t>
      </w:r>
      <w:r>
        <w:rPr>
          <w:rFonts w:hint="default" w:ascii="Times New Roman" w:hAnsi="Times New Roman" w:cs="Times New Roman"/>
          <w:color w:val="auto"/>
          <w:highlight w:val="none"/>
          <w:lang w:val="en-US" w:eastAsia="zh-CN"/>
        </w:rPr>
        <w:t>，日均</w:t>
      </w:r>
      <w:r>
        <w:rPr>
          <w:rFonts w:hint="eastAsia" w:ascii="Times New Roman" w:hAnsi="Times New Roman" w:cs="Times New Roman"/>
          <w:color w:val="auto"/>
          <w:highlight w:val="none"/>
          <w:lang w:val="en-US" w:eastAsia="zh-CN"/>
        </w:rPr>
        <w:t>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8.0</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12.49</w:t>
      </w:r>
      <w:r>
        <w:rPr>
          <w:rFonts w:hint="default" w:ascii="Times New Roman" w:hAnsi="Times New Roman" w:cs="Times New Roman"/>
          <w:color w:val="auto"/>
          <w:highlight w:val="none"/>
          <w:lang w:val="en-US" w:eastAsia="zh-CN"/>
        </w:rPr>
        <w:t>%，年均</w:t>
      </w:r>
      <w:r>
        <w:rPr>
          <w:rFonts w:hint="eastAsia" w:ascii="Times New Roman" w:hAnsi="Times New Roman" w:cs="Times New Roman"/>
          <w:color w:val="auto"/>
          <w:highlight w:val="none"/>
          <w:lang w:val="en-US" w:eastAsia="zh-CN"/>
        </w:rPr>
        <w:t>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9.</w:t>
      </w:r>
      <w:r>
        <w:rPr>
          <w:rFonts w:hint="eastAsia" w:cs="Times New Roman"/>
          <w:color w:val="auto"/>
          <w:highlight w:val="none"/>
          <w:lang w:val="en-US" w:eastAsia="zh-CN"/>
        </w:rPr>
        <w:t>00</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15.</w:t>
      </w:r>
      <w:r>
        <w:rPr>
          <w:rFonts w:hint="eastAsia" w:cs="Times New Roman"/>
          <w:color w:val="auto"/>
          <w:highlight w:val="none"/>
          <w:lang w:val="en-US" w:eastAsia="zh-CN"/>
        </w:rPr>
        <w:t>44</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_Ref32352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图5.2-23</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_Ref19144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eastAsia"/>
          <w:color w:val="auto"/>
          <w:highlight w:val="none"/>
          <w:lang w:val="en-US" w:eastAsia="zh-CN"/>
        </w:rPr>
      </w:pPr>
      <w:bookmarkStart w:id="544" w:name="_Ref25142"/>
      <w:bookmarkEnd w:id="544"/>
      <w:bookmarkStart w:id="545" w:name="_Ref32156"/>
      <w:r>
        <w:rPr>
          <w:rFonts w:hint="eastAsia"/>
          <w:color w:val="auto"/>
          <w:highlight w:val="none"/>
          <w:lang w:val="en-US" w:eastAsia="zh-CN"/>
        </w:rPr>
        <w:t>叠加后SO</w:t>
      </w:r>
      <w:r>
        <w:rPr>
          <w:rFonts w:hint="eastAsia"/>
          <w:color w:val="auto"/>
          <w:highlight w:val="none"/>
          <w:vertAlign w:val="subscript"/>
          <w:lang w:val="en-US" w:eastAsia="zh-CN"/>
        </w:rPr>
        <w:t>2</w:t>
      </w:r>
      <w:r>
        <w:rPr>
          <w:rFonts w:hint="eastAsia"/>
          <w:color w:val="auto"/>
          <w:highlight w:val="none"/>
          <w:lang w:val="en-US" w:eastAsia="zh-CN"/>
        </w:rPr>
        <w:t>平均质量浓度预测结果表</w:t>
      </w:r>
      <w:bookmarkEnd w:id="545"/>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8"/>
        <w:gridCol w:w="907"/>
        <w:gridCol w:w="1133"/>
        <w:gridCol w:w="1125"/>
        <w:gridCol w:w="1162"/>
        <w:gridCol w:w="1144"/>
        <w:gridCol w:w="1050"/>
        <w:gridCol w:w="76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vAlign w:val="center"/>
          </w:tcPr>
          <w:p>
            <w:pPr>
              <w:pStyle w:val="21"/>
              <w:bidi w:val="0"/>
              <w:jc w:val="center"/>
              <w:rPr>
                <w:color w:val="auto"/>
                <w:highlight w:val="none"/>
              </w:rPr>
            </w:pPr>
            <w:r>
              <w:rPr>
                <w:color w:val="auto"/>
                <w:highlight w:val="none"/>
              </w:rPr>
              <w:t>序号</w:t>
            </w:r>
          </w:p>
        </w:tc>
        <w:tc>
          <w:tcPr>
            <w:tcW w:w="868" w:type="dxa"/>
            <w:vAlign w:val="center"/>
          </w:tcPr>
          <w:p>
            <w:pPr>
              <w:pStyle w:val="21"/>
              <w:bidi w:val="0"/>
              <w:jc w:val="center"/>
              <w:rPr>
                <w:color w:val="auto"/>
                <w:highlight w:val="none"/>
              </w:rPr>
            </w:pPr>
            <w:r>
              <w:rPr>
                <w:rFonts w:hint="eastAsia"/>
                <w:color w:val="auto"/>
                <w:highlight w:val="none"/>
                <w:lang w:val="en-US" w:eastAsia="zh-CN"/>
              </w:rPr>
              <w:t>预测</w:t>
            </w:r>
            <w:r>
              <w:rPr>
                <w:color w:val="auto"/>
                <w:highlight w:val="none"/>
              </w:rPr>
              <w:t>点名称</w:t>
            </w:r>
          </w:p>
        </w:tc>
        <w:tc>
          <w:tcPr>
            <w:tcW w:w="907" w:type="dxa"/>
            <w:vAlign w:val="center"/>
          </w:tcPr>
          <w:p>
            <w:pPr>
              <w:pStyle w:val="21"/>
              <w:bidi w:val="0"/>
              <w:jc w:val="center"/>
              <w:rPr>
                <w:color w:val="auto"/>
                <w:highlight w:val="none"/>
              </w:rPr>
            </w:pPr>
            <w:r>
              <w:rPr>
                <w:color w:val="auto"/>
                <w:highlight w:val="none"/>
              </w:rPr>
              <w:t>浓度</w:t>
            </w:r>
          </w:p>
          <w:p>
            <w:pPr>
              <w:pStyle w:val="21"/>
              <w:bidi w:val="0"/>
              <w:jc w:val="center"/>
              <w:rPr>
                <w:color w:val="auto"/>
                <w:highlight w:val="none"/>
              </w:rPr>
            </w:pPr>
            <w:r>
              <w:rPr>
                <w:color w:val="auto"/>
                <w:highlight w:val="none"/>
              </w:rPr>
              <w:t>类型</w:t>
            </w:r>
          </w:p>
        </w:tc>
        <w:tc>
          <w:tcPr>
            <w:tcW w:w="1133" w:type="dxa"/>
            <w:vAlign w:val="center"/>
          </w:tcPr>
          <w:p>
            <w:pPr>
              <w:pStyle w:val="21"/>
              <w:bidi w:val="0"/>
              <w:jc w:val="center"/>
              <w:rPr>
                <w:color w:val="auto"/>
                <w:highlight w:val="none"/>
              </w:rPr>
            </w:pPr>
            <w:r>
              <w:rPr>
                <w:color w:val="auto"/>
                <w:highlight w:val="none"/>
              </w:rPr>
              <w:t>浓度增量(mg/m</w:t>
            </w:r>
            <w:r>
              <w:rPr>
                <w:color w:val="auto"/>
                <w:highlight w:val="none"/>
                <w:vertAlign w:val="superscript"/>
              </w:rPr>
              <w:t>3</w:t>
            </w:r>
            <w:r>
              <w:rPr>
                <w:color w:val="auto"/>
                <w:highlight w:val="none"/>
              </w:rPr>
              <w:t>)</w:t>
            </w:r>
          </w:p>
        </w:tc>
        <w:tc>
          <w:tcPr>
            <w:tcW w:w="1125" w:type="dxa"/>
            <w:vAlign w:val="center"/>
          </w:tcPr>
          <w:p>
            <w:pPr>
              <w:pStyle w:val="21"/>
              <w:bidi w:val="0"/>
              <w:jc w:val="center"/>
              <w:rPr>
                <w:color w:val="auto"/>
                <w:highlight w:val="none"/>
              </w:rPr>
            </w:pPr>
            <w:r>
              <w:rPr>
                <w:color w:val="auto"/>
                <w:highlight w:val="none"/>
              </w:rPr>
              <w:t>出现时间(YYMMDDHH)</w:t>
            </w:r>
          </w:p>
        </w:tc>
        <w:tc>
          <w:tcPr>
            <w:tcW w:w="1162" w:type="dxa"/>
            <w:vAlign w:val="center"/>
          </w:tcPr>
          <w:p>
            <w:pPr>
              <w:pStyle w:val="21"/>
              <w:bidi w:val="0"/>
              <w:jc w:val="center"/>
              <w:rPr>
                <w:color w:val="auto"/>
                <w:highlight w:val="none"/>
              </w:rPr>
            </w:pPr>
            <w:r>
              <w:rPr>
                <w:color w:val="auto"/>
                <w:highlight w:val="none"/>
              </w:rPr>
              <w:t>背景浓度（mg/m</w:t>
            </w:r>
            <w:r>
              <w:rPr>
                <w:color w:val="auto"/>
                <w:highlight w:val="none"/>
                <w:vertAlign w:val="superscript"/>
              </w:rPr>
              <w:t>3</w:t>
            </w:r>
            <w:r>
              <w:rPr>
                <w:color w:val="auto"/>
                <w:highlight w:val="none"/>
              </w:rPr>
              <w:t>）</w:t>
            </w:r>
          </w:p>
        </w:tc>
        <w:tc>
          <w:tcPr>
            <w:tcW w:w="1144" w:type="dxa"/>
            <w:vAlign w:val="center"/>
          </w:tcPr>
          <w:p>
            <w:pPr>
              <w:pStyle w:val="21"/>
              <w:bidi w:val="0"/>
              <w:jc w:val="center"/>
              <w:rPr>
                <w:color w:val="auto"/>
                <w:highlight w:val="none"/>
              </w:rPr>
            </w:pPr>
            <w:r>
              <w:rPr>
                <w:color w:val="auto"/>
                <w:highlight w:val="none"/>
              </w:rPr>
              <w:t>叠加后</w:t>
            </w:r>
          </w:p>
          <w:p>
            <w:pPr>
              <w:pStyle w:val="21"/>
              <w:bidi w:val="0"/>
              <w:jc w:val="center"/>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1050" w:type="dxa"/>
            <w:vAlign w:val="center"/>
          </w:tcPr>
          <w:p>
            <w:pPr>
              <w:pStyle w:val="21"/>
              <w:bidi w:val="0"/>
              <w:jc w:val="center"/>
              <w:rPr>
                <w:color w:val="auto"/>
                <w:highlight w:val="none"/>
              </w:rPr>
            </w:pPr>
            <w:r>
              <w:rPr>
                <w:color w:val="auto"/>
                <w:highlight w:val="none"/>
              </w:rPr>
              <w:t>评价标准(mg/m</w:t>
            </w:r>
            <w:r>
              <w:rPr>
                <w:color w:val="auto"/>
                <w:highlight w:val="none"/>
                <w:vertAlign w:val="superscript"/>
              </w:rPr>
              <w:t>3</w:t>
            </w:r>
            <w:r>
              <w:rPr>
                <w:color w:val="auto"/>
                <w:highlight w:val="none"/>
              </w:rPr>
              <w:t>)</w:t>
            </w:r>
          </w:p>
        </w:tc>
        <w:tc>
          <w:tcPr>
            <w:tcW w:w="769" w:type="dxa"/>
            <w:vAlign w:val="center"/>
          </w:tcPr>
          <w:p>
            <w:pPr>
              <w:pStyle w:val="21"/>
              <w:bidi w:val="0"/>
              <w:jc w:val="center"/>
              <w:rPr>
                <w:color w:val="auto"/>
                <w:highlight w:val="none"/>
              </w:rPr>
            </w:pPr>
            <w:r>
              <w:rPr>
                <w:color w:val="auto"/>
                <w:highlight w:val="none"/>
              </w:rPr>
              <w:t>占标率%</w:t>
            </w:r>
          </w:p>
        </w:tc>
        <w:tc>
          <w:tcPr>
            <w:tcW w:w="697" w:type="dxa"/>
            <w:vAlign w:val="center"/>
          </w:tcPr>
          <w:p>
            <w:pPr>
              <w:pStyle w:val="21"/>
              <w:bidi w:val="0"/>
              <w:jc w:val="center"/>
              <w:rPr>
                <w:color w:val="auto"/>
                <w:highlight w:val="none"/>
              </w:rPr>
            </w:pPr>
            <w:r>
              <w:rPr>
                <w:color w:val="auto"/>
                <w:highlight w:val="none"/>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1</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6.12E-04</w:t>
            </w:r>
          </w:p>
        </w:tc>
        <w:tc>
          <w:tcPr>
            <w:tcW w:w="1125" w:type="dxa"/>
            <w:vAlign w:val="center"/>
          </w:tcPr>
          <w:p>
            <w:pPr>
              <w:pStyle w:val="21"/>
              <w:bidi w:val="0"/>
              <w:rPr>
                <w:rFonts w:hint="default"/>
                <w:color w:val="auto"/>
              </w:rPr>
            </w:pPr>
            <w:r>
              <w:rPr>
                <w:rFonts w:hint="eastAsia"/>
                <w:color w:val="auto"/>
              </w:rPr>
              <w:t>190930</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1.86E-02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12.41</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1.14E-04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9.11E-03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lang w:val="en-US" w:eastAsia="zh-CN"/>
              </w:rPr>
            </w:pPr>
            <w:r>
              <w:rPr>
                <w:rFonts w:hint="eastAsia"/>
                <w:color w:val="auto"/>
              </w:rPr>
              <w:t>15.19</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2</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2.67E-04</w:t>
            </w:r>
          </w:p>
        </w:tc>
        <w:tc>
          <w:tcPr>
            <w:tcW w:w="1125" w:type="dxa"/>
            <w:vAlign w:val="center"/>
          </w:tcPr>
          <w:p>
            <w:pPr>
              <w:pStyle w:val="21"/>
              <w:bidi w:val="0"/>
              <w:rPr>
                <w:rFonts w:hint="default"/>
                <w:color w:val="auto"/>
              </w:rPr>
            </w:pPr>
            <w:r>
              <w:rPr>
                <w:rFonts w:hint="eastAsia"/>
                <w:color w:val="auto"/>
              </w:rPr>
              <w:t>190507</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1.83E-02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eastAsia"/>
                <w:color w:val="auto"/>
                <w:lang w:eastAsia="zh-CN"/>
              </w:rPr>
            </w:pPr>
            <w:r>
              <w:rPr>
                <w:rFonts w:hint="eastAsia"/>
                <w:color w:val="auto"/>
              </w:rPr>
              <w:t>12.18</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6.00E-05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9.06E-03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eastAsia"/>
                <w:color w:val="auto"/>
                <w:lang w:eastAsia="zh-CN"/>
              </w:rPr>
            </w:pPr>
            <w:r>
              <w:rPr>
                <w:rFonts w:hint="eastAsia"/>
                <w:color w:val="auto"/>
              </w:rPr>
              <w:t>15.10</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3</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1.26E-04</w:t>
            </w:r>
          </w:p>
        </w:tc>
        <w:tc>
          <w:tcPr>
            <w:tcW w:w="1125" w:type="dxa"/>
            <w:vAlign w:val="center"/>
          </w:tcPr>
          <w:p>
            <w:pPr>
              <w:pStyle w:val="21"/>
              <w:bidi w:val="0"/>
              <w:rPr>
                <w:rFonts w:hint="default"/>
                <w:color w:val="auto"/>
              </w:rPr>
            </w:pPr>
            <w:r>
              <w:rPr>
                <w:rFonts w:hint="eastAsia"/>
                <w:color w:val="auto"/>
              </w:rPr>
              <w:t>190427</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1.81E-02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12.08</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3.63E-05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9.04E-03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rPr>
            </w:pPr>
            <w:r>
              <w:rPr>
                <w:rFonts w:hint="eastAsia"/>
                <w:color w:val="auto"/>
              </w:rPr>
              <w:t>15.06</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4</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1.35E-04</w:t>
            </w:r>
          </w:p>
        </w:tc>
        <w:tc>
          <w:tcPr>
            <w:tcW w:w="1125" w:type="dxa"/>
            <w:vAlign w:val="center"/>
          </w:tcPr>
          <w:p>
            <w:pPr>
              <w:pStyle w:val="21"/>
              <w:bidi w:val="0"/>
              <w:rPr>
                <w:rFonts w:hint="default"/>
                <w:color w:val="auto"/>
              </w:rPr>
            </w:pPr>
            <w:r>
              <w:rPr>
                <w:rFonts w:hint="eastAsia"/>
                <w:color w:val="auto"/>
              </w:rPr>
              <w:t>190430</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1.81E-02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lang w:val="en-US" w:eastAsia="zh-CN"/>
              </w:rPr>
            </w:pPr>
            <w:r>
              <w:rPr>
                <w:rFonts w:hint="eastAsia"/>
                <w:color w:val="auto"/>
              </w:rPr>
              <w:t>12.09</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5.49E-05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9.05E-03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rPr>
            </w:pPr>
            <w:r>
              <w:rPr>
                <w:rFonts w:hint="eastAsia"/>
                <w:color w:val="auto"/>
              </w:rPr>
              <w:t>15.09</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5</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6.97E-05</w:t>
            </w:r>
          </w:p>
        </w:tc>
        <w:tc>
          <w:tcPr>
            <w:tcW w:w="1125" w:type="dxa"/>
            <w:vAlign w:val="center"/>
          </w:tcPr>
          <w:p>
            <w:pPr>
              <w:pStyle w:val="21"/>
              <w:bidi w:val="0"/>
              <w:rPr>
                <w:rFonts w:hint="default"/>
                <w:color w:val="auto"/>
              </w:rPr>
            </w:pPr>
            <w:r>
              <w:rPr>
                <w:rFonts w:hint="eastAsia"/>
                <w:color w:val="auto"/>
              </w:rPr>
              <w:t>191219</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1.81E-02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12.05</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1.78E-05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9.02E-03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rPr>
            </w:pPr>
            <w:r>
              <w:rPr>
                <w:rFonts w:hint="eastAsia"/>
                <w:color w:val="auto"/>
              </w:rPr>
              <w:t>15.03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6</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2.99E-05</w:t>
            </w:r>
          </w:p>
        </w:tc>
        <w:tc>
          <w:tcPr>
            <w:tcW w:w="1125" w:type="dxa"/>
            <w:vAlign w:val="center"/>
          </w:tcPr>
          <w:p>
            <w:pPr>
              <w:pStyle w:val="21"/>
              <w:bidi w:val="0"/>
              <w:rPr>
                <w:rFonts w:hint="default"/>
                <w:color w:val="auto"/>
              </w:rPr>
            </w:pPr>
            <w:r>
              <w:rPr>
                <w:rFonts w:hint="eastAsia"/>
                <w:color w:val="auto"/>
              </w:rPr>
              <w:t>190811</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1.80E-02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12.02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6.00E-06</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9.01E-03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rPr>
            </w:pPr>
            <w:r>
              <w:rPr>
                <w:rFonts w:hint="eastAsia"/>
                <w:color w:val="auto"/>
              </w:rPr>
              <w:t>15.01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7</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1.75E-04</w:t>
            </w:r>
          </w:p>
        </w:tc>
        <w:tc>
          <w:tcPr>
            <w:tcW w:w="1125" w:type="dxa"/>
            <w:vAlign w:val="center"/>
          </w:tcPr>
          <w:p>
            <w:pPr>
              <w:pStyle w:val="21"/>
              <w:bidi w:val="0"/>
              <w:rPr>
                <w:rFonts w:hint="default"/>
                <w:color w:val="auto"/>
              </w:rPr>
            </w:pPr>
            <w:r>
              <w:rPr>
                <w:rFonts w:hint="eastAsia"/>
                <w:color w:val="auto"/>
              </w:rPr>
              <w:t>190906</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1.82E-02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12.12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8.73E-05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9.09E-03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rPr>
            </w:pPr>
            <w:r>
              <w:rPr>
                <w:rFonts w:hint="eastAsia"/>
                <w:color w:val="auto"/>
              </w:rPr>
              <w:t>15.15</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eastAsia" w:eastAsia="宋体"/>
                <w:color w:val="auto"/>
                <w:highlight w:val="none"/>
                <w:lang w:val="en-US" w:eastAsia="zh-CN"/>
              </w:rPr>
            </w:pPr>
            <w:r>
              <w:rPr>
                <w:rFonts w:hint="eastAsia" w:cs="Times New Roman"/>
                <w:color w:val="auto"/>
                <w:highlight w:val="none"/>
                <w:lang w:val="en-US" w:eastAsia="zh-CN"/>
              </w:rPr>
              <w:t>8</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1.05E-04</w:t>
            </w:r>
          </w:p>
        </w:tc>
        <w:tc>
          <w:tcPr>
            <w:tcW w:w="1125" w:type="dxa"/>
            <w:vAlign w:val="center"/>
          </w:tcPr>
          <w:p>
            <w:pPr>
              <w:pStyle w:val="21"/>
              <w:bidi w:val="0"/>
              <w:rPr>
                <w:rFonts w:hint="default"/>
                <w:color w:val="auto"/>
              </w:rPr>
            </w:pPr>
            <w:r>
              <w:rPr>
                <w:rFonts w:hint="eastAsia"/>
                <w:color w:val="auto"/>
              </w:rPr>
              <w:t>190711</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1.81E-02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12.07</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4.03E-05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9.00E-03</w:t>
            </w:r>
          </w:p>
        </w:tc>
        <w:tc>
          <w:tcPr>
            <w:tcW w:w="1144" w:type="dxa"/>
            <w:vAlign w:val="center"/>
          </w:tcPr>
          <w:p>
            <w:pPr>
              <w:pStyle w:val="21"/>
              <w:bidi w:val="0"/>
              <w:rPr>
                <w:rFonts w:hint="default"/>
                <w:color w:val="auto"/>
              </w:rPr>
            </w:pPr>
            <w:r>
              <w:rPr>
                <w:rFonts w:hint="eastAsia"/>
                <w:color w:val="auto"/>
              </w:rPr>
              <w:t>9.04E-03</w:t>
            </w:r>
          </w:p>
        </w:tc>
        <w:tc>
          <w:tcPr>
            <w:tcW w:w="1050" w:type="dxa"/>
            <w:vAlign w:val="center"/>
          </w:tcPr>
          <w:p>
            <w:pPr>
              <w:pStyle w:val="21"/>
              <w:bidi w:val="0"/>
              <w:rPr>
                <w:rFonts w:hint="default"/>
                <w:color w:val="auto"/>
              </w:rPr>
            </w:pPr>
            <w:r>
              <w:rPr>
                <w:rFonts w:hint="eastAsia"/>
                <w:color w:val="auto"/>
              </w:rPr>
              <w:t>6.00E-02</w:t>
            </w:r>
          </w:p>
        </w:tc>
        <w:tc>
          <w:tcPr>
            <w:tcW w:w="769" w:type="dxa"/>
            <w:vAlign w:val="center"/>
          </w:tcPr>
          <w:p>
            <w:pPr>
              <w:pStyle w:val="21"/>
              <w:bidi w:val="0"/>
              <w:rPr>
                <w:rFonts w:hint="default"/>
                <w:color w:val="auto"/>
              </w:rPr>
            </w:pPr>
            <w:r>
              <w:rPr>
                <w:rFonts w:hint="eastAsia"/>
                <w:color w:val="auto"/>
              </w:rPr>
              <w:t>15.07</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9</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小洋</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2.60E-05</w:t>
            </w:r>
          </w:p>
        </w:tc>
        <w:tc>
          <w:tcPr>
            <w:tcW w:w="1125" w:type="dxa"/>
            <w:vAlign w:val="center"/>
          </w:tcPr>
          <w:p>
            <w:pPr>
              <w:pStyle w:val="21"/>
              <w:bidi w:val="0"/>
              <w:rPr>
                <w:rFonts w:hint="eastAsia"/>
                <w:color w:val="auto"/>
              </w:rPr>
            </w:pPr>
            <w:r>
              <w:rPr>
                <w:rFonts w:hint="eastAsia"/>
                <w:color w:val="auto"/>
              </w:rPr>
              <w:t>191227</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12.02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5.34E-06</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9.00E-03</w:t>
            </w:r>
          </w:p>
        </w:tc>
        <w:tc>
          <w:tcPr>
            <w:tcW w:w="1144" w:type="dxa"/>
            <w:vAlign w:val="center"/>
          </w:tcPr>
          <w:p>
            <w:pPr>
              <w:pStyle w:val="21"/>
              <w:bidi w:val="0"/>
              <w:rPr>
                <w:rFonts w:hint="eastAsia"/>
                <w:color w:val="auto"/>
              </w:rPr>
            </w:pPr>
            <w:r>
              <w:rPr>
                <w:rFonts w:hint="eastAsia"/>
                <w:color w:val="auto"/>
              </w:rPr>
              <w:t>9.01E-03</w:t>
            </w:r>
          </w:p>
        </w:tc>
        <w:tc>
          <w:tcPr>
            <w:tcW w:w="1050" w:type="dxa"/>
            <w:vAlign w:val="center"/>
          </w:tcPr>
          <w:p>
            <w:pPr>
              <w:pStyle w:val="21"/>
              <w:bidi w:val="0"/>
              <w:rPr>
                <w:rFonts w:hint="eastAsia"/>
                <w:color w:val="auto"/>
              </w:rPr>
            </w:pPr>
            <w:r>
              <w:rPr>
                <w:rFonts w:hint="eastAsia"/>
                <w:color w:val="auto"/>
              </w:rPr>
              <w:t>6.00E-02</w:t>
            </w:r>
          </w:p>
        </w:tc>
        <w:tc>
          <w:tcPr>
            <w:tcW w:w="769" w:type="dxa"/>
            <w:vAlign w:val="center"/>
          </w:tcPr>
          <w:p>
            <w:pPr>
              <w:pStyle w:val="21"/>
              <w:bidi w:val="0"/>
              <w:rPr>
                <w:rFonts w:hint="eastAsia"/>
                <w:color w:val="auto"/>
              </w:rPr>
            </w:pPr>
            <w:r>
              <w:rPr>
                <w:rFonts w:hint="eastAsia"/>
                <w:color w:val="auto"/>
              </w:rPr>
              <w:t>15.01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10</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竹栏头</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3.34E-05</w:t>
            </w:r>
          </w:p>
        </w:tc>
        <w:tc>
          <w:tcPr>
            <w:tcW w:w="1125" w:type="dxa"/>
            <w:vAlign w:val="center"/>
          </w:tcPr>
          <w:p>
            <w:pPr>
              <w:pStyle w:val="21"/>
              <w:bidi w:val="0"/>
              <w:rPr>
                <w:rFonts w:hint="eastAsia"/>
                <w:color w:val="auto"/>
              </w:rPr>
            </w:pPr>
            <w:r>
              <w:rPr>
                <w:rFonts w:hint="eastAsia"/>
                <w:color w:val="auto"/>
              </w:rPr>
              <w:t>190801</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12.02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5.28E-06</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9.00E-03</w:t>
            </w:r>
          </w:p>
        </w:tc>
        <w:tc>
          <w:tcPr>
            <w:tcW w:w="1144" w:type="dxa"/>
            <w:vAlign w:val="center"/>
          </w:tcPr>
          <w:p>
            <w:pPr>
              <w:pStyle w:val="21"/>
              <w:bidi w:val="0"/>
              <w:rPr>
                <w:rFonts w:hint="eastAsia"/>
                <w:color w:val="auto"/>
              </w:rPr>
            </w:pPr>
            <w:r>
              <w:rPr>
                <w:rFonts w:hint="eastAsia"/>
                <w:color w:val="auto"/>
              </w:rPr>
              <w:t>9.01E-03</w:t>
            </w:r>
          </w:p>
        </w:tc>
        <w:tc>
          <w:tcPr>
            <w:tcW w:w="1050" w:type="dxa"/>
            <w:vAlign w:val="center"/>
          </w:tcPr>
          <w:p>
            <w:pPr>
              <w:pStyle w:val="21"/>
              <w:bidi w:val="0"/>
              <w:rPr>
                <w:rFonts w:hint="eastAsia"/>
                <w:color w:val="auto"/>
              </w:rPr>
            </w:pPr>
            <w:r>
              <w:rPr>
                <w:rFonts w:hint="eastAsia"/>
                <w:color w:val="auto"/>
              </w:rPr>
              <w:t>6.00E-02</w:t>
            </w:r>
          </w:p>
        </w:tc>
        <w:tc>
          <w:tcPr>
            <w:tcW w:w="769" w:type="dxa"/>
            <w:vAlign w:val="center"/>
          </w:tcPr>
          <w:p>
            <w:pPr>
              <w:pStyle w:val="21"/>
              <w:bidi w:val="0"/>
              <w:rPr>
                <w:rFonts w:hint="eastAsia"/>
                <w:color w:val="auto"/>
              </w:rPr>
            </w:pPr>
            <w:r>
              <w:rPr>
                <w:rFonts w:hint="eastAsia"/>
                <w:color w:val="auto"/>
              </w:rPr>
              <w:t>15.01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11</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东岭头</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1.93E-05</w:t>
            </w:r>
          </w:p>
        </w:tc>
        <w:tc>
          <w:tcPr>
            <w:tcW w:w="1125" w:type="dxa"/>
            <w:vAlign w:val="center"/>
          </w:tcPr>
          <w:p>
            <w:pPr>
              <w:pStyle w:val="21"/>
              <w:bidi w:val="0"/>
              <w:rPr>
                <w:rFonts w:hint="eastAsia"/>
                <w:color w:val="auto"/>
              </w:rPr>
            </w:pPr>
            <w:r>
              <w:rPr>
                <w:rFonts w:hint="eastAsia"/>
                <w:color w:val="auto"/>
              </w:rPr>
              <w:t>190318</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12.01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5.06E-06</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9.00E-03</w:t>
            </w:r>
          </w:p>
        </w:tc>
        <w:tc>
          <w:tcPr>
            <w:tcW w:w="1144" w:type="dxa"/>
            <w:vAlign w:val="center"/>
          </w:tcPr>
          <w:p>
            <w:pPr>
              <w:pStyle w:val="21"/>
              <w:bidi w:val="0"/>
              <w:rPr>
                <w:rFonts w:hint="eastAsia"/>
                <w:color w:val="auto"/>
              </w:rPr>
            </w:pPr>
            <w:r>
              <w:rPr>
                <w:rFonts w:hint="eastAsia"/>
                <w:color w:val="auto"/>
              </w:rPr>
              <w:t>9.01E-03</w:t>
            </w:r>
          </w:p>
        </w:tc>
        <w:tc>
          <w:tcPr>
            <w:tcW w:w="1050" w:type="dxa"/>
            <w:vAlign w:val="center"/>
          </w:tcPr>
          <w:p>
            <w:pPr>
              <w:pStyle w:val="21"/>
              <w:bidi w:val="0"/>
              <w:rPr>
                <w:rFonts w:hint="eastAsia"/>
                <w:color w:val="auto"/>
              </w:rPr>
            </w:pPr>
            <w:r>
              <w:rPr>
                <w:rFonts w:hint="eastAsia"/>
                <w:color w:val="auto"/>
              </w:rPr>
              <w:t>6.00E-02</w:t>
            </w:r>
          </w:p>
        </w:tc>
        <w:tc>
          <w:tcPr>
            <w:tcW w:w="769" w:type="dxa"/>
            <w:vAlign w:val="center"/>
          </w:tcPr>
          <w:p>
            <w:pPr>
              <w:pStyle w:val="21"/>
              <w:bidi w:val="0"/>
              <w:rPr>
                <w:rFonts w:hint="eastAsia"/>
                <w:color w:val="auto"/>
              </w:rPr>
            </w:pPr>
            <w:r>
              <w:rPr>
                <w:rFonts w:hint="eastAsia"/>
                <w:color w:val="auto"/>
              </w:rPr>
              <w:t>15.01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12</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秦家洋</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6.25E-06</w:t>
            </w:r>
          </w:p>
        </w:tc>
        <w:tc>
          <w:tcPr>
            <w:tcW w:w="1125" w:type="dxa"/>
            <w:vAlign w:val="center"/>
          </w:tcPr>
          <w:p>
            <w:pPr>
              <w:pStyle w:val="21"/>
              <w:bidi w:val="0"/>
              <w:rPr>
                <w:rFonts w:hint="eastAsia"/>
                <w:color w:val="auto"/>
              </w:rPr>
            </w:pPr>
            <w:r>
              <w:rPr>
                <w:rFonts w:hint="eastAsia"/>
                <w:color w:val="auto"/>
              </w:rPr>
              <w:t>190214</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12.00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5.50E-07</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9.00E-03</w:t>
            </w:r>
          </w:p>
        </w:tc>
        <w:tc>
          <w:tcPr>
            <w:tcW w:w="1144" w:type="dxa"/>
            <w:vAlign w:val="center"/>
          </w:tcPr>
          <w:p>
            <w:pPr>
              <w:pStyle w:val="21"/>
              <w:bidi w:val="0"/>
              <w:rPr>
                <w:rFonts w:hint="eastAsia"/>
                <w:color w:val="auto"/>
              </w:rPr>
            </w:pPr>
            <w:r>
              <w:rPr>
                <w:rFonts w:hint="eastAsia"/>
                <w:color w:val="auto"/>
              </w:rPr>
              <w:t>9.00E-03</w:t>
            </w:r>
          </w:p>
        </w:tc>
        <w:tc>
          <w:tcPr>
            <w:tcW w:w="1050" w:type="dxa"/>
            <w:vAlign w:val="center"/>
          </w:tcPr>
          <w:p>
            <w:pPr>
              <w:pStyle w:val="21"/>
              <w:bidi w:val="0"/>
              <w:rPr>
                <w:rFonts w:hint="eastAsia"/>
                <w:color w:val="auto"/>
              </w:rPr>
            </w:pPr>
            <w:r>
              <w:rPr>
                <w:rFonts w:hint="eastAsia"/>
                <w:color w:val="auto"/>
              </w:rPr>
              <w:t>6.00E-02</w:t>
            </w:r>
          </w:p>
        </w:tc>
        <w:tc>
          <w:tcPr>
            <w:tcW w:w="769" w:type="dxa"/>
            <w:vAlign w:val="center"/>
          </w:tcPr>
          <w:p>
            <w:pPr>
              <w:pStyle w:val="21"/>
              <w:bidi w:val="0"/>
              <w:rPr>
                <w:rFonts w:hint="eastAsia"/>
                <w:color w:val="auto"/>
              </w:rPr>
            </w:pPr>
            <w:r>
              <w:rPr>
                <w:rFonts w:hint="eastAsia"/>
                <w:color w:val="auto"/>
              </w:rPr>
              <w:t>15.00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13</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山后</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1.57E-05</w:t>
            </w:r>
          </w:p>
        </w:tc>
        <w:tc>
          <w:tcPr>
            <w:tcW w:w="1125" w:type="dxa"/>
            <w:vAlign w:val="center"/>
          </w:tcPr>
          <w:p>
            <w:pPr>
              <w:pStyle w:val="21"/>
              <w:bidi w:val="0"/>
              <w:rPr>
                <w:rFonts w:hint="eastAsia"/>
                <w:color w:val="auto"/>
              </w:rPr>
            </w:pPr>
            <w:r>
              <w:rPr>
                <w:rFonts w:hint="eastAsia"/>
                <w:color w:val="auto"/>
              </w:rPr>
              <w:t>190702</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12.01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1.19E-06</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9.00E-03</w:t>
            </w:r>
          </w:p>
        </w:tc>
        <w:tc>
          <w:tcPr>
            <w:tcW w:w="1144" w:type="dxa"/>
            <w:vAlign w:val="center"/>
          </w:tcPr>
          <w:p>
            <w:pPr>
              <w:pStyle w:val="21"/>
              <w:bidi w:val="0"/>
              <w:rPr>
                <w:rFonts w:hint="eastAsia"/>
                <w:color w:val="auto"/>
              </w:rPr>
            </w:pPr>
            <w:r>
              <w:rPr>
                <w:rFonts w:hint="eastAsia"/>
                <w:color w:val="auto"/>
              </w:rPr>
              <w:t>9.00E-03</w:t>
            </w:r>
          </w:p>
        </w:tc>
        <w:tc>
          <w:tcPr>
            <w:tcW w:w="1050" w:type="dxa"/>
            <w:vAlign w:val="center"/>
          </w:tcPr>
          <w:p>
            <w:pPr>
              <w:pStyle w:val="21"/>
              <w:bidi w:val="0"/>
              <w:rPr>
                <w:rFonts w:hint="eastAsia"/>
                <w:color w:val="auto"/>
              </w:rPr>
            </w:pPr>
            <w:r>
              <w:rPr>
                <w:rFonts w:hint="eastAsia"/>
                <w:color w:val="auto"/>
              </w:rPr>
              <w:t>6.00E-02</w:t>
            </w:r>
          </w:p>
        </w:tc>
        <w:tc>
          <w:tcPr>
            <w:tcW w:w="769" w:type="dxa"/>
            <w:vAlign w:val="center"/>
          </w:tcPr>
          <w:p>
            <w:pPr>
              <w:pStyle w:val="21"/>
              <w:bidi w:val="0"/>
              <w:rPr>
                <w:rFonts w:hint="eastAsia"/>
                <w:color w:val="auto"/>
              </w:rPr>
            </w:pPr>
            <w:r>
              <w:rPr>
                <w:rFonts w:hint="eastAsia"/>
                <w:color w:val="auto"/>
              </w:rPr>
              <w:t>15.00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14</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网格</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7.30E-04</w:t>
            </w:r>
          </w:p>
        </w:tc>
        <w:tc>
          <w:tcPr>
            <w:tcW w:w="1125" w:type="dxa"/>
            <w:vAlign w:val="center"/>
          </w:tcPr>
          <w:p>
            <w:pPr>
              <w:pStyle w:val="21"/>
              <w:bidi w:val="0"/>
              <w:rPr>
                <w:rFonts w:hint="eastAsia"/>
                <w:color w:val="auto"/>
              </w:rPr>
            </w:pPr>
            <w:r>
              <w:rPr>
                <w:rFonts w:hint="eastAsia"/>
                <w:color w:val="auto"/>
              </w:rPr>
              <w:t>191128</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1.87E-02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12.49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2.64E-04</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9.00E-03</w:t>
            </w:r>
          </w:p>
        </w:tc>
        <w:tc>
          <w:tcPr>
            <w:tcW w:w="1144" w:type="dxa"/>
            <w:vAlign w:val="center"/>
          </w:tcPr>
          <w:p>
            <w:pPr>
              <w:pStyle w:val="21"/>
              <w:bidi w:val="0"/>
              <w:rPr>
                <w:rFonts w:hint="eastAsia"/>
                <w:color w:val="auto"/>
              </w:rPr>
            </w:pPr>
            <w:r>
              <w:rPr>
                <w:rFonts w:hint="eastAsia"/>
                <w:color w:val="auto"/>
              </w:rPr>
              <w:t>9.26E-03</w:t>
            </w:r>
          </w:p>
        </w:tc>
        <w:tc>
          <w:tcPr>
            <w:tcW w:w="1050" w:type="dxa"/>
            <w:vAlign w:val="center"/>
          </w:tcPr>
          <w:p>
            <w:pPr>
              <w:pStyle w:val="21"/>
              <w:bidi w:val="0"/>
              <w:rPr>
                <w:rFonts w:hint="eastAsia"/>
                <w:color w:val="auto"/>
              </w:rPr>
            </w:pPr>
            <w:r>
              <w:rPr>
                <w:rFonts w:hint="eastAsia"/>
                <w:color w:val="auto"/>
              </w:rPr>
              <w:t>6.00E-02</w:t>
            </w:r>
          </w:p>
        </w:tc>
        <w:tc>
          <w:tcPr>
            <w:tcW w:w="769" w:type="dxa"/>
            <w:vAlign w:val="center"/>
          </w:tcPr>
          <w:p>
            <w:pPr>
              <w:pStyle w:val="21"/>
              <w:bidi w:val="0"/>
              <w:rPr>
                <w:rFonts w:hint="eastAsia"/>
                <w:color w:val="auto"/>
              </w:rPr>
            </w:pPr>
            <w:r>
              <w:rPr>
                <w:rFonts w:hint="eastAsia"/>
                <w:color w:val="auto"/>
              </w:rPr>
              <w:t>15.44</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bl>
    <w:p>
      <w:pPr>
        <w:rPr>
          <w:rFonts w:hint="eastAsia"/>
          <w:color w:val="auto"/>
          <w:highlight w:val="none"/>
          <w:lang w:val="en-US" w:eastAsia="zh-CN"/>
        </w:rPr>
      </w:pPr>
      <w:r>
        <w:rPr>
          <w:rFonts w:hint="eastAsia"/>
          <w:color w:val="auto"/>
          <w:highlight w:val="none"/>
          <w:lang w:val="en-US" w:eastAsia="zh-CN"/>
        </w:rPr>
        <w:t>②NO</w:t>
      </w:r>
      <w:r>
        <w:rPr>
          <w:rFonts w:hint="eastAsia"/>
          <w:color w:val="auto"/>
          <w:highlight w:val="none"/>
          <w:vertAlign w:val="subscript"/>
          <w:lang w:val="en-US" w:eastAsia="zh-CN"/>
        </w:rPr>
        <w:t>2</w:t>
      </w:r>
      <w:r>
        <w:rPr>
          <w:rFonts w:hint="eastAsia"/>
          <w:color w:val="auto"/>
          <w:highlight w:val="none"/>
          <w:lang w:val="en-US" w:eastAsia="zh-CN"/>
        </w:rPr>
        <w:t>叠加现状（含已批在建、拟建项目）浓度影响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ascii="Times New Roman" w:hAnsi="Times New Roman" w:cs="Times New Roman"/>
          <w:color w:val="auto"/>
          <w:highlight w:val="none"/>
          <w:lang w:val="en-US" w:eastAsia="zh-CN"/>
        </w:rPr>
        <w:t>N</w:t>
      </w:r>
      <w:r>
        <w:rPr>
          <w:rFonts w:hint="default" w:ascii="Times New Roman" w:hAnsi="Times New Roman" w:cs="Times New Roman"/>
          <w:color w:val="auto"/>
          <w:highlight w:val="none"/>
          <w:lang w:val="en-US" w:eastAsia="zh-CN"/>
        </w:rPr>
        <w:t>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_Ref31572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ascii="Times New Roman" w:hAnsi="Times New Roman" w:cs="Times New Roman"/>
          <w:color w:val="auto"/>
          <w:highlight w:val="none"/>
          <w:lang w:val="en-US" w:eastAsia="zh-CN"/>
        </w:rPr>
        <w:t>N</w:t>
      </w:r>
      <w:r>
        <w:rPr>
          <w:rFonts w:hint="default" w:ascii="Times New Roman" w:hAnsi="Times New Roman" w:cs="Times New Roman"/>
          <w:color w:val="auto"/>
          <w:highlight w:val="none"/>
          <w:lang w:val="en-US" w:eastAsia="zh-CN"/>
        </w:rPr>
        <w:t>O</w:t>
      </w:r>
      <w:r>
        <w:rPr>
          <w:rFonts w:hint="default" w:ascii="Times New Roman" w:hAnsi="Times New Roman" w:cs="Times New Roman"/>
          <w:color w:val="auto"/>
          <w:highlight w:val="none"/>
          <w:vertAlign w:val="subscript"/>
          <w:lang w:val="en-US" w:eastAsia="zh-CN"/>
        </w:rPr>
        <w:t>2</w:t>
      </w:r>
      <w:r>
        <w:rPr>
          <w:rFonts w:ascii="Times New Roman" w:hAnsi="Times New Roman"/>
          <w:color w:val="auto"/>
          <w:szCs w:val="22"/>
          <w:highlight w:val="none"/>
        </w:rPr>
        <w:t>叠加现状浓度后</w:t>
      </w:r>
      <w:r>
        <w:rPr>
          <w:rFonts w:hint="default" w:ascii="Times New Roman" w:hAnsi="Times New Roman" w:cs="Times New Roman"/>
          <w:color w:val="auto"/>
          <w:highlight w:val="none"/>
          <w:lang w:val="en-US" w:eastAsia="zh-CN"/>
        </w:rPr>
        <w:t>日均</w:t>
      </w:r>
      <w:r>
        <w:rPr>
          <w:rFonts w:hint="eastAsia" w:ascii="Times New Roman" w:hAnsi="Times New Roman" w:cs="Times New Roman"/>
          <w:color w:val="auto"/>
          <w:highlight w:val="none"/>
          <w:lang w:val="en-US" w:eastAsia="zh-CN"/>
        </w:rPr>
        <w:t>（98%保证率）</w:t>
      </w:r>
      <w:r>
        <w:rPr>
          <w:rFonts w:hint="default" w:ascii="Times New Roman" w:hAnsi="Times New Roman" w:cs="Times New Roman"/>
          <w:color w:val="auto"/>
          <w:highlight w:val="none"/>
          <w:lang w:val="en-US" w:eastAsia="zh-CN"/>
        </w:rPr>
        <w:t>、年均浓度</w:t>
      </w:r>
      <w:r>
        <w:rPr>
          <w:rFonts w:hint="eastAsia" w:ascii="Times New Roman" w:hAnsi="Times New Roman" w:cs="Times New Roman"/>
          <w:color w:val="auto"/>
          <w:highlight w:val="none"/>
          <w:lang w:val="en-US" w:eastAsia="zh-CN"/>
        </w:rPr>
        <w:t>均</w:t>
      </w:r>
      <w:r>
        <w:rPr>
          <w:rFonts w:hint="default" w:ascii="Times New Roman" w:hAnsi="Times New Roman" w:cs="Times New Roman"/>
          <w:color w:val="auto"/>
          <w:highlight w:val="none"/>
          <w:lang w:val="en-US" w:eastAsia="zh-CN"/>
        </w:rPr>
        <w:t>满足《环境空气质量标准》（GB3095-2012）二级标准要求。</w:t>
      </w:r>
      <w:r>
        <w:rPr>
          <w:rFonts w:hint="eastAsia" w:ascii="Times New Roman" w:hAnsi="Times New Roman" w:cs="Times New Roman"/>
          <w:color w:val="auto"/>
          <w:highlight w:val="none"/>
          <w:lang w:val="en-US" w:eastAsia="zh-CN"/>
        </w:rPr>
        <w:t>叠加现状浓度后区域最大落地浓度中</w:t>
      </w:r>
      <w:r>
        <w:rPr>
          <w:rFonts w:hint="default" w:ascii="Times New Roman" w:hAnsi="Times New Roman" w:cs="Times New Roman"/>
          <w:color w:val="auto"/>
          <w:highlight w:val="none"/>
          <w:lang w:val="en-US" w:eastAsia="zh-CN"/>
        </w:rPr>
        <w:t>，日均</w:t>
      </w:r>
      <w:r>
        <w:rPr>
          <w:rFonts w:hint="eastAsia" w:ascii="Times New Roman" w:hAnsi="Times New Roman" w:cs="Times New Roman"/>
          <w:color w:val="auto"/>
          <w:highlight w:val="none"/>
          <w:lang w:val="en-US" w:eastAsia="zh-CN"/>
        </w:rPr>
        <w:t>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4</w:t>
      </w:r>
      <w:r>
        <w:rPr>
          <w:rFonts w:hint="eastAsia" w:cs="Times New Roman"/>
          <w:color w:val="auto"/>
          <w:highlight w:val="none"/>
          <w:lang w:val="en-US" w:eastAsia="zh-CN"/>
        </w:rPr>
        <w:t>5.0</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5</w:t>
      </w:r>
      <w:r>
        <w:rPr>
          <w:rFonts w:hint="eastAsia" w:cs="Times New Roman"/>
          <w:color w:val="auto"/>
          <w:highlight w:val="none"/>
          <w:lang w:val="en-US" w:eastAsia="zh-CN"/>
        </w:rPr>
        <w:t>6.30</w:t>
      </w:r>
      <w:r>
        <w:rPr>
          <w:rFonts w:hint="default" w:ascii="Times New Roman" w:hAnsi="Times New Roman" w:cs="Times New Roman"/>
          <w:color w:val="auto"/>
          <w:highlight w:val="none"/>
          <w:lang w:val="en-US" w:eastAsia="zh-CN"/>
        </w:rPr>
        <w:t>%，年均</w:t>
      </w:r>
      <w:r>
        <w:rPr>
          <w:rFonts w:hint="eastAsia" w:ascii="Times New Roman" w:hAnsi="Times New Roman" w:cs="Times New Roman"/>
          <w:color w:val="auto"/>
          <w:highlight w:val="none"/>
          <w:lang w:val="en-US" w:eastAsia="zh-CN"/>
        </w:rPr>
        <w:t>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19.4</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48.</w:t>
      </w:r>
      <w:r>
        <w:rPr>
          <w:rFonts w:hint="eastAsia" w:cs="Times New Roman"/>
          <w:color w:val="auto"/>
          <w:highlight w:val="none"/>
          <w:lang w:val="en-US" w:eastAsia="zh-CN"/>
        </w:rPr>
        <w:t>61</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_Ref32267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图5.2-25</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_Ref32274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图5.2-26</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eastAsia"/>
          <w:color w:val="auto"/>
          <w:highlight w:val="none"/>
          <w:lang w:val="en-US" w:eastAsia="zh-CN"/>
        </w:rPr>
      </w:pPr>
      <w:bookmarkStart w:id="546" w:name="_Ref31572"/>
      <w:r>
        <w:rPr>
          <w:rFonts w:hint="eastAsia"/>
          <w:color w:val="auto"/>
          <w:highlight w:val="none"/>
          <w:lang w:val="en-US" w:eastAsia="zh-CN"/>
        </w:rPr>
        <w:t>叠加后NO</w:t>
      </w:r>
      <w:r>
        <w:rPr>
          <w:rFonts w:hint="eastAsia"/>
          <w:color w:val="auto"/>
          <w:highlight w:val="none"/>
          <w:vertAlign w:val="subscript"/>
          <w:lang w:val="en-US" w:eastAsia="zh-CN"/>
        </w:rPr>
        <w:t>2</w:t>
      </w:r>
      <w:r>
        <w:rPr>
          <w:rFonts w:hint="eastAsia"/>
          <w:color w:val="auto"/>
          <w:highlight w:val="none"/>
          <w:lang w:val="en-US" w:eastAsia="zh-CN"/>
        </w:rPr>
        <w:t>平均质量浓度预测结果表</w:t>
      </w:r>
      <w:bookmarkEnd w:id="546"/>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8"/>
        <w:gridCol w:w="907"/>
        <w:gridCol w:w="1133"/>
        <w:gridCol w:w="1125"/>
        <w:gridCol w:w="1162"/>
        <w:gridCol w:w="1144"/>
        <w:gridCol w:w="1050"/>
        <w:gridCol w:w="76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vAlign w:val="center"/>
          </w:tcPr>
          <w:p>
            <w:pPr>
              <w:pStyle w:val="21"/>
              <w:bidi w:val="0"/>
              <w:jc w:val="center"/>
              <w:rPr>
                <w:color w:val="auto"/>
                <w:highlight w:val="none"/>
              </w:rPr>
            </w:pPr>
            <w:r>
              <w:rPr>
                <w:color w:val="auto"/>
                <w:highlight w:val="none"/>
              </w:rPr>
              <w:t>序号</w:t>
            </w:r>
          </w:p>
        </w:tc>
        <w:tc>
          <w:tcPr>
            <w:tcW w:w="868" w:type="dxa"/>
            <w:vAlign w:val="center"/>
          </w:tcPr>
          <w:p>
            <w:pPr>
              <w:pStyle w:val="21"/>
              <w:bidi w:val="0"/>
              <w:jc w:val="center"/>
              <w:rPr>
                <w:color w:val="auto"/>
                <w:highlight w:val="none"/>
              </w:rPr>
            </w:pPr>
            <w:r>
              <w:rPr>
                <w:rFonts w:hint="eastAsia"/>
                <w:color w:val="auto"/>
                <w:highlight w:val="none"/>
                <w:lang w:val="en-US" w:eastAsia="zh-CN"/>
              </w:rPr>
              <w:t>预测</w:t>
            </w:r>
            <w:r>
              <w:rPr>
                <w:color w:val="auto"/>
                <w:highlight w:val="none"/>
              </w:rPr>
              <w:t>点名称</w:t>
            </w:r>
          </w:p>
        </w:tc>
        <w:tc>
          <w:tcPr>
            <w:tcW w:w="907" w:type="dxa"/>
            <w:vAlign w:val="center"/>
          </w:tcPr>
          <w:p>
            <w:pPr>
              <w:pStyle w:val="21"/>
              <w:bidi w:val="0"/>
              <w:jc w:val="center"/>
              <w:rPr>
                <w:color w:val="auto"/>
                <w:highlight w:val="none"/>
              </w:rPr>
            </w:pPr>
            <w:r>
              <w:rPr>
                <w:color w:val="auto"/>
                <w:highlight w:val="none"/>
              </w:rPr>
              <w:t>浓度</w:t>
            </w:r>
          </w:p>
          <w:p>
            <w:pPr>
              <w:pStyle w:val="21"/>
              <w:bidi w:val="0"/>
              <w:jc w:val="center"/>
              <w:rPr>
                <w:color w:val="auto"/>
                <w:highlight w:val="none"/>
              </w:rPr>
            </w:pPr>
            <w:r>
              <w:rPr>
                <w:color w:val="auto"/>
                <w:highlight w:val="none"/>
              </w:rPr>
              <w:t>类型</w:t>
            </w:r>
          </w:p>
        </w:tc>
        <w:tc>
          <w:tcPr>
            <w:tcW w:w="1133" w:type="dxa"/>
            <w:vAlign w:val="center"/>
          </w:tcPr>
          <w:p>
            <w:pPr>
              <w:pStyle w:val="21"/>
              <w:bidi w:val="0"/>
              <w:jc w:val="center"/>
              <w:rPr>
                <w:color w:val="auto"/>
                <w:highlight w:val="none"/>
              </w:rPr>
            </w:pPr>
            <w:r>
              <w:rPr>
                <w:color w:val="auto"/>
                <w:highlight w:val="none"/>
              </w:rPr>
              <w:t>浓度增量(mg/m</w:t>
            </w:r>
            <w:r>
              <w:rPr>
                <w:color w:val="auto"/>
                <w:highlight w:val="none"/>
                <w:vertAlign w:val="superscript"/>
              </w:rPr>
              <w:t>3</w:t>
            </w:r>
            <w:r>
              <w:rPr>
                <w:color w:val="auto"/>
                <w:highlight w:val="none"/>
              </w:rPr>
              <w:t>)</w:t>
            </w:r>
          </w:p>
        </w:tc>
        <w:tc>
          <w:tcPr>
            <w:tcW w:w="1125" w:type="dxa"/>
            <w:vAlign w:val="center"/>
          </w:tcPr>
          <w:p>
            <w:pPr>
              <w:pStyle w:val="21"/>
              <w:bidi w:val="0"/>
              <w:jc w:val="center"/>
              <w:rPr>
                <w:color w:val="auto"/>
                <w:highlight w:val="none"/>
              </w:rPr>
            </w:pPr>
            <w:r>
              <w:rPr>
                <w:color w:val="auto"/>
                <w:highlight w:val="none"/>
              </w:rPr>
              <w:t>出现时间(YYMMDDHH)</w:t>
            </w:r>
          </w:p>
        </w:tc>
        <w:tc>
          <w:tcPr>
            <w:tcW w:w="1162" w:type="dxa"/>
            <w:vAlign w:val="center"/>
          </w:tcPr>
          <w:p>
            <w:pPr>
              <w:pStyle w:val="21"/>
              <w:bidi w:val="0"/>
              <w:jc w:val="center"/>
              <w:rPr>
                <w:color w:val="auto"/>
                <w:highlight w:val="none"/>
              </w:rPr>
            </w:pPr>
            <w:r>
              <w:rPr>
                <w:color w:val="auto"/>
                <w:highlight w:val="none"/>
              </w:rPr>
              <w:t>背景浓度（mg/m</w:t>
            </w:r>
            <w:r>
              <w:rPr>
                <w:color w:val="auto"/>
                <w:highlight w:val="none"/>
                <w:vertAlign w:val="superscript"/>
              </w:rPr>
              <w:t>3</w:t>
            </w:r>
            <w:r>
              <w:rPr>
                <w:color w:val="auto"/>
                <w:highlight w:val="none"/>
              </w:rPr>
              <w:t>）</w:t>
            </w:r>
          </w:p>
        </w:tc>
        <w:tc>
          <w:tcPr>
            <w:tcW w:w="1144" w:type="dxa"/>
            <w:vAlign w:val="center"/>
          </w:tcPr>
          <w:p>
            <w:pPr>
              <w:pStyle w:val="21"/>
              <w:bidi w:val="0"/>
              <w:jc w:val="center"/>
              <w:rPr>
                <w:color w:val="auto"/>
                <w:highlight w:val="none"/>
              </w:rPr>
            </w:pPr>
            <w:r>
              <w:rPr>
                <w:color w:val="auto"/>
                <w:highlight w:val="none"/>
              </w:rPr>
              <w:t>叠加后</w:t>
            </w:r>
          </w:p>
          <w:p>
            <w:pPr>
              <w:pStyle w:val="21"/>
              <w:bidi w:val="0"/>
              <w:jc w:val="center"/>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1050" w:type="dxa"/>
            <w:vAlign w:val="center"/>
          </w:tcPr>
          <w:p>
            <w:pPr>
              <w:pStyle w:val="21"/>
              <w:bidi w:val="0"/>
              <w:jc w:val="center"/>
              <w:rPr>
                <w:color w:val="auto"/>
                <w:highlight w:val="none"/>
              </w:rPr>
            </w:pPr>
            <w:r>
              <w:rPr>
                <w:color w:val="auto"/>
                <w:highlight w:val="none"/>
              </w:rPr>
              <w:t>评价标准(mg/m</w:t>
            </w:r>
            <w:r>
              <w:rPr>
                <w:color w:val="auto"/>
                <w:highlight w:val="none"/>
                <w:vertAlign w:val="superscript"/>
              </w:rPr>
              <w:t>3</w:t>
            </w:r>
            <w:r>
              <w:rPr>
                <w:color w:val="auto"/>
                <w:highlight w:val="none"/>
              </w:rPr>
              <w:t>)</w:t>
            </w:r>
          </w:p>
        </w:tc>
        <w:tc>
          <w:tcPr>
            <w:tcW w:w="769" w:type="dxa"/>
            <w:vAlign w:val="center"/>
          </w:tcPr>
          <w:p>
            <w:pPr>
              <w:pStyle w:val="21"/>
              <w:bidi w:val="0"/>
              <w:jc w:val="center"/>
              <w:rPr>
                <w:color w:val="auto"/>
                <w:highlight w:val="none"/>
              </w:rPr>
            </w:pPr>
            <w:r>
              <w:rPr>
                <w:color w:val="auto"/>
                <w:highlight w:val="none"/>
              </w:rPr>
              <w:t>占标率%</w:t>
            </w:r>
          </w:p>
        </w:tc>
        <w:tc>
          <w:tcPr>
            <w:tcW w:w="697" w:type="dxa"/>
            <w:vAlign w:val="center"/>
          </w:tcPr>
          <w:p>
            <w:pPr>
              <w:pStyle w:val="21"/>
              <w:bidi w:val="0"/>
              <w:jc w:val="center"/>
              <w:rPr>
                <w:color w:val="auto"/>
                <w:highlight w:val="none"/>
              </w:rPr>
            </w:pPr>
            <w:r>
              <w:rPr>
                <w:color w:val="auto"/>
                <w:highlight w:val="none"/>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1</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2.16E-03</w:t>
            </w:r>
          </w:p>
        </w:tc>
        <w:tc>
          <w:tcPr>
            <w:tcW w:w="1125" w:type="dxa"/>
            <w:vAlign w:val="center"/>
          </w:tcPr>
          <w:p>
            <w:pPr>
              <w:pStyle w:val="21"/>
              <w:bidi w:val="0"/>
              <w:rPr>
                <w:rFonts w:hint="default"/>
                <w:color w:val="auto"/>
              </w:rPr>
            </w:pPr>
            <w:r>
              <w:rPr>
                <w:rFonts w:hint="eastAsia"/>
                <w:color w:val="auto"/>
              </w:rPr>
              <w:t>190930</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4.42E-02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rPr>
            </w:pPr>
            <w:r>
              <w:rPr>
                <w:rFonts w:hint="eastAsia"/>
                <w:color w:val="auto"/>
              </w:rPr>
              <w:t>55.20</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4.54E-04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1.85E-02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lang w:val="en-US" w:eastAsia="zh-CN"/>
              </w:rPr>
            </w:pPr>
            <w:r>
              <w:rPr>
                <w:rFonts w:hint="eastAsia"/>
                <w:color w:val="auto"/>
              </w:rPr>
              <w:t>46.13</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2</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1.04E-03</w:t>
            </w:r>
          </w:p>
        </w:tc>
        <w:tc>
          <w:tcPr>
            <w:tcW w:w="1125" w:type="dxa"/>
            <w:vAlign w:val="center"/>
          </w:tcPr>
          <w:p>
            <w:pPr>
              <w:pStyle w:val="21"/>
              <w:bidi w:val="0"/>
              <w:rPr>
                <w:rFonts w:hint="default"/>
                <w:color w:val="auto"/>
              </w:rPr>
            </w:pPr>
            <w:r>
              <w:rPr>
                <w:rFonts w:hint="eastAsia"/>
                <w:color w:val="auto"/>
              </w:rPr>
              <w:t>191227</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4.30E-02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eastAsia"/>
                <w:color w:val="auto"/>
                <w:lang w:eastAsia="zh-CN"/>
              </w:rPr>
            </w:pPr>
            <w:r>
              <w:rPr>
                <w:rFonts w:hint="eastAsia"/>
                <w:color w:val="auto"/>
              </w:rPr>
              <w:t>53.80</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2.42E-04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1.82E-02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eastAsia"/>
                <w:color w:val="auto"/>
                <w:lang w:eastAsia="zh-CN"/>
              </w:rPr>
            </w:pPr>
            <w:r>
              <w:rPr>
                <w:rFonts w:hint="eastAsia"/>
                <w:color w:val="auto"/>
              </w:rPr>
              <w:t>45.61</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3</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5.45E-04</w:t>
            </w:r>
          </w:p>
        </w:tc>
        <w:tc>
          <w:tcPr>
            <w:tcW w:w="1125" w:type="dxa"/>
            <w:vAlign w:val="center"/>
          </w:tcPr>
          <w:p>
            <w:pPr>
              <w:pStyle w:val="21"/>
              <w:bidi w:val="0"/>
              <w:rPr>
                <w:rFonts w:hint="default"/>
                <w:color w:val="auto"/>
              </w:rPr>
            </w:pPr>
            <w:r>
              <w:rPr>
                <w:rFonts w:hint="eastAsia"/>
                <w:color w:val="auto"/>
              </w:rPr>
              <w:t>191004</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4.25E-02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rPr>
            </w:pPr>
            <w:r>
              <w:rPr>
                <w:rFonts w:hint="eastAsia"/>
                <w:color w:val="auto"/>
              </w:rPr>
              <w:t>53.18</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1.49E-04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1.81E-02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rPr>
            </w:pPr>
            <w:r>
              <w:rPr>
                <w:rFonts w:hint="eastAsia"/>
                <w:color w:val="auto"/>
              </w:rPr>
              <w:t>45.37</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4</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6.06E-04</w:t>
            </w:r>
          </w:p>
        </w:tc>
        <w:tc>
          <w:tcPr>
            <w:tcW w:w="1125" w:type="dxa"/>
            <w:vAlign w:val="center"/>
          </w:tcPr>
          <w:p>
            <w:pPr>
              <w:pStyle w:val="21"/>
              <w:bidi w:val="0"/>
              <w:rPr>
                <w:rFonts w:hint="default"/>
                <w:color w:val="auto"/>
              </w:rPr>
            </w:pPr>
            <w:r>
              <w:rPr>
                <w:rFonts w:hint="eastAsia"/>
                <w:color w:val="auto"/>
              </w:rPr>
              <w:t>190430</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4.26E-02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lang w:val="en-US" w:eastAsia="zh-CN"/>
              </w:rPr>
            </w:pPr>
            <w:r>
              <w:rPr>
                <w:rFonts w:hint="eastAsia"/>
                <w:color w:val="auto"/>
              </w:rPr>
              <w:t>53.26</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2.40E-04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1.82E-02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rPr>
            </w:pPr>
            <w:r>
              <w:rPr>
                <w:rFonts w:hint="eastAsia"/>
                <w:color w:val="auto"/>
              </w:rPr>
              <w:t>45.60</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5</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3.06E-04</w:t>
            </w:r>
          </w:p>
        </w:tc>
        <w:tc>
          <w:tcPr>
            <w:tcW w:w="1125" w:type="dxa"/>
            <w:vAlign w:val="center"/>
          </w:tcPr>
          <w:p>
            <w:pPr>
              <w:pStyle w:val="21"/>
              <w:bidi w:val="0"/>
              <w:rPr>
                <w:rFonts w:hint="default"/>
                <w:color w:val="auto"/>
              </w:rPr>
            </w:pPr>
            <w:r>
              <w:rPr>
                <w:rFonts w:hint="eastAsia"/>
                <w:color w:val="auto"/>
              </w:rPr>
              <w:t>191218</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4.23E-02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rPr>
            </w:pPr>
            <w:r>
              <w:rPr>
                <w:rFonts w:hint="eastAsia"/>
                <w:color w:val="auto"/>
              </w:rPr>
              <w:t>52.88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7.83E-05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1.81E-02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rPr>
            </w:pPr>
            <w:r>
              <w:rPr>
                <w:rFonts w:hint="eastAsia"/>
                <w:color w:val="auto"/>
              </w:rPr>
              <w:t>45.20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6</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1.33E-04</w:t>
            </w:r>
          </w:p>
        </w:tc>
        <w:tc>
          <w:tcPr>
            <w:tcW w:w="1125" w:type="dxa"/>
            <w:vAlign w:val="center"/>
          </w:tcPr>
          <w:p>
            <w:pPr>
              <w:pStyle w:val="21"/>
              <w:bidi w:val="0"/>
              <w:rPr>
                <w:rFonts w:hint="default"/>
                <w:color w:val="auto"/>
              </w:rPr>
            </w:pPr>
            <w:r>
              <w:rPr>
                <w:rFonts w:hint="eastAsia"/>
                <w:color w:val="auto"/>
              </w:rPr>
              <w:t>190811</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4.21E-02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rPr>
            </w:pPr>
            <w:r>
              <w:rPr>
                <w:rFonts w:hint="eastAsia"/>
                <w:color w:val="auto"/>
              </w:rPr>
              <w:t>52.67</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2.70E-05</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1.80E-02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rPr>
            </w:pPr>
            <w:r>
              <w:rPr>
                <w:rFonts w:hint="eastAsia"/>
                <w:color w:val="auto"/>
              </w:rPr>
              <w:t>45.07</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7</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8.25E-04</w:t>
            </w:r>
          </w:p>
        </w:tc>
        <w:tc>
          <w:tcPr>
            <w:tcW w:w="1125" w:type="dxa"/>
            <w:vAlign w:val="center"/>
          </w:tcPr>
          <w:p>
            <w:pPr>
              <w:pStyle w:val="21"/>
              <w:bidi w:val="0"/>
              <w:rPr>
                <w:rFonts w:hint="default"/>
                <w:color w:val="auto"/>
              </w:rPr>
            </w:pPr>
            <w:r>
              <w:rPr>
                <w:rFonts w:hint="eastAsia"/>
                <w:color w:val="auto"/>
              </w:rPr>
              <w:t>190705</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4.28E-02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rPr>
            </w:pPr>
            <w:r>
              <w:rPr>
                <w:rFonts w:hint="eastAsia"/>
                <w:color w:val="auto"/>
              </w:rPr>
              <w:t>53.53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4.13E-04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1.84E-02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rPr>
            </w:pPr>
            <w:r>
              <w:rPr>
                <w:rFonts w:hint="eastAsia"/>
                <w:color w:val="auto"/>
              </w:rPr>
              <w:t>46.03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eastAsia" w:eastAsia="宋体"/>
                <w:color w:val="auto"/>
                <w:highlight w:val="none"/>
                <w:lang w:val="en-US" w:eastAsia="zh-CN"/>
              </w:rPr>
            </w:pPr>
            <w:r>
              <w:rPr>
                <w:rFonts w:hint="eastAsia" w:cs="Times New Roman"/>
                <w:color w:val="auto"/>
                <w:highlight w:val="none"/>
                <w:lang w:val="en-US" w:eastAsia="zh-CN"/>
              </w:rPr>
              <w:t>8</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907" w:type="dxa"/>
            <w:vAlign w:val="center"/>
          </w:tcPr>
          <w:p>
            <w:pPr>
              <w:pStyle w:val="21"/>
              <w:bidi w:val="0"/>
              <w:ind w:left="0" w:leftChars="0" w:firstLine="0" w:firstLineChars="0"/>
              <w:rPr>
                <w:rFonts w:hint="default"/>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5.31E-04</w:t>
            </w:r>
          </w:p>
        </w:tc>
        <w:tc>
          <w:tcPr>
            <w:tcW w:w="1125" w:type="dxa"/>
            <w:vAlign w:val="center"/>
          </w:tcPr>
          <w:p>
            <w:pPr>
              <w:pStyle w:val="21"/>
              <w:bidi w:val="0"/>
              <w:rPr>
                <w:rFonts w:hint="default"/>
                <w:color w:val="auto"/>
              </w:rPr>
            </w:pPr>
            <w:r>
              <w:rPr>
                <w:rFonts w:hint="eastAsia"/>
                <w:color w:val="auto"/>
              </w:rPr>
              <w:t>190224</w:t>
            </w:r>
          </w:p>
        </w:tc>
        <w:tc>
          <w:tcPr>
            <w:tcW w:w="1162" w:type="dxa"/>
            <w:vAlign w:val="center"/>
          </w:tcPr>
          <w:p>
            <w:pPr>
              <w:pStyle w:val="21"/>
              <w:bidi w:val="0"/>
              <w:rPr>
                <w:rFonts w:hint="default"/>
                <w:color w:val="auto"/>
              </w:rPr>
            </w:pPr>
            <w:r>
              <w:rPr>
                <w:rFonts w:hint="eastAsia"/>
                <w:color w:val="auto"/>
              </w:rPr>
              <w:t>4.20E-02</w:t>
            </w:r>
          </w:p>
        </w:tc>
        <w:tc>
          <w:tcPr>
            <w:tcW w:w="1144" w:type="dxa"/>
            <w:vAlign w:val="center"/>
          </w:tcPr>
          <w:p>
            <w:pPr>
              <w:pStyle w:val="21"/>
              <w:bidi w:val="0"/>
              <w:rPr>
                <w:rFonts w:hint="default"/>
                <w:color w:val="auto"/>
              </w:rPr>
            </w:pPr>
            <w:r>
              <w:rPr>
                <w:rFonts w:hint="eastAsia"/>
                <w:color w:val="auto"/>
              </w:rPr>
              <w:t>4.25E-02</w:t>
            </w:r>
          </w:p>
        </w:tc>
        <w:tc>
          <w:tcPr>
            <w:tcW w:w="1050" w:type="dxa"/>
            <w:vAlign w:val="center"/>
          </w:tcPr>
          <w:p>
            <w:pPr>
              <w:pStyle w:val="21"/>
              <w:bidi w:val="0"/>
              <w:rPr>
                <w:rFonts w:hint="default"/>
                <w:color w:val="auto"/>
              </w:rPr>
            </w:pPr>
            <w:r>
              <w:rPr>
                <w:rFonts w:hint="eastAsia"/>
                <w:color w:val="auto"/>
              </w:rPr>
              <w:t>8.00E-02</w:t>
            </w:r>
          </w:p>
        </w:tc>
        <w:tc>
          <w:tcPr>
            <w:tcW w:w="769" w:type="dxa"/>
            <w:vAlign w:val="center"/>
          </w:tcPr>
          <w:p>
            <w:pPr>
              <w:pStyle w:val="21"/>
              <w:bidi w:val="0"/>
              <w:rPr>
                <w:rFonts w:hint="default"/>
                <w:color w:val="auto"/>
              </w:rPr>
            </w:pPr>
            <w:r>
              <w:rPr>
                <w:rFonts w:hint="eastAsia"/>
                <w:color w:val="auto"/>
              </w:rPr>
              <w:t>53.16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2.30E-04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1.80E-02</w:t>
            </w:r>
          </w:p>
        </w:tc>
        <w:tc>
          <w:tcPr>
            <w:tcW w:w="1144" w:type="dxa"/>
            <w:vAlign w:val="center"/>
          </w:tcPr>
          <w:p>
            <w:pPr>
              <w:pStyle w:val="21"/>
              <w:bidi w:val="0"/>
              <w:rPr>
                <w:rFonts w:hint="default"/>
                <w:color w:val="auto"/>
              </w:rPr>
            </w:pPr>
            <w:r>
              <w:rPr>
                <w:rFonts w:hint="eastAsia"/>
                <w:color w:val="auto"/>
              </w:rPr>
              <w:t>1.82E-02</w:t>
            </w:r>
          </w:p>
        </w:tc>
        <w:tc>
          <w:tcPr>
            <w:tcW w:w="1050" w:type="dxa"/>
            <w:vAlign w:val="center"/>
          </w:tcPr>
          <w:p>
            <w:pPr>
              <w:pStyle w:val="21"/>
              <w:bidi w:val="0"/>
              <w:rPr>
                <w:rFonts w:hint="default"/>
                <w:color w:val="auto"/>
              </w:rPr>
            </w:pPr>
            <w:r>
              <w:rPr>
                <w:rFonts w:hint="eastAsia"/>
                <w:color w:val="auto"/>
              </w:rPr>
              <w:t>4.00E-02</w:t>
            </w:r>
          </w:p>
        </w:tc>
        <w:tc>
          <w:tcPr>
            <w:tcW w:w="769" w:type="dxa"/>
            <w:vAlign w:val="center"/>
          </w:tcPr>
          <w:p>
            <w:pPr>
              <w:pStyle w:val="21"/>
              <w:bidi w:val="0"/>
              <w:rPr>
                <w:rFonts w:hint="default"/>
                <w:color w:val="auto"/>
              </w:rPr>
            </w:pPr>
            <w:r>
              <w:rPr>
                <w:rFonts w:hint="eastAsia"/>
                <w:color w:val="auto"/>
              </w:rPr>
              <w:t>45.58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9</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小洋</w:t>
            </w: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1.27E-04</w:t>
            </w:r>
          </w:p>
        </w:tc>
        <w:tc>
          <w:tcPr>
            <w:tcW w:w="1125" w:type="dxa"/>
            <w:vAlign w:val="center"/>
          </w:tcPr>
          <w:p>
            <w:pPr>
              <w:pStyle w:val="21"/>
              <w:bidi w:val="0"/>
              <w:rPr>
                <w:rFonts w:hint="eastAsia"/>
                <w:color w:val="auto"/>
              </w:rPr>
            </w:pPr>
            <w:r>
              <w:rPr>
                <w:rFonts w:hint="eastAsia"/>
                <w:color w:val="auto"/>
              </w:rPr>
              <w:t>190101</w:t>
            </w:r>
          </w:p>
        </w:tc>
        <w:tc>
          <w:tcPr>
            <w:tcW w:w="1162" w:type="dxa"/>
            <w:vAlign w:val="center"/>
          </w:tcPr>
          <w:p>
            <w:pPr>
              <w:pStyle w:val="21"/>
              <w:bidi w:val="0"/>
              <w:rPr>
                <w:rFonts w:hint="eastAsia"/>
                <w:color w:val="auto"/>
              </w:rPr>
            </w:pPr>
            <w:r>
              <w:rPr>
                <w:rFonts w:hint="eastAsia"/>
                <w:color w:val="auto"/>
              </w:rPr>
              <w:t>4.20E-02</w:t>
            </w:r>
          </w:p>
        </w:tc>
        <w:tc>
          <w:tcPr>
            <w:tcW w:w="1144" w:type="dxa"/>
            <w:vAlign w:val="center"/>
          </w:tcPr>
          <w:p>
            <w:pPr>
              <w:pStyle w:val="21"/>
              <w:bidi w:val="0"/>
              <w:rPr>
                <w:rFonts w:hint="eastAsia"/>
                <w:color w:val="auto"/>
              </w:rPr>
            </w:pPr>
            <w:r>
              <w:rPr>
                <w:rFonts w:hint="eastAsia"/>
                <w:color w:val="auto"/>
              </w:rPr>
              <w:t>4.21E-02</w:t>
            </w:r>
          </w:p>
        </w:tc>
        <w:tc>
          <w:tcPr>
            <w:tcW w:w="1050" w:type="dxa"/>
            <w:vAlign w:val="center"/>
          </w:tcPr>
          <w:p>
            <w:pPr>
              <w:pStyle w:val="21"/>
              <w:bidi w:val="0"/>
              <w:rPr>
                <w:rFonts w:hint="eastAsia"/>
                <w:color w:val="auto"/>
              </w:rPr>
            </w:pPr>
            <w:r>
              <w:rPr>
                <w:rFonts w:hint="eastAsia"/>
                <w:color w:val="auto"/>
              </w:rPr>
              <w:t>8.00E-02</w:t>
            </w:r>
          </w:p>
        </w:tc>
        <w:tc>
          <w:tcPr>
            <w:tcW w:w="769" w:type="dxa"/>
            <w:vAlign w:val="center"/>
          </w:tcPr>
          <w:p>
            <w:pPr>
              <w:pStyle w:val="21"/>
              <w:bidi w:val="0"/>
              <w:rPr>
                <w:rFonts w:hint="eastAsia"/>
                <w:color w:val="auto"/>
              </w:rPr>
            </w:pPr>
            <w:r>
              <w:rPr>
                <w:rFonts w:hint="eastAsia"/>
                <w:color w:val="auto"/>
              </w:rPr>
              <w:t>52.66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2.37E-05</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4.00E-02</w:t>
            </w:r>
          </w:p>
        </w:tc>
        <w:tc>
          <w:tcPr>
            <w:tcW w:w="769" w:type="dxa"/>
            <w:vAlign w:val="center"/>
          </w:tcPr>
          <w:p>
            <w:pPr>
              <w:pStyle w:val="21"/>
              <w:bidi w:val="0"/>
              <w:rPr>
                <w:rFonts w:hint="eastAsia"/>
                <w:color w:val="auto"/>
              </w:rPr>
            </w:pPr>
            <w:r>
              <w:rPr>
                <w:rFonts w:hint="eastAsia"/>
                <w:color w:val="auto"/>
              </w:rPr>
              <w:t>45.06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10</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竹栏头</w:t>
            </w: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1.56E-04</w:t>
            </w:r>
          </w:p>
        </w:tc>
        <w:tc>
          <w:tcPr>
            <w:tcW w:w="1125" w:type="dxa"/>
            <w:vAlign w:val="center"/>
          </w:tcPr>
          <w:p>
            <w:pPr>
              <w:pStyle w:val="21"/>
              <w:bidi w:val="0"/>
              <w:rPr>
                <w:rFonts w:hint="eastAsia"/>
                <w:color w:val="auto"/>
              </w:rPr>
            </w:pPr>
            <w:r>
              <w:rPr>
                <w:rFonts w:hint="eastAsia"/>
                <w:color w:val="auto"/>
              </w:rPr>
              <w:t>190915</w:t>
            </w:r>
          </w:p>
        </w:tc>
        <w:tc>
          <w:tcPr>
            <w:tcW w:w="1162" w:type="dxa"/>
            <w:vAlign w:val="center"/>
          </w:tcPr>
          <w:p>
            <w:pPr>
              <w:pStyle w:val="21"/>
              <w:bidi w:val="0"/>
              <w:rPr>
                <w:rFonts w:hint="eastAsia"/>
                <w:color w:val="auto"/>
              </w:rPr>
            </w:pPr>
            <w:r>
              <w:rPr>
                <w:rFonts w:hint="eastAsia"/>
                <w:color w:val="auto"/>
              </w:rPr>
              <w:t>4.20E-02</w:t>
            </w:r>
          </w:p>
        </w:tc>
        <w:tc>
          <w:tcPr>
            <w:tcW w:w="1144" w:type="dxa"/>
            <w:vAlign w:val="center"/>
          </w:tcPr>
          <w:p>
            <w:pPr>
              <w:pStyle w:val="21"/>
              <w:bidi w:val="0"/>
              <w:rPr>
                <w:rFonts w:hint="eastAsia"/>
                <w:color w:val="auto"/>
              </w:rPr>
            </w:pPr>
            <w:r>
              <w:rPr>
                <w:rFonts w:hint="eastAsia"/>
                <w:color w:val="auto"/>
              </w:rPr>
              <w:t>4.22E-02</w:t>
            </w:r>
          </w:p>
        </w:tc>
        <w:tc>
          <w:tcPr>
            <w:tcW w:w="1050" w:type="dxa"/>
            <w:vAlign w:val="center"/>
          </w:tcPr>
          <w:p>
            <w:pPr>
              <w:pStyle w:val="21"/>
              <w:bidi w:val="0"/>
              <w:rPr>
                <w:rFonts w:hint="eastAsia"/>
                <w:color w:val="auto"/>
              </w:rPr>
            </w:pPr>
            <w:r>
              <w:rPr>
                <w:rFonts w:hint="eastAsia"/>
                <w:color w:val="auto"/>
              </w:rPr>
              <w:t>8.00E-02</w:t>
            </w:r>
          </w:p>
        </w:tc>
        <w:tc>
          <w:tcPr>
            <w:tcW w:w="769" w:type="dxa"/>
            <w:vAlign w:val="center"/>
          </w:tcPr>
          <w:p>
            <w:pPr>
              <w:pStyle w:val="21"/>
              <w:bidi w:val="0"/>
              <w:rPr>
                <w:rFonts w:hint="eastAsia"/>
                <w:color w:val="auto"/>
              </w:rPr>
            </w:pPr>
            <w:r>
              <w:rPr>
                <w:rFonts w:hint="eastAsia"/>
                <w:color w:val="auto"/>
              </w:rPr>
              <w:t>52.69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2.29E-05</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4.00E-02</w:t>
            </w:r>
          </w:p>
        </w:tc>
        <w:tc>
          <w:tcPr>
            <w:tcW w:w="769" w:type="dxa"/>
            <w:vAlign w:val="center"/>
          </w:tcPr>
          <w:p>
            <w:pPr>
              <w:pStyle w:val="21"/>
              <w:bidi w:val="0"/>
              <w:rPr>
                <w:rFonts w:hint="eastAsia"/>
                <w:color w:val="auto"/>
              </w:rPr>
            </w:pPr>
            <w:r>
              <w:rPr>
                <w:rFonts w:hint="eastAsia"/>
                <w:color w:val="auto"/>
              </w:rPr>
              <w:t>45.06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11</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东岭头</w:t>
            </w: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8.08E-05</w:t>
            </w:r>
          </w:p>
        </w:tc>
        <w:tc>
          <w:tcPr>
            <w:tcW w:w="1125" w:type="dxa"/>
            <w:vAlign w:val="center"/>
          </w:tcPr>
          <w:p>
            <w:pPr>
              <w:pStyle w:val="21"/>
              <w:bidi w:val="0"/>
              <w:rPr>
                <w:rFonts w:hint="eastAsia"/>
                <w:color w:val="auto"/>
              </w:rPr>
            </w:pPr>
            <w:r>
              <w:rPr>
                <w:rFonts w:hint="eastAsia"/>
                <w:color w:val="auto"/>
              </w:rPr>
              <w:t>190407</w:t>
            </w:r>
          </w:p>
        </w:tc>
        <w:tc>
          <w:tcPr>
            <w:tcW w:w="1162" w:type="dxa"/>
            <w:vAlign w:val="center"/>
          </w:tcPr>
          <w:p>
            <w:pPr>
              <w:pStyle w:val="21"/>
              <w:bidi w:val="0"/>
              <w:rPr>
                <w:rFonts w:hint="eastAsia"/>
                <w:color w:val="auto"/>
              </w:rPr>
            </w:pPr>
            <w:r>
              <w:rPr>
                <w:rFonts w:hint="eastAsia"/>
                <w:color w:val="auto"/>
              </w:rPr>
              <w:t>4.20E-02</w:t>
            </w:r>
          </w:p>
        </w:tc>
        <w:tc>
          <w:tcPr>
            <w:tcW w:w="1144" w:type="dxa"/>
            <w:vAlign w:val="center"/>
          </w:tcPr>
          <w:p>
            <w:pPr>
              <w:pStyle w:val="21"/>
              <w:bidi w:val="0"/>
              <w:rPr>
                <w:rFonts w:hint="eastAsia"/>
                <w:color w:val="auto"/>
              </w:rPr>
            </w:pPr>
            <w:r>
              <w:rPr>
                <w:rFonts w:hint="eastAsia"/>
                <w:color w:val="auto"/>
              </w:rPr>
              <w:t>4.21E-02</w:t>
            </w:r>
          </w:p>
        </w:tc>
        <w:tc>
          <w:tcPr>
            <w:tcW w:w="1050" w:type="dxa"/>
            <w:vAlign w:val="center"/>
          </w:tcPr>
          <w:p>
            <w:pPr>
              <w:pStyle w:val="21"/>
              <w:bidi w:val="0"/>
              <w:rPr>
                <w:rFonts w:hint="eastAsia"/>
                <w:color w:val="auto"/>
              </w:rPr>
            </w:pPr>
            <w:r>
              <w:rPr>
                <w:rFonts w:hint="eastAsia"/>
                <w:color w:val="auto"/>
              </w:rPr>
              <w:t>8.00E-02</w:t>
            </w:r>
          </w:p>
        </w:tc>
        <w:tc>
          <w:tcPr>
            <w:tcW w:w="769" w:type="dxa"/>
            <w:vAlign w:val="center"/>
          </w:tcPr>
          <w:p>
            <w:pPr>
              <w:pStyle w:val="21"/>
              <w:bidi w:val="0"/>
              <w:rPr>
                <w:rFonts w:hint="eastAsia"/>
                <w:color w:val="auto"/>
              </w:rPr>
            </w:pPr>
            <w:r>
              <w:rPr>
                <w:rFonts w:hint="eastAsia"/>
                <w:color w:val="auto"/>
              </w:rPr>
              <w:t>52.60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2.21E-05</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4.00E-02</w:t>
            </w:r>
          </w:p>
        </w:tc>
        <w:tc>
          <w:tcPr>
            <w:tcW w:w="769" w:type="dxa"/>
            <w:vAlign w:val="center"/>
          </w:tcPr>
          <w:p>
            <w:pPr>
              <w:pStyle w:val="21"/>
              <w:bidi w:val="0"/>
              <w:rPr>
                <w:rFonts w:hint="eastAsia"/>
                <w:color w:val="auto"/>
              </w:rPr>
            </w:pPr>
            <w:r>
              <w:rPr>
                <w:rFonts w:hint="eastAsia"/>
                <w:color w:val="auto"/>
              </w:rPr>
              <w:t>45.06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12</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秦家洋</w:t>
            </w: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2.75E-05</w:t>
            </w:r>
          </w:p>
        </w:tc>
        <w:tc>
          <w:tcPr>
            <w:tcW w:w="1125" w:type="dxa"/>
            <w:vAlign w:val="center"/>
          </w:tcPr>
          <w:p>
            <w:pPr>
              <w:pStyle w:val="21"/>
              <w:bidi w:val="0"/>
              <w:rPr>
                <w:rFonts w:hint="eastAsia"/>
                <w:color w:val="auto"/>
              </w:rPr>
            </w:pPr>
            <w:r>
              <w:rPr>
                <w:rFonts w:hint="eastAsia"/>
                <w:color w:val="auto"/>
              </w:rPr>
              <w:t>190113</w:t>
            </w:r>
          </w:p>
        </w:tc>
        <w:tc>
          <w:tcPr>
            <w:tcW w:w="1162" w:type="dxa"/>
            <w:vAlign w:val="center"/>
          </w:tcPr>
          <w:p>
            <w:pPr>
              <w:pStyle w:val="21"/>
              <w:bidi w:val="0"/>
              <w:rPr>
                <w:rFonts w:hint="eastAsia"/>
                <w:color w:val="auto"/>
              </w:rPr>
            </w:pPr>
            <w:r>
              <w:rPr>
                <w:rFonts w:hint="eastAsia"/>
                <w:color w:val="auto"/>
              </w:rPr>
              <w:t>4.20E-02</w:t>
            </w:r>
          </w:p>
        </w:tc>
        <w:tc>
          <w:tcPr>
            <w:tcW w:w="1144" w:type="dxa"/>
            <w:vAlign w:val="center"/>
          </w:tcPr>
          <w:p>
            <w:pPr>
              <w:pStyle w:val="21"/>
              <w:bidi w:val="0"/>
              <w:rPr>
                <w:rFonts w:hint="eastAsia"/>
                <w:color w:val="auto"/>
              </w:rPr>
            </w:pPr>
            <w:r>
              <w:rPr>
                <w:rFonts w:hint="eastAsia"/>
                <w:color w:val="auto"/>
              </w:rPr>
              <w:t>4.20E-02</w:t>
            </w:r>
          </w:p>
        </w:tc>
        <w:tc>
          <w:tcPr>
            <w:tcW w:w="1050" w:type="dxa"/>
            <w:vAlign w:val="center"/>
          </w:tcPr>
          <w:p>
            <w:pPr>
              <w:pStyle w:val="21"/>
              <w:bidi w:val="0"/>
              <w:rPr>
                <w:rFonts w:hint="eastAsia"/>
                <w:color w:val="auto"/>
              </w:rPr>
            </w:pPr>
            <w:r>
              <w:rPr>
                <w:rFonts w:hint="eastAsia"/>
                <w:color w:val="auto"/>
              </w:rPr>
              <w:t>8.00E-02</w:t>
            </w:r>
          </w:p>
        </w:tc>
        <w:tc>
          <w:tcPr>
            <w:tcW w:w="769" w:type="dxa"/>
            <w:vAlign w:val="center"/>
          </w:tcPr>
          <w:p>
            <w:pPr>
              <w:pStyle w:val="21"/>
              <w:bidi w:val="0"/>
              <w:rPr>
                <w:rFonts w:hint="eastAsia"/>
                <w:color w:val="auto"/>
              </w:rPr>
            </w:pPr>
            <w:r>
              <w:rPr>
                <w:rFonts w:hint="eastAsia"/>
                <w:color w:val="auto"/>
              </w:rPr>
              <w:t>52.53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2.38E-06</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4.00E-02</w:t>
            </w:r>
          </w:p>
        </w:tc>
        <w:tc>
          <w:tcPr>
            <w:tcW w:w="769" w:type="dxa"/>
            <w:vAlign w:val="center"/>
          </w:tcPr>
          <w:p>
            <w:pPr>
              <w:pStyle w:val="21"/>
              <w:bidi w:val="0"/>
              <w:rPr>
                <w:rFonts w:hint="eastAsia"/>
                <w:color w:val="auto"/>
              </w:rPr>
            </w:pPr>
            <w:r>
              <w:rPr>
                <w:rFonts w:hint="eastAsia"/>
                <w:color w:val="auto"/>
              </w:rPr>
              <w:t>45.01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13</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山后</w:t>
            </w: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7.85E-05</w:t>
            </w:r>
          </w:p>
        </w:tc>
        <w:tc>
          <w:tcPr>
            <w:tcW w:w="1125" w:type="dxa"/>
            <w:vAlign w:val="center"/>
          </w:tcPr>
          <w:p>
            <w:pPr>
              <w:pStyle w:val="21"/>
              <w:bidi w:val="0"/>
              <w:rPr>
                <w:rFonts w:hint="eastAsia"/>
                <w:color w:val="auto"/>
              </w:rPr>
            </w:pPr>
            <w:r>
              <w:rPr>
                <w:rFonts w:hint="eastAsia"/>
                <w:color w:val="auto"/>
              </w:rPr>
              <w:t>190224</w:t>
            </w:r>
          </w:p>
        </w:tc>
        <w:tc>
          <w:tcPr>
            <w:tcW w:w="1162" w:type="dxa"/>
            <w:vAlign w:val="center"/>
          </w:tcPr>
          <w:p>
            <w:pPr>
              <w:pStyle w:val="21"/>
              <w:bidi w:val="0"/>
              <w:rPr>
                <w:rFonts w:hint="eastAsia"/>
                <w:color w:val="auto"/>
              </w:rPr>
            </w:pPr>
            <w:r>
              <w:rPr>
                <w:rFonts w:hint="eastAsia"/>
                <w:color w:val="auto"/>
              </w:rPr>
              <w:t>4.20E-02</w:t>
            </w:r>
          </w:p>
        </w:tc>
        <w:tc>
          <w:tcPr>
            <w:tcW w:w="1144" w:type="dxa"/>
            <w:vAlign w:val="center"/>
          </w:tcPr>
          <w:p>
            <w:pPr>
              <w:pStyle w:val="21"/>
              <w:bidi w:val="0"/>
              <w:rPr>
                <w:rFonts w:hint="eastAsia"/>
                <w:color w:val="auto"/>
              </w:rPr>
            </w:pPr>
            <w:r>
              <w:rPr>
                <w:rFonts w:hint="eastAsia"/>
                <w:color w:val="auto"/>
              </w:rPr>
              <w:t>4.21E-02</w:t>
            </w:r>
          </w:p>
        </w:tc>
        <w:tc>
          <w:tcPr>
            <w:tcW w:w="1050" w:type="dxa"/>
            <w:vAlign w:val="center"/>
          </w:tcPr>
          <w:p>
            <w:pPr>
              <w:pStyle w:val="21"/>
              <w:bidi w:val="0"/>
              <w:rPr>
                <w:rFonts w:hint="eastAsia"/>
                <w:color w:val="auto"/>
              </w:rPr>
            </w:pPr>
            <w:r>
              <w:rPr>
                <w:rFonts w:hint="eastAsia"/>
                <w:color w:val="auto"/>
              </w:rPr>
              <w:t>8.00E-02</w:t>
            </w:r>
          </w:p>
        </w:tc>
        <w:tc>
          <w:tcPr>
            <w:tcW w:w="769" w:type="dxa"/>
            <w:vAlign w:val="center"/>
          </w:tcPr>
          <w:p>
            <w:pPr>
              <w:pStyle w:val="21"/>
              <w:bidi w:val="0"/>
              <w:rPr>
                <w:rFonts w:hint="eastAsia"/>
                <w:color w:val="auto"/>
              </w:rPr>
            </w:pPr>
            <w:r>
              <w:rPr>
                <w:rFonts w:hint="eastAsia"/>
                <w:color w:val="auto"/>
              </w:rPr>
              <w:t>52.60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5.46E-06</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1.80E-02</w:t>
            </w:r>
          </w:p>
        </w:tc>
        <w:tc>
          <w:tcPr>
            <w:tcW w:w="1050" w:type="dxa"/>
            <w:vAlign w:val="center"/>
          </w:tcPr>
          <w:p>
            <w:pPr>
              <w:pStyle w:val="21"/>
              <w:bidi w:val="0"/>
              <w:rPr>
                <w:rFonts w:hint="eastAsia"/>
                <w:color w:val="auto"/>
              </w:rPr>
            </w:pPr>
            <w:r>
              <w:rPr>
                <w:rFonts w:hint="eastAsia"/>
                <w:color w:val="auto"/>
              </w:rPr>
              <w:t>4.00E-02</w:t>
            </w:r>
          </w:p>
        </w:tc>
        <w:tc>
          <w:tcPr>
            <w:tcW w:w="769" w:type="dxa"/>
            <w:vAlign w:val="center"/>
          </w:tcPr>
          <w:p>
            <w:pPr>
              <w:pStyle w:val="21"/>
              <w:bidi w:val="0"/>
              <w:rPr>
                <w:rFonts w:hint="eastAsia"/>
                <w:color w:val="auto"/>
              </w:rPr>
            </w:pPr>
            <w:r>
              <w:rPr>
                <w:rFonts w:hint="eastAsia"/>
                <w:color w:val="auto"/>
              </w:rPr>
              <w:t>45.01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14</w:t>
            </w:r>
          </w:p>
        </w:tc>
        <w:tc>
          <w:tcPr>
            <w:tcW w:w="868" w:type="dxa"/>
            <w:vMerge w:val="restart"/>
            <w:vAlign w:val="center"/>
          </w:tcPr>
          <w:p>
            <w:pPr>
              <w:pStyle w:val="21"/>
              <w:bidi w:val="0"/>
              <w:ind w:left="0" w:leftChars="0" w:firstLine="0" w:firstLineChars="0"/>
              <w:rPr>
                <w:rFonts w:hint="default"/>
                <w:color w:val="auto"/>
                <w:highlight w:val="none"/>
              </w:rPr>
            </w:pPr>
            <w:r>
              <w:rPr>
                <w:rFonts w:hint="default" w:ascii="Times New Roman" w:hAnsi="Times New Roman" w:cs="Times New Roman"/>
                <w:color w:val="auto"/>
                <w:highlight w:val="none"/>
                <w:lang w:val="en-US" w:eastAsia="zh-CN"/>
              </w:rPr>
              <w:t>网格</w:t>
            </w: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3.04E-03</w:t>
            </w:r>
          </w:p>
        </w:tc>
        <w:tc>
          <w:tcPr>
            <w:tcW w:w="1125" w:type="dxa"/>
            <w:vAlign w:val="center"/>
          </w:tcPr>
          <w:p>
            <w:pPr>
              <w:pStyle w:val="21"/>
              <w:bidi w:val="0"/>
              <w:rPr>
                <w:rFonts w:hint="eastAsia"/>
                <w:color w:val="auto"/>
              </w:rPr>
            </w:pPr>
            <w:r>
              <w:rPr>
                <w:rFonts w:hint="eastAsia"/>
                <w:color w:val="auto"/>
              </w:rPr>
              <w:t>190212</w:t>
            </w:r>
          </w:p>
        </w:tc>
        <w:tc>
          <w:tcPr>
            <w:tcW w:w="1162" w:type="dxa"/>
            <w:vAlign w:val="center"/>
          </w:tcPr>
          <w:p>
            <w:pPr>
              <w:pStyle w:val="21"/>
              <w:bidi w:val="0"/>
              <w:rPr>
                <w:rFonts w:hint="eastAsia"/>
                <w:color w:val="auto"/>
              </w:rPr>
            </w:pPr>
            <w:r>
              <w:rPr>
                <w:rFonts w:hint="eastAsia"/>
                <w:color w:val="auto"/>
              </w:rPr>
              <w:t>4.20E-02</w:t>
            </w:r>
          </w:p>
        </w:tc>
        <w:tc>
          <w:tcPr>
            <w:tcW w:w="1144" w:type="dxa"/>
            <w:vAlign w:val="center"/>
          </w:tcPr>
          <w:p>
            <w:pPr>
              <w:pStyle w:val="21"/>
              <w:bidi w:val="0"/>
              <w:rPr>
                <w:rFonts w:hint="eastAsia"/>
                <w:color w:val="auto"/>
              </w:rPr>
            </w:pPr>
            <w:r>
              <w:rPr>
                <w:rFonts w:hint="eastAsia"/>
                <w:color w:val="auto"/>
              </w:rPr>
              <w:t>4.50E-02</w:t>
            </w:r>
          </w:p>
        </w:tc>
        <w:tc>
          <w:tcPr>
            <w:tcW w:w="1050" w:type="dxa"/>
            <w:vAlign w:val="center"/>
          </w:tcPr>
          <w:p>
            <w:pPr>
              <w:pStyle w:val="21"/>
              <w:bidi w:val="0"/>
              <w:rPr>
                <w:rFonts w:hint="eastAsia"/>
                <w:color w:val="auto"/>
              </w:rPr>
            </w:pPr>
            <w:r>
              <w:rPr>
                <w:rFonts w:hint="eastAsia"/>
                <w:color w:val="auto"/>
              </w:rPr>
              <w:t>8.00E-02</w:t>
            </w:r>
          </w:p>
        </w:tc>
        <w:tc>
          <w:tcPr>
            <w:tcW w:w="769" w:type="dxa"/>
            <w:vAlign w:val="center"/>
          </w:tcPr>
          <w:p>
            <w:pPr>
              <w:pStyle w:val="21"/>
              <w:bidi w:val="0"/>
              <w:rPr>
                <w:rFonts w:hint="eastAsia"/>
                <w:color w:val="auto"/>
              </w:rPr>
            </w:pPr>
            <w:r>
              <w:rPr>
                <w:rFonts w:hint="eastAsia"/>
                <w:color w:val="auto"/>
              </w:rPr>
              <w:t>56.30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rPr>
                <w:rFonts w:hint="eastAsia" w:cs="Times New Roman"/>
                <w:color w:val="auto"/>
                <w:highlight w:val="none"/>
                <w:lang w:val="en-US" w:eastAsia="zh-CN"/>
              </w:rPr>
            </w:pPr>
          </w:p>
        </w:tc>
        <w:tc>
          <w:tcPr>
            <w:tcW w:w="868" w:type="dxa"/>
            <w:vMerge w:val="continue"/>
            <w:vAlign w:val="center"/>
          </w:tcPr>
          <w:p>
            <w:pPr>
              <w:pStyle w:val="21"/>
              <w:bidi w:val="0"/>
              <w:ind w:left="0" w:leftChars="0" w:firstLine="0" w:firstLineChars="0"/>
              <w:rPr>
                <w:rFonts w:hint="eastAsia" w:cs="Times New Roman"/>
                <w:color w:val="auto"/>
                <w:highlight w:val="none"/>
                <w:lang w:val="en-US" w:eastAsia="zh-CN"/>
              </w:rPr>
            </w:pPr>
          </w:p>
        </w:tc>
        <w:tc>
          <w:tcPr>
            <w:tcW w:w="907"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1.44E-03</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1.80E-02</w:t>
            </w:r>
          </w:p>
        </w:tc>
        <w:tc>
          <w:tcPr>
            <w:tcW w:w="1144" w:type="dxa"/>
            <w:vAlign w:val="center"/>
          </w:tcPr>
          <w:p>
            <w:pPr>
              <w:pStyle w:val="21"/>
              <w:bidi w:val="0"/>
              <w:rPr>
                <w:rFonts w:hint="eastAsia"/>
                <w:color w:val="auto"/>
              </w:rPr>
            </w:pPr>
            <w:r>
              <w:rPr>
                <w:rFonts w:hint="eastAsia"/>
                <w:color w:val="auto"/>
              </w:rPr>
              <w:t>1.94E-02</w:t>
            </w:r>
          </w:p>
        </w:tc>
        <w:tc>
          <w:tcPr>
            <w:tcW w:w="1050" w:type="dxa"/>
            <w:vAlign w:val="center"/>
          </w:tcPr>
          <w:p>
            <w:pPr>
              <w:pStyle w:val="21"/>
              <w:bidi w:val="0"/>
              <w:rPr>
                <w:rFonts w:hint="eastAsia"/>
                <w:color w:val="auto"/>
              </w:rPr>
            </w:pPr>
            <w:r>
              <w:rPr>
                <w:rFonts w:hint="eastAsia"/>
                <w:color w:val="auto"/>
              </w:rPr>
              <w:t>4.00E-02</w:t>
            </w:r>
          </w:p>
        </w:tc>
        <w:tc>
          <w:tcPr>
            <w:tcW w:w="769" w:type="dxa"/>
            <w:vAlign w:val="center"/>
          </w:tcPr>
          <w:p>
            <w:pPr>
              <w:pStyle w:val="21"/>
              <w:bidi w:val="0"/>
              <w:rPr>
                <w:rFonts w:hint="eastAsia"/>
                <w:color w:val="auto"/>
              </w:rPr>
            </w:pPr>
            <w:r>
              <w:rPr>
                <w:rFonts w:hint="eastAsia"/>
                <w:color w:val="auto"/>
              </w:rPr>
              <w:t>48.61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bl>
    <w:p>
      <w:pPr>
        <w:rPr>
          <w:rFonts w:hint="default"/>
          <w:color w:val="auto"/>
          <w:highlight w:val="none"/>
          <w:lang w:val="en-US" w:eastAsia="zh-CN"/>
        </w:rPr>
      </w:pPr>
      <w:r>
        <w:rPr>
          <w:rFonts w:hint="eastAsia"/>
          <w:color w:val="auto"/>
          <w:highlight w:val="none"/>
          <w:lang w:val="en-US" w:eastAsia="zh-CN"/>
        </w:rPr>
        <w:t>③PM</w:t>
      </w:r>
      <w:r>
        <w:rPr>
          <w:rFonts w:hint="eastAsia"/>
          <w:color w:val="auto"/>
          <w:highlight w:val="none"/>
          <w:vertAlign w:val="subscript"/>
          <w:lang w:val="en-US" w:eastAsia="zh-CN"/>
        </w:rPr>
        <w:t>10</w:t>
      </w:r>
      <w:r>
        <w:rPr>
          <w:rFonts w:hint="eastAsia"/>
          <w:color w:val="auto"/>
          <w:highlight w:val="none"/>
          <w:lang w:val="en-US" w:eastAsia="zh-CN"/>
        </w:rPr>
        <w:t>叠加现状（含已批在建、拟建项目）浓度影响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color w:val="auto"/>
          <w:highlight w:val="none"/>
          <w:lang w:val="en-US" w:eastAsia="zh-CN"/>
        </w:rPr>
        <w:t>PM</w:t>
      </w:r>
      <w:r>
        <w:rPr>
          <w:rFonts w:hint="eastAsia"/>
          <w:color w:val="auto"/>
          <w:highlight w:val="none"/>
          <w:vertAlign w:val="subscript"/>
          <w:lang w:val="en-US" w:eastAsia="zh-CN"/>
        </w:rPr>
        <w:t>10</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_Ref31797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olor w:val="auto"/>
          <w:highlight w:val="none"/>
          <w:lang w:val="en-US" w:eastAsia="zh-CN"/>
        </w:rPr>
        <w:t>PM</w:t>
      </w:r>
      <w:r>
        <w:rPr>
          <w:rFonts w:hint="eastAsia"/>
          <w:color w:val="auto"/>
          <w:highlight w:val="none"/>
          <w:vertAlign w:val="subscript"/>
          <w:lang w:val="en-US" w:eastAsia="zh-CN"/>
        </w:rPr>
        <w:t>10</w:t>
      </w:r>
      <w:r>
        <w:rPr>
          <w:rFonts w:ascii="Times New Roman" w:hAnsi="Times New Roman"/>
          <w:color w:val="auto"/>
          <w:szCs w:val="22"/>
          <w:highlight w:val="none"/>
        </w:rPr>
        <w:t>叠加现状浓度后</w:t>
      </w:r>
      <w:r>
        <w:rPr>
          <w:rFonts w:hint="default" w:ascii="Times New Roman" w:hAnsi="Times New Roman" w:cs="Times New Roman"/>
          <w:color w:val="auto"/>
          <w:highlight w:val="none"/>
          <w:lang w:val="en-US" w:eastAsia="zh-CN"/>
        </w:rPr>
        <w:t>日均</w:t>
      </w:r>
      <w:r>
        <w:rPr>
          <w:rFonts w:hint="eastAsia" w:ascii="Times New Roman" w:hAnsi="Times New Roman" w:cs="Times New Roman"/>
          <w:color w:val="auto"/>
          <w:highlight w:val="none"/>
          <w:lang w:val="en-US" w:eastAsia="zh-CN"/>
        </w:rPr>
        <w:t>（95%保证率）</w:t>
      </w:r>
      <w:r>
        <w:rPr>
          <w:rFonts w:hint="default" w:ascii="Times New Roman" w:hAnsi="Times New Roman" w:cs="Times New Roman"/>
          <w:color w:val="auto"/>
          <w:highlight w:val="none"/>
          <w:lang w:val="en-US" w:eastAsia="zh-CN"/>
        </w:rPr>
        <w:t>、年均浓度</w:t>
      </w:r>
      <w:r>
        <w:rPr>
          <w:rFonts w:hint="eastAsia" w:ascii="Times New Roman" w:hAnsi="Times New Roman" w:cs="Times New Roman"/>
          <w:color w:val="auto"/>
          <w:highlight w:val="none"/>
          <w:lang w:val="en-US" w:eastAsia="zh-CN"/>
        </w:rPr>
        <w:t>均</w:t>
      </w:r>
      <w:r>
        <w:rPr>
          <w:rFonts w:hint="default" w:ascii="Times New Roman" w:hAnsi="Times New Roman" w:cs="Times New Roman"/>
          <w:color w:val="auto"/>
          <w:highlight w:val="none"/>
          <w:lang w:val="en-US" w:eastAsia="zh-CN"/>
        </w:rPr>
        <w:t>满足《环境空气质量标准》（GB3095-2012）二级标准要求。</w:t>
      </w:r>
      <w:r>
        <w:rPr>
          <w:rFonts w:hint="eastAsia" w:ascii="Times New Roman" w:hAnsi="Times New Roman" w:cs="Times New Roman"/>
          <w:color w:val="auto"/>
          <w:highlight w:val="none"/>
          <w:lang w:val="en-US" w:eastAsia="zh-CN"/>
        </w:rPr>
        <w:t>叠加现状浓度后区域最大落地浓度中</w:t>
      </w:r>
      <w:r>
        <w:rPr>
          <w:rFonts w:hint="default" w:ascii="Times New Roman" w:hAnsi="Times New Roman" w:cs="Times New Roman"/>
          <w:color w:val="auto"/>
          <w:highlight w:val="none"/>
          <w:lang w:val="en-US" w:eastAsia="zh-CN"/>
        </w:rPr>
        <w:t>，日均</w:t>
      </w:r>
      <w:r>
        <w:rPr>
          <w:rFonts w:hint="eastAsia" w:ascii="Times New Roman" w:hAnsi="Times New Roman" w:cs="Times New Roman"/>
          <w:color w:val="auto"/>
          <w:highlight w:val="none"/>
          <w:lang w:val="en-US" w:eastAsia="zh-CN"/>
        </w:rPr>
        <w:t>浓度最大值</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105</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69.91</w:t>
      </w:r>
      <w:r>
        <w:rPr>
          <w:rFonts w:hint="default" w:ascii="Times New Roman" w:hAnsi="Times New Roman" w:cs="Times New Roman"/>
          <w:color w:val="auto"/>
          <w:highlight w:val="none"/>
          <w:lang w:val="en-US" w:eastAsia="zh-CN"/>
        </w:rPr>
        <w:t>%，年均</w:t>
      </w:r>
      <w:r>
        <w:rPr>
          <w:rFonts w:hint="eastAsia" w:ascii="Times New Roman" w:hAnsi="Times New Roman" w:cs="Times New Roman"/>
          <w:color w:val="auto"/>
          <w:highlight w:val="none"/>
          <w:lang w:val="en-US" w:eastAsia="zh-CN"/>
        </w:rPr>
        <w:t>浓度最大值</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57.2</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81.68</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_Ref32607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图5.2-27</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_Ref32613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图5.2-28</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47" w:name="_Ref31797"/>
      <w:bookmarkEnd w:id="547"/>
      <w:r>
        <w:rPr>
          <w:rFonts w:hint="eastAsia"/>
          <w:color w:val="auto"/>
          <w:highlight w:val="none"/>
          <w:lang w:val="en-US" w:eastAsia="zh-CN"/>
        </w:rPr>
        <w:t>叠加后PM</w:t>
      </w:r>
      <w:r>
        <w:rPr>
          <w:rFonts w:hint="eastAsia"/>
          <w:color w:val="auto"/>
          <w:highlight w:val="none"/>
          <w:vertAlign w:val="subscript"/>
          <w:lang w:val="en-US" w:eastAsia="zh-CN"/>
        </w:rPr>
        <w:t>10</w:t>
      </w:r>
      <w:r>
        <w:rPr>
          <w:rFonts w:hint="eastAsia"/>
          <w:color w:val="auto"/>
          <w:highlight w:val="none"/>
          <w:lang w:val="en-US" w:eastAsia="zh-CN"/>
        </w:rPr>
        <w:t>平均质量浓度预测结果表</w:t>
      </w:r>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8"/>
        <w:gridCol w:w="907"/>
        <w:gridCol w:w="1133"/>
        <w:gridCol w:w="1125"/>
        <w:gridCol w:w="1162"/>
        <w:gridCol w:w="1144"/>
        <w:gridCol w:w="1050"/>
        <w:gridCol w:w="76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vAlign w:val="center"/>
          </w:tcPr>
          <w:p>
            <w:pPr>
              <w:pStyle w:val="21"/>
              <w:bidi w:val="0"/>
              <w:jc w:val="center"/>
              <w:rPr>
                <w:color w:val="auto"/>
                <w:highlight w:val="none"/>
              </w:rPr>
            </w:pPr>
            <w:r>
              <w:rPr>
                <w:color w:val="auto"/>
                <w:highlight w:val="none"/>
              </w:rPr>
              <w:t>序号</w:t>
            </w:r>
          </w:p>
        </w:tc>
        <w:tc>
          <w:tcPr>
            <w:tcW w:w="868" w:type="dxa"/>
            <w:vAlign w:val="center"/>
          </w:tcPr>
          <w:p>
            <w:pPr>
              <w:pStyle w:val="21"/>
              <w:bidi w:val="0"/>
              <w:jc w:val="center"/>
              <w:rPr>
                <w:color w:val="auto"/>
                <w:highlight w:val="none"/>
              </w:rPr>
            </w:pPr>
            <w:r>
              <w:rPr>
                <w:rFonts w:hint="eastAsia"/>
                <w:color w:val="auto"/>
                <w:highlight w:val="none"/>
                <w:lang w:val="en-US" w:eastAsia="zh-CN"/>
              </w:rPr>
              <w:t>预测</w:t>
            </w:r>
            <w:r>
              <w:rPr>
                <w:color w:val="auto"/>
                <w:highlight w:val="none"/>
              </w:rPr>
              <w:t>点名称</w:t>
            </w:r>
          </w:p>
        </w:tc>
        <w:tc>
          <w:tcPr>
            <w:tcW w:w="907" w:type="dxa"/>
            <w:vAlign w:val="center"/>
          </w:tcPr>
          <w:p>
            <w:pPr>
              <w:pStyle w:val="21"/>
              <w:bidi w:val="0"/>
              <w:jc w:val="center"/>
              <w:rPr>
                <w:color w:val="auto"/>
                <w:highlight w:val="none"/>
              </w:rPr>
            </w:pPr>
            <w:r>
              <w:rPr>
                <w:color w:val="auto"/>
                <w:highlight w:val="none"/>
              </w:rPr>
              <w:t>浓度</w:t>
            </w:r>
          </w:p>
          <w:p>
            <w:pPr>
              <w:pStyle w:val="21"/>
              <w:bidi w:val="0"/>
              <w:jc w:val="center"/>
              <w:rPr>
                <w:color w:val="auto"/>
                <w:highlight w:val="none"/>
              </w:rPr>
            </w:pPr>
            <w:r>
              <w:rPr>
                <w:color w:val="auto"/>
                <w:highlight w:val="none"/>
              </w:rPr>
              <w:t>类型</w:t>
            </w:r>
          </w:p>
        </w:tc>
        <w:tc>
          <w:tcPr>
            <w:tcW w:w="1133" w:type="dxa"/>
            <w:vAlign w:val="center"/>
          </w:tcPr>
          <w:p>
            <w:pPr>
              <w:pStyle w:val="21"/>
              <w:bidi w:val="0"/>
              <w:jc w:val="center"/>
              <w:rPr>
                <w:color w:val="auto"/>
                <w:highlight w:val="none"/>
              </w:rPr>
            </w:pPr>
            <w:r>
              <w:rPr>
                <w:color w:val="auto"/>
                <w:highlight w:val="none"/>
              </w:rPr>
              <w:t>浓度增量(mg/m</w:t>
            </w:r>
            <w:r>
              <w:rPr>
                <w:color w:val="auto"/>
                <w:highlight w:val="none"/>
                <w:vertAlign w:val="superscript"/>
              </w:rPr>
              <w:t>3</w:t>
            </w:r>
            <w:r>
              <w:rPr>
                <w:color w:val="auto"/>
                <w:highlight w:val="none"/>
              </w:rPr>
              <w:t>)</w:t>
            </w:r>
          </w:p>
        </w:tc>
        <w:tc>
          <w:tcPr>
            <w:tcW w:w="1125" w:type="dxa"/>
            <w:vAlign w:val="center"/>
          </w:tcPr>
          <w:p>
            <w:pPr>
              <w:pStyle w:val="21"/>
              <w:bidi w:val="0"/>
              <w:jc w:val="center"/>
              <w:rPr>
                <w:color w:val="auto"/>
                <w:highlight w:val="none"/>
              </w:rPr>
            </w:pPr>
            <w:r>
              <w:rPr>
                <w:color w:val="auto"/>
                <w:highlight w:val="none"/>
              </w:rPr>
              <w:t>出现时间(YYMMDDHH)</w:t>
            </w:r>
          </w:p>
        </w:tc>
        <w:tc>
          <w:tcPr>
            <w:tcW w:w="1162" w:type="dxa"/>
            <w:vAlign w:val="center"/>
          </w:tcPr>
          <w:p>
            <w:pPr>
              <w:pStyle w:val="21"/>
              <w:bidi w:val="0"/>
              <w:jc w:val="center"/>
              <w:rPr>
                <w:color w:val="auto"/>
                <w:highlight w:val="none"/>
              </w:rPr>
            </w:pPr>
            <w:r>
              <w:rPr>
                <w:color w:val="auto"/>
                <w:highlight w:val="none"/>
              </w:rPr>
              <w:t>背景浓度（mg/m</w:t>
            </w:r>
            <w:r>
              <w:rPr>
                <w:color w:val="auto"/>
                <w:highlight w:val="none"/>
                <w:vertAlign w:val="superscript"/>
              </w:rPr>
              <w:t>3</w:t>
            </w:r>
            <w:r>
              <w:rPr>
                <w:color w:val="auto"/>
                <w:highlight w:val="none"/>
              </w:rPr>
              <w:t>）</w:t>
            </w:r>
          </w:p>
        </w:tc>
        <w:tc>
          <w:tcPr>
            <w:tcW w:w="1144" w:type="dxa"/>
            <w:vAlign w:val="center"/>
          </w:tcPr>
          <w:p>
            <w:pPr>
              <w:pStyle w:val="21"/>
              <w:bidi w:val="0"/>
              <w:jc w:val="center"/>
              <w:rPr>
                <w:color w:val="auto"/>
                <w:highlight w:val="none"/>
              </w:rPr>
            </w:pPr>
            <w:r>
              <w:rPr>
                <w:color w:val="auto"/>
                <w:highlight w:val="none"/>
              </w:rPr>
              <w:t>叠加后</w:t>
            </w:r>
          </w:p>
          <w:p>
            <w:pPr>
              <w:pStyle w:val="21"/>
              <w:bidi w:val="0"/>
              <w:jc w:val="center"/>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1050" w:type="dxa"/>
            <w:vAlign w:val="center"/>
          </w:tcPr>
          <w:p>
            <w:pPr>
              <w:pStyle w:val="21"/>
              <w:bidi w:val="0"/>
              <w:jc w:val="center"/>
              <w:rPr>
                <w:color w:val="auto"/>
                <w:highlight w:val="none"/>
              </w:rPr>
            </w:pPr>
            <w:r>
              <w:rPr>
                <w:color w:val="auto"/>
                <w:highlight w:val="none"/>
              </w:rPr>
              <w:t>评价标准(mg/m</w:t>
            </w:r>
            <w:r>
              <w:rPr>
                <w:color w:val="auto"/>
                <w:highlight w:val="none"/>
                <w:vertAlign w:val="superscript"/>
              </w:rPr>
              <w:t>3</w:t>
            </w:r>
            <w:r>
              <w:rPr>
                <w:color w:val="auto"/>
                <w:highlight w:val="none"/>
              </w:rPr>
              <w:t>)</w:t>
            </w:r>
          </w:p>
        </w:tc>
        <w:tc>
          <w:tcPr>
            <w:tcW w:w="769" w:type="dxa"/>
            <w:vAlign w:val="center"/>
          </w:tcPr>
          <w:p>
            <w:pPr>
              <w:pStyle w:val="21"/>
              <w:bidi w:val="0"/>
              <w:jc w:val="center"/>
              <w:rPr>
                <w:color w:val="auto"/>
                <w:highlight w:val="none"/>
              </w:rPr>
            </w:pPr>
            <w:r>
              <w:rPr>
                <w:color w:val="auto"/>
                <w:highlight w:val="none"/>
              </w:rPr>
              <w:t>占标率%</w:t>
            </w:r>
          </w:p>
        </w:tc>
        <w:tc>
          <w:tcPr>
            <w:tcW w:w="697" w:type="dxa"/>
            <w:vAlign w:val="center"/>
          </w:tcPr>
          <w:p>
            <w:pPr>
              <w:pStyle w:val="21"/>
              <w:bidi w:val="0"/>
              <w:jc w:val="center"/>
              <w:rPr>
                <w:color w:val="auto"/>
                <w:highlight w:val="none"/>
              </w:rPr>
            </w:pPr>
            <w:r>
              <w:rPr>
                <w:color w:val="auto"/>
                <w:highlight w:val="none"/>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1</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7.01E-03</w:t>
            </w:r>
          </w:p>
        </w:tc>
        <w:tc>
          <w:tcPr>
            <w:tcW w:w="1125" w:type="dxa"/>
            <w:vAlign w:val="center"/>
          </w:tcPr>
          <w:p>
            <w:pPr>
              <w:pStyle w:val="21"/>
              <w:bidi w:val="0"/>
              <w:rPr>
                <w:rFonts w:hint="default"/>
                <w:color w:val="auto"/>
              </w:rPr>
            </w:pPr>
            <w:r>
              <w:rPr>
                <w:rFonts w:hint="eastAsia"/>
                <w:color w:val="auto"/>
              </w:rPr>
              <w:t>190516</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7.50E-02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50.01</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2.52E-03</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3.95E-02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lang w:val="en-US" w:eastAsia="zh-CN"/>
              </w:rPr>
            </w:pPr>
            <w:r>
              <w:rPr>
                <w:rFonts w:hint="eastAsia"/>
                <w:color w:val="auto"/>
              </w:rPr>
              <w:t>56.45</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2</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4.22E-03</w:t>
            </w:r>
          </w:p>
        </w:tc>
        <w:tc>
          <w:tcPr>
            <w:tcW w:w="1125" w:type="dxa"/>
            <w:vAlign w:val="center"/>
          </w:tcPr>
          <w:p>
            <w:pPr>
              <w:pStyle w:val="21"/>
              <w:bidi w:val="0"/>
              <w:rPr>
                <w:rFonts w:hint="default"/>
                <w:color w:val="auto"/>
              </w:rPr>
            </w:pPr>
            <w:r>
              <w:rPr>
                <w:rFonts w:hint="eastAsia"/>
                <w:color w:val="auto"/>
              </w:rPr>
              <w:t>191227</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7.22E-02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eastAsia"/>
                <w:color w:val="auto"/>
                <w:lang w:eastAsia="zh-CN"/>
              </w:rPr>
            </w:pPr>
            <w:r>
              <w:rPr>
                <w:rFonts w:hint="eastAsia"/>
                <w:color w:val="auto"/>
              </w:rPr>
              <w:t>48.15</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1.32E-03</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3.83E-02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eastAsia"/>
                <w:color w:val="auto"/>
                <w:lang w:eastAsia="zh-CN"/>
              </w:rPr>
            </w:pPr>
            <w:r>
              <w:rPr>
                <w:rFonts w:hint="eastAsia"/>
                <w:color w:val="auto"/>
              </w:rPr>
              <w:t>54.74</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3</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2.94E-03</w:t>
            </w:r>
          </w:p>
        </w:tc>
        <w:tc>
          <w:tcPr>
            <w:tcW w:w="1125" w:type="dxa"/>
            <w:vAlign w:val="center"/>
          </w:tcPr>
          <w:p>
            <w:pPr>
              <w:pStyle w:val="21"/>
              <w:bidi w:val="0"/>
              <w:rPr>
                <w:rFonts w:hint="default"/>
                <w:color w:val="auto"/>
              </w:rPr>
            </w:pPr>
            <w:r>
              <w:rPr>
                <w:rFonts w:hint="eastAsia"/>
                <w:color w:val="auto"/>
              </w:rPr>
              <w:t>191007</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7.09E-02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47.29</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9.94E-04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3.80E-02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rPr>
            </w:pPr>
            <w:r>
              <w:rPr>
                <w:rFonts w:hint="eastAsia"/>
                <w:color w:val="auto"/>
              </w:rPr>
              <w:t>54.28</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4</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5.69E-03</w:t>
            </w:r>
          </w:p>
        </w:tc>
        <w:tc>
          <w:tcPr>
            <w:tcW w:w="1125" w:type="dxa"/>
            <w:vAlign w:val="center"/>
          </w:tcPr>
          <w:p>
            <w:pPr>
              <w:pStyle w:val="21"/>
              <w:bidi w:val="0"/>
              <w:rPr>
                <w:rFonts w:hint="default"/>
                <w:color w:val="auto"/>
              </w:rPr>
            </w:pPr>
            <w:r>
              <w:rPr>
                <w:rFonts w:hint="eastAsia"/>
                <w:color w:val="auto"/>
              </w:rPr>
              <w:t>190611</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7.37E-02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lang w:val="en-US" w:eastAsia="zh-CN"/>
              </w:rPr>
            </w:pPr>
            <w:r>
              <w:rPr>
                <w:rFonts w:hint="eastAsia"/>
                <w:color w:val="auto"/>
              </w:rPr>
              <w:t>49.13</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2.20E-03</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3.92E-02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rPr>
            </w:pPr>
            <w:r>
              <w:rPr>
                <w:rFonts w:hint="eastAsia"/>
                <w:color w:val="auto"/>
              </w:rPr>
              <w:t>56.01</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5</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1.92E-03</w:t>
            </w:r>
          </w:p>
        </w:tc>
        <w:tc>
          <w:tcPr>
            <w:tcW w:w="1125" w:type="dxa"/>
            <w:vAlign w:val="center"/>
          </w:tcPr>
          <w:p>
            <w:pPr>
              <w:pStyle w:val="21"/>
              <w:bidi w:val="0"/>
              <w:rPr>
                <w:rFonts w:hint="default"/>
                <w:color w:val="auto"/>
              </w:rPr>
            </w:pPr>
            <w:r>
              <w:rPr>
                <w:rFonts w:hint="eastAsia"/>
                <w:color w:val="auto"/>
              </w:rPr>
              <w:t>190913</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6.99E-02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46.61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5.36E-04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3.75E-02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rPr>
            </w:pPr>
            <w:r>
              <w:rPr>
                <w:rFonts w:hint="eastAsia"/>
                <w:color w:val="auto"/>
              </w:rPr>
              <w:t>53.62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6</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8.14E-04</w:t>
            </w:r>
          </w:p>
        </w:tc>
        <w:tc>
          <w:tcPr>
            <w:tcW w:w="1125" w:type="dxa"/>
            <w:vAlign w:val="center"/>
          </w:tcPr>
          <w:p>
            <w:pPr>
              <w:pStyle w:val="21"/>
              <w:bidi w:val="0"/>
              <w:rPr>
                <w:rFonts w:hint="default"/>
                <w:color w:val="auto"/>
              </w:rPr>
            </w:pPr>
            <w:r>
              <w:rPr>
                <w:rFonts w:hint="eastAsia"/>
                <w:color w:val="auto"/>
              </w:rPr>
              <w:t>190715</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6.88E-02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45.88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1.87E-04</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3.72E-02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rPr>
            </w:pPr>
            <w:r>
              <w:rPr>
                <w:rFonts w:hint="eastAsia"/>
                <w:color w:val="auto"/>
              </w:rPr>
              <w:t>53.12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7</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1.78E-02</w:t>
            </w:r>
          </w:p>
        </w:tc>
        <w:tc>
          <w:tcPr>
            <w:tcW w:w="1125" w:type="dxa"/>
            <w:vAlign w:val="center"/>
          </w:tcPr>
          <w:p>
            <w:pPr>
              <w:pStyle w:val="21"/>
              <w:bidi w:val="0"/>
              <w:rPr>
                <w:rFonts w:hint="default"/>
                <w:color w:val="auto"/>
              </w:rPr>
            </w:pPr>
            <w:r>
              <w:rPr>
                <w:rFonts w:hint="eastAsia"/>
                <w:color w:val="auto"/>
              </w:rPr>
              <w:t>190224</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8.58E-02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57.19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jc w:val="center"/>
              <w:rPr>
                <w:rFonts w:hint="default"/>
                <w:color w:val="auto"/>
                <w:highlight w:val="none"/>
              </w:rPr>
            </w:pPr>
          </w:p>
        </w:tc>
        <w:tc>
          <w:tcPr>
            <w:tcW w:w="868" w:type="dxa"/>
            <w:vMerge w:val="continue"/>
            <w:vAlign w:val="center"/>
          </w:tcPr>
          <w:p>
            <w:pPr>
              <w:pStyle w:val="21"/>
              <w:bidi w:val="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8.07E-03</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4.51E-02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rPr>
            </w:pPr>
            <w:r>
              <w:rPr>
                <w:rFonts w:hint="eastAsia"/>
                <w:color w:val="auto"/>
              </w:rPr>
              <w:t>64.39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eastAsia" w:eastAsia="宋体"/>
                <w:color w:val="auto"/>
                <w:highlight w:val="none"/>
                <w:lang w:val="en-US" w:eastAsia="zh-CN"/>
              </w:rPr>
            </w:pPr>
            <w:r>
              <w:rPr>
                <w:rFonts w:hint="eastAsia" w:cs="Times New Roman"/>
                <w:color w:val="auto"/>
                <w:highlight w:val="none"/>
                <w:lang w:val="en-US" w:eastAsia="zh-CN"/>
              </w:rPr>
              <w:t>8</w:t>
            </w:r>
          </w:p>
        </w:tc>
        <w:tc>
          <w:tcPr>
            <w:tcW w:w="868" w:type="dxa"/>
            <w:vMerge w:val="restart"/>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default"/>
                <w:color w:val="auto"/>
              </w:rPr>
            </w:pPr>
            <w:r>
              <w:rPr>
                <w:rFonts w:hint="eastAsia"/>
                <w:color w:val="auto"/>
              </w:rPr>
              <w:t>1.19E-02</w:t>
            </w:r>
          </w:p>
        </w:tc>
        <w:tc>
          <w:tcPr>
            <w:tcW w:w="1125" w:type="dxa"/>
            <w:vAlign w:val="center"/>
          </w:tcPr>
          <w:p>
            <w:pPr>
              <w:pStyle w:val="21"/>
              <w:bidi w:val="0"/>
              <w:rPr>
                <w:rFonts w:hint="default"/>
                <w:color w:val="auto"/>
              </w:rPr>
            </w:pPr>
            <w:r>
              <w:rPr>
                <w:rFonts w:hint="eastAsia"/>
                <w:color w:val="auto"/>
              </w:rPr>
              <w:t>190509</w:t>
            </w:r>
          </w:p>
        </w:tc>
        <w:tc>
          <w:tcPr>
            <w:tcW w:w="1162" w:type="dxa"/>
            <w:vAlign w:val="center"/>
          </w:tcPr>
          <w:p>
            <w:pPr>
              <w:pStyle w:val="21"/>
              <w:bidi w:val="0"/>
              <w:rPr>
                <w:rFonts w:hint="default"/>
                <w:color w:val="auto"/>
              </w:rPr>
            </w:pPr>
            <w:r>
              <w:rPr>
                <w:rFonts w:hint="eastAsia"/>
                <w:color w:val="auto"/>
              </w:rPr>
              <w:t>6.80E-02</w:t>
            </w:r>
          </w:p>
        </w:tc>
        <w:tc>
          <w:tcPr>
            <w:tcW w:w="1144" w:type="dxa"/>
            <w:vAlign w:val="center"/>
          </w:tcPr>
          <w:p>
            <w:pPr>
              <w:pStyle w:val="21"/>
              <w:bidi w:val="0"/>
              <w:rPr>
                <w:rFonts w:hint="default"/>
                <w:color w:val="auto"/>
              </w:rPr>
            </w:pPr>
            <w:r>
              <w:rPr>
                <w:rFonts w:hint="eastAsia"/>
                <w:color w:val="auto"/>
              </w:rPr>
              <w:t>7.99E-02</w:t>
            </w:r>
          </w:p>
        </w:tc>
        <w:tc>
          <w:tcPr>
            <w:tcW w:w="1050" w:type="dxa"/>
            <w:vAlign w:val="center"/>
          </w:tcPr>
          <w:p>
            <w:pPr>
              <w:pStyle w:val="21"/>
              <w:bidi w:val="0"/>
              <w:rPr>
                <w:rFonts w:hint="default"/>
                <w:color w:val="auto"/>
              </w:rPr>
            </w:pPr>
            <w:r>
              <w:rPr>
                <w:rFonts w:hint="eastAsia"/>
                <w:color w:val="auto"/>
              </w:rPr>
              <w:t>1.50E-01</w:t>
            </w:r>
          </w:p>
        </w:tc>
        <w:tc>
          <w:tcPr>
            <w:tcW w:w="769" w:type="dxa"/>
            <w:vAlign w:val="center"/>
          </w:tcPr>
          <w:p>
            <w:pPr>
              <w:pStyle w:val="21"/>
              <w:bidi w:val="0"/>
              <w:rPr>
                <w:rFonts w:hint="default"/>
                <w:color w:val="auto"/>
              </w:rPr>
            </w:pPr>
            <w:r>
              <w:rPr>
                <w:rFonts w:hint="eastAsia"/>
                <w:color w:val="auto"/>
              </w:rPr>
              <w:t>53.24</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default"/>
                <w:color w:val="auto"/>
              </w:rPr>
            </w:pPr>
            <w:r>
              <w:rPr>
                <w:rFonts w:hint="eastAsia"/>
                <w:color w:val="auto"/>
              </w:rPr>
              <w:t>5.83E-03</w:t>
            </w:r>
          </w:p>
        </w:tc>
        <w:tc>
          <w:tcPr>
            <w:tcW w:w="1125" w:type="dxa"/>
            <w:vAlign w:val="center"/>
          </w:tcPr>
          <w:p>
            <w:pPr>
              <w:pStyle w:val="21"/>
              <w:bidi w:val="0"/>
              <w:rPr>
                <w:rFonts w:hint="default"/>
                <w:color w:val="auto"/>
              </w:rPr>
            </w:pPr>
            <w:r>
              <w:rPr>
                <w:rFonts w:hint="eastAsia"/>
                <w:color w:val="auto"/>
              </w:rPr>
              <w:t>平均值</w:t>
            </w:r>
          </w:p>
        </w:tc>
        <w:tc>
          <w:tcPr>
            <w:tcW w:w="1162" w:type="dxa"/>
            <w:vAlign w:val="center"/>
          </w:tcPr>
          <w:p>
            <w:pPr>
              <w:pStyle w:val="21"/>
              <w:bidi w:val="0"/>
              <w:rPr>
                <w:rFonts w:hint="default"/>
                <w:color w:val="auto"/>
              </w:rPr>
            </w:pPr>
            <w:r>
              <w:rPr>
                <w:rFonts w:hint="eastAsia"/>
                <w:color w:val="auto"/>
              </w:rPr>
              <w:t>3.70E-02</w:t>
            </w:r>
          </w:p>
        </w:tc>
        <w:tc>
          <w:tcPr>
            <w:tcW w:w="1144" w:type="dxa"/>
            <w:vAlign w:val="center"/>
          </w:tcPr>
          <w:p>
            <w:pPr>
              <w:pStyle w:val="21"/>
              <w:bidi w:val="0"/>
              <w:rPr>
                <w:rFonts w:hint="default"/>
                <w:color w:val="auto"/>
              </w:rPr>
            </w:pPr>
            <w:r>
              <w:rPr>
                <w:rFonts w:hint="eastAsia"/>
                <w:color w:val="auto"/>
              </w:rPr>
              <w:t>4.28E-02</w:t>
            </w:r>
          </w:p>
        </w:tc>
        <w:tc>
          <w:tcPr>
            <w:tcW w:w="1050" w:type="dxa"/>
            <w:vAlign w:val="center"/>
          </w:tcPr>
          <w:p>
            <w:pPr>
              <w:pStyle w:val="21"/>
              <w:bidi w:val="0"/>
              <w:rPr>
                <w:rFonts w:hint="default"/>
                <w:color w:val="auto"/>
              </w:rPr>
            </w:pPr>
            <w:r>
              <w:rPr>
                <w:rFonts w:hint="eastAsia"/>
                <w:color w:val="auto"/>
              </w:rPr>
              <w:t>7.00E-02</w:t>
            </w:r>
          </w:p>
        </w:tc>
        <w:tc>
          <w:tcPr>
            <w:tcW w:w="769" w:type="dxa"/>
            <w:vAlign w:val="center"/>
          </w:tcPr>
          <w:p>
            <w:pPr>
              <w:pStyle w:val="21"/>
              <w:bidi w:val="0"/>
              <w:rPr>
                <w:rFonts w:hint="default"/>
                <w:color w:val="auto"/>
              </w:rPr>
            </w:pPr>
            <w:r>
              <w:rPr>
                <w:rFonts w:hint="eastAsia"/>
                <w:color w:val="auto"/>
              </w:rPr>
              <w:t>61.19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9</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小洋</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6.05E-04</w:t>
            </w:r>
          </w:p>
        </w:tc>
        <w:tc>
          <w:tcPr>
            <w:tcW w:w="1125" w:type="dxa"/>
            <w:vAlign w:val="center"/>
          </w:tcPr>
          <w:p>
            <w:pPr>
              <w:pStyle w:val="21"/>
              <w:bidi w:val="0"/>
              <w:rPr>
                <w:rFonts w:hint="eastAsia"/>
                <w:color w:val="auto"/>
              </w:rPr>
            </w:pPr>
            <w:r>
              <w:rPr>
                <w:rFonts w:hint="eastAsia"/>
                <w:color w:val="auto"/>
              </w:rPr>
              <w:t>190512</w:t>
            </w:r>
          </w:p>
        </w:tc>
        <w:tc>
          <w:tcPr>
            <w:tcW w:w="1162" w:type="dxa"/>
            <w:vAlign w:val="center"/>
          </w:tcPr>
          <w:p>
            <w:pPr>
              <w:pStyle w:val="21"/>
              <w:bidi w:val="0"/>
              <w:rPr>
                <w:rFonts w:hint="eastAsia"/>
                <w:color w:val="auto"/>
              </w:rPr>
            </w:pPr>
            <w:r>
              <w:rPr>
                <w:rFonts w:hint="eastAsia"/>
                <w:color w:val="auto"/>
              </w:rPr>
              <w:t>6.80E-02</w:t>
            </w:r>
          </w:p>
        </w:tc>
        <w:tc>
          <w:tcPr>
            <w:tcW w:w="1144" w:type="dxa"/>
            <w:vAlign w:val="center"/>
          </w:tcPr>
          <w:p>
            <w:pPr>
              <w:pStyle w:val="21"/>
              <w:bidi w:val="0"/>
              <w:rPr>
                <w:rFonts w:hint="eastAsia"/>
                <w:color w:val="auto"/>
              </w:rPr>
            </w:pPr>
            <w:r>
              <w:rPr>
                <w:rFonts w:hint="eastAsia"/>
                <w:color w:val="auto"/>
              </w:rPr>
              <w:t>6.86E-02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45.74</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1.40E-04</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3.70E-02</w:t>
            </w:r>
          </w:p>
        </w:tc>
        <w:tc>
          <w:tcPr>
            <w:tcW w:w="1144" w:type="dxa"/>
            <w:vAlign w:val="center"/>
          </w:tcPr>
          <w:p>
            <w:pPr>
              <w:pStyle w:val="21"/>
              <w:bidi w:val="0"/>
              <w:rPr>
                <w:rFonts w:hint="eastAsia"/>
                <w:color w:val="auto"/>
              </w:rPr>
            </w:pPr>
            <w:r>
              <w:rPr>
                <w:rFonts w:hint="eastAsia"/>
                <w:color w:val="auto"/>
              </w:rPr>
              <w:t>3.71E-02</w:t>
            </w:r>
          </w:p>
        </w:tc>
        <w:tc>
          <w:tcPr>
            <w:tcW w:w="1050" w:type="dxa"/>
            <w:vAlign w:val="center"/>
          </w:tcPr>
          <w:p>
            <w:pPr>
              <w:pStyle w:val="21"/>
              <w:bidi w:val="0"/>
              <w:rPr>
                <w:rFonts w:hint="eastAsia"/>
                <w:color w:val="auto"/>
              </w:rPr>
            </w:pPr>
            <w:r>
              <w:rPr>
                <w:rFonts w:hint="eastAsia"/>
                <w:color w:val="auto"/>
              </w:rPr>
              <w:t>7.00E-02</w:t>
            </w:r>
          </w:p>
        </w:tc>
        <w:tc>
          <w:tcPr>
            <w:tcW w:w="769" w:type="dxa"/>
            <w:vAlign w:val="center"/>
          </w:tcPr>
          <w:p>
            <w:pPr>
              <w:pStyle w:val="21"/>
              <w:bidi w:val="0"/>
              <w:rPr>
                <w:rFonts w:hint="eastAsia"/>
                <w:color w:val="auto"/>
              </w:rPr>
            </w:pPr>
            <w:r>
              <w:rPr>
                <w:rFonts w:hint="eastAsia"/>
                <w:color w:val="auto"/>
              </w:rPr>
              <w:t>53.06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10</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竹栏头</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7.41E-04</w:t>
            </w:r>
          </w:p>
        </w:tc>
        <w:tc>
          <w:tcPr>
            <w:tcW w:w="1125" w:type="dxa"/>
            <w:vAlign w:val="center"/>
          </w:tcPr>
          <w:p>
            <w:pPr>
              <w:pStyle w:val="21"/>
              <w:bidi w:val="0"/>
              <w:rPr>
                <w:rFonts w:hint="eastAsia"/>
                <w:color w:val="auto"/>
              </w:rPr>
            </w:pPr>
            <w:r>
              <w:rPr>
                <w:rFonts w:hint="eastAsia"/>
                <w:color w:val="auto"/>
              </w:rPr>
              <w:t>190414</w:t>
            </w:r>
          </w:p>
        </w:tc>
        <w:tc>
          <w:tcPr>
            <w:tcW w:w="1162" w:type="dxa"/>
            <w:vAlign w:val="center"/>
          </w:tcPr>
          <w:p>
            <w:pPr>
              <w:pStyle w:val="21"/>
              <w:bidi w:val="0"/>
              <w:rPr>
                <w:rFonts w:hint="eastAsia"/>
                <w:color w:val="auto"/>
              </w:rPr>
            </w:pPr>
            <w:r>
              <w:rPr>
                <w:rFonts w:hint="eastAsia"/>
                <w:color w:val="auto"/>
              </w:rPr>
              <w:t>6.80E-02</w:t>
            </w:r>
          </w:p>
        </w:tc>
        <w:tc>
          <w:tcPr>
            <w:tcW w:w="1144" w:type="dxa"/>
            <w:vAlign w:val="center"/>
          </w:tcPr>
          <w:p>
            <w:pPr>
              <w:pStyle w:val="21"/>
              <w:bidi w:val="0"/>
              <w:rPr>
                <w:rFonts w:hint="eastAsia"/>
                <w:color w:val="auto"/>
              </w:rPr>
            </w:pPr>
            <w:r>
              <w:rPr>
                <w:rFonts w:hint="eastAsia"/>
                <w:color w:val="auto"/>
              </w:rPr>
              <w:t>6.87E-02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45.83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1.45E-04</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3.70E-02</w:t>
            </w:r>
          </w:p>
        </w:tc>
        <w:tc>
          <w:tcPr>
            <w:tcW w:w="1144" w:type="dxa"/>
            <w:vAlign w:val="center"/>
          </w:tcPr>
          <w:p>
            <w:pPr>
              <w:pStyle w:val="21"/>
              <w:bidi w:val="0"/>
              <w:rPr>
                <w:rFonts w:hint="eastAsia"/>
                <w:color w:val="auto"/>
              </w:rPr>
            </w:pPr>
            <w:r>
              <w:rPr>
                <w:rFonts w:hint="eastAsia"/>
                <w:color w:val="auto"/>
              </w:rPr>
              <w:t>3.71E-02</w:t>
            </w:r>
          </w:p>
        </w:tc>
        <w:tc>
          <w:tcPr>
            <w:tcW w:w="1050" w:type="dxa"/>
            <w:vAlign w:val="center"/>
          </w:tcPr>
          <w:p>
            <w:pPr>
              <w:pStyle w:val="21"/>
              <w:bidi w:val="0"/>
              <w:rPr>
                <w:rFonts w:hint="eastAsia"/>
                <w:color w:val="auto"/>
              </w:rPr>
            </w:pPr>
            <w:r>
              <w:rPr>
                <w:rFonts w:hint="eastAsia"/>
                <w:color w:val="auto"/>
              </w:rPr>
              <w:t>7.00E-02</w:t>
            </w:r>
          </w:p>
        </w:tc>
        <w:tc>
          <w:tcPr>
            <w:tcW w:w="769" w:type="dxa"/>
            <w:vAlign w:val="center"/>
          </w:tcPr>
          <w:p>
            <w:pPr>
              <w:pStyle w:val="21"/>
              <w:bidi w:val="0"/>
              <w:rPr>
                <w:rFonts w:hint="eastAsia"/>
                <w:color w:val="auto"/>
              </w:rPr>
            </w:pPr>
            <w:r>
              <w:rPr>
                <w:rFonts w:hint="eastAsia"/>
                <w:color w:val="auto"/>
              </w:rPr>
              <w:t>53.06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11</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东岭头</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3.49E-04</w:t>
            </w:r>
          </w:p>
        </w:tc>
        <w:tc>
          <w:tcPr>
            <w:tcW w:w="1125" w:type="dxa"/>
            <w:vAlign w:val="center"/>
          </w:tcPr>
          <w:p>
            <w:pPr>
              <w:pStyle w:val="21"/>
              <w:bidi w:val="0"/>
              <w:rPr>
                <w:rFonts w:hint="eastAsia"/>
                <w:color w:val="auto"/>
              </w:rPr>
            </w:pPr>
            <w:r>
              <w:rPr>
                <w:rFonts w:hint="eastAsia"/>
                <w:color w:val="auto"/>
              </w:rPr>
              <w:t>190716</w:t>
            </w:r>
          </w:p>
        </w:tc>
        <w:tc>
          <w:tcPr>
            <w:tcW w:w="1162" w:type="dxa"/>
            <w:vAlign w:val="center"/>
          </w:tcPr>
          <w:p>
            <w:pPr>
              <w:pStyle w:val="21"/>
              <w:bidi w:val="0"/>
              <w:rPr>
                <w:rFonts w:hint="eastAsia"/>
                <w:color w:val="auto"/>
              </w:rPr>
            </w:pPr>
            <w:r>
              <w:rPr>
                <w:rFonts w:hint="eastAsia"/>
                <w:color w:val="auto"/>
              </w:rPr>
              <w:t>6.80E-02</w:t>
            </w:r>
          </w:p>
        </w:tc>
        <w:tc>
          <w:tcPr>
            <w:tcW w:w="1144" w:type="dxa"/>
            <w:vAlign w:val="center"/>
          </w:tcPr>
          <w:p>
            <w:pPr>
              <w:pStyle w:val="21"/>
              <w:bidi w:val="0"/>
              <w:rPr>
                <w:rFonts w:hint="eastAsia"/>
                <w:color w:val="auto"/>
              </w:rPr>
            </w:pPr>
            <w:r>
              <w:rPr>
                <w:rFonts w:hint="eastAsia"/>
                <w:color w:val="auto"/>
              </w:rPr>
              <w:t>6.83E-02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45.57</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1.18E-04</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3.70E-02</w:t>
            </w:r>
          </w:p>
        </w:tc>
        <w:tc>
          <w:tcPr>
            <w:tcW w:w="1144" w:type="dxa"/>
            <w:vAlign w:val="center"/>
          </w:tcPr>
          <w:p>
            <w:pPr>
              <w:pStyle w:val="21"/>
              <w:bidi w:val="0"/>
              <w:rPr>
                <w:rFonts w:hint="eastAsia"/>
                <w:color w:val="auto"/>
              </w:rPr>
            </w:pPr>
            <w:r>
              <w:rPr>
                <w:rFonts w:hint="eastAsia"/>
                <w:color w:val="auto"/>
              </w:rPr>
              <w:t>3.71E-02</w:t>
            </w:r>
          </w:p>
        </w:tc>
        <w:tc>
          <w:tcPr>
            <w:tcW w:w="1050" w:type="dxa"/>
            <w:vAlign w:val="center"/>
          </w:tcPr>
          <w:p>
            <w:pPr>
              <w:pStyle w:val="21"/>
              <w:bidi w:val="0"/>
              <w:rPr>
                <w:rFonts w:hint="eastAsia"/>
                <w:color w:val="auto"/>
              </w:rPr>
            </w:pPr>
            <w:r>
              <w:rPr>
                <w:rFonts w:hint="eastAsia"/>
                <w:color w:val="auto"/>
              </w:rPr>
              <w:t>7.00E-02</w:t>
            </w:r>
          </w:p>
        </w:tc>
        <w:tc>
          <w:tcPr>
            <w:tcW w:w="769" w:type="dxa"/>
            <w:vAlign w:val="center"/>
          </w:tcPr>
          <w:p>
            <w:pPr>
              <w:pStyle w:val="21"/>
              <w:bidi w:val="0"/>
              <w:rPr>
                <w:rFonts w:hint="eastAsia"/>
                <w:color w:val="auto"/>
              </w:rPr>
            </w:pPr>
            <w:r>
              <w:rPr>
                <w:rFonts w:hint="eastAsia"/>
                <w:color w:val="auto"/>
              </w:rPr>
              <w:t>53.03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12</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秦家洋</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7.04E-05</w:t>
            </w:r>
          </w:p>
        </w:tc>
        <w:tc>
          <w:tcPr>
            <w:tcW w:w="1125" w:type="dxa"/>
            <w:vAlign w:val="center"/>
          </w:tcPr>
          <w:p>
            <w:pPr>
              <w:pStyle w:val="21"/>
              <w:bidi w:val="0"/>
              <w:rPr>
                <w:rFonts w:hint="eastAsia"/>
                <w:color w:val="auto"/>
              </w:rPr>
            </w:pPr>
            <w:r>
              <w:rPr>
                <w:rFonts w:hint="eastAsia"/>
                <w:color w:val="auto"/>
              </w:rPr>
              <w:t>190219</w:t>
            </w:r>
          </w:p>
        </w:tc>
        <w:tc>
          <w:tcPr>
            <w:tcW w:w="1162" w:type="dxa"/>
            <w:vAlign w:val="center"/>
          </w:tcPr>
          <w:p>
            <w:pPr>
              <w:pStyle w:val="21"/>
              <w:bidi w:val="0"/>
              <w:rPr>
                <w:rFonts w:hint="eastAsia"/>
                <w:color w:val="auto"/>
              </w:rPr>
            </w:pPr>
            <w:r>
              <w:rPr>
                <w:rFonts w:hint="eastAsia"/>
                <w:color w:val="auto"/>
              </w:rPr>
              <w:t>6.80E-02</w:t>
            </w:r>
          </w:p>
        </w:tc>
        <w:tc>
          <w:tcPr>
            <w:tcW w:w="1144" w:type="dxa"/>
            <w:vAlign w:val="center"/>
          </w:tcPr>
          <w:p>
            <w:pPr>
              <w:pStyle w:val="21"/>
              <w:bidi w:val="0"/>
              <w:rPr>
                <w:rFonts w:hint="eastAsia"/>
                <w:color w:val="auto"/>
              </w:rPr>
            </w:pPr>
            <w:r>
              <w:rPr>
                <w:rFonts w:hint="eastAsia"/>
                <w:color w:val="auto"/>
              </w:rPr>
              <w:t>6.81E-02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45.38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1.43E-05</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3.70E-02</w:t>
            </w:r>
          </w:p>
        </w:tc>
        <w:tc>
          <w:tcPr>
            <w:tcW w:w="1144" w:type="dxa"/>
            <w:vAlign w:val="center"/>
          </w:tcPr>
          <w:p>
            <w:pPr>
              <w:pStyle w:val="21"/>
              <w:bidi w:val="0"/>
              <w:rPr>
                <w:rFonts w:hint="eastAsia"/>
                <w:color w:val="auto"/>
              </w:rPr>
            </w:pPr>
            <w:r>
              <w:rPr>
                <w:rFonts w:hint="eastAsia"/>
                <w:color w:val="auto"/>
              </w:rPr>
              <w:t>3.70E-02</w:t>
            </w:r>
          </w:p>
        </w:tc>
        <w:tc>
          <w:tcPr>
            <w:tcW w:w="1050" w:type="dxa"/>
            <w:vAlign w:val="center"/>
          </w:tcPr>
          <w:p>
            <w:pPr>
              <w:pStyle w:val="21"/>
              <w:bidi w:val="0"/>
              <w:rPr>
                <w:rFonts w:hint="eastAsia"/>
                <w:color w:val="auto"/>
              </w:rPr>
            </w:pPr>
            <w:r>
              <w:rPr>
                <w:rFonts w:hint="eastAsia"/>
                <w:color w:val="auto"/>
              </w:rPr>
              <w:t>7.00E-02</w:t>
            </w:r>
          </w:p>
        </w:tc>
        <w:tc>
          <w:tcPr>
            <w:tcW w:w="769" w:type="dxa"/>
            <w:vAlign w:val="center"/>
          </w:tcPr>
          <w:p>
            <w:pPr>
              <w:pStyle w:val="21"/>
              <w:bidi w:val="0"/>
              <w:rPr>
                <w:rFonts w:hint="eastAsia"/>
                <w:color w:val="auto"/>
              </w:rPr>
            </w:pPr>
            <w:r>
              <w:rPr>
                <w:rFonts w:hint="eastAsia"/>
                <w:color w:val="auto"/>
              </w:rPr>
              <w:t>52.88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13</w:t>
            </w:r>
          </w:p>
        </w:tc>
        <w:tc>
          <w:tcPr>
            <w:tcW w:w="868"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山后</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1.71E-04</w:t>
            </w:r>
          </w:p>
        </w:tc>
        <w:tc>
          <w:tcPr>
            <w:tcW w:w="1125" w:type="dxa"/>
            <w:vAlign w:val="center"/>
          </w:tcPr>
          <w:p>
            <w:pPr>
              <w:pStyle w:val="21"/>
              <w:bidi w:val="0"/>
              <w:rPr>
                <w:rFonts w:hint="eastAsia"/>
                <w:color w:val="auto"/>
              </w:rPr>
            </w:pPr>
            <w:r>
              <w:rPr>
                <w:rFonts w:hint="eastAsia"/>
                <w:color w:val="auto"/>
              </w:rPr>
              <w:t>190810</w:t>
            </w:r>
          </w:p>
        </w:tc>
        <w:tc>
          <w:tcPr>
            <w:tcW w:w="1162" w:type="dxa"/>
            <w:vAlign w:val="center"/>
          </w:tcPr>
          <w:p>
            <w:pPr>
              <w:pStyle w:val="21"/>
              <w:bidi w:val="0"/>
              <w:rPr>
                <w:rFonts w:hint="eastAsia"/>
                <w:color w:val="auto"/>
              </w:rPr>
            </w:pPr>
            <w:r>
              <w:rPr>
                <w:rFonts w:hint="eastAsia"/>
                <w:color w:val="auto"/>
              </w:rPr>
              <w:t>6.80E-02</w:t>
            </w:r>
          </w:p>
        </w:tc>
        <w:tc>
          <w:tcPr>
            <w:tcW w:w="1144" w:type="dxa"/>
            <w:vAlign w:val="center"/>
          </w:tcPr>
          <w:p>
            <w:pPr>
              <w:pStyle w:val="21"/>
              <w:bidi w:val="0"/>
              <w:rPr>
                <w:rFonts w:hint="eastAsia"/>
                <w:color w:val="auto"/>
              </w:rPr>
            </w:pPr>
            <w:r>
              <w:rPr>
                <w:rFonts w:hint="eastAsia"/>
                <w:color w:val="auto"/>
              </w:rPr>
              <w:t>6.82E-02</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45.45</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jc w:val="center"/>
              <w:rPr>
                <w:rFonts w:hint="default"/>
                <w:color w:val="auto"/>
                <w:highlight w:val="none"/>
              </w:rPr>
            </w:pPr>
          </w:p>
        </w:tc>
        <w:tc>
          <w:tcPr>
            <w:tcW w:w="868" w:type="dxa"/>
            <w:vMerge w:val="continue"/>
            <w:vAlign w:val="center"/>
          </w:tcPr>
          <w:p>
            <w:pPr>
              <w:pStyle w:val="21"/>
              <w:bidi w:val="0"/>
              <w:ind w:left="0" w:leftChars="0" w:firstLine="0" w:firstLineChars="0"/>
              <w:jc w:val="center"/>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4.04E-05</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3.70E-02</w:t>
            </w:r>
          </w:p>
        </w:tc>
        <w:tc>
          <w:tcPr>
            <w:tcW w:w="1144" w:type="dxa"/>
            <w:vAlign w:val="center"/>
          </w:tcPr>
          <w:p>
            <w:pPr>
              <w:pStyle w:val="21"/>
              <w:bidi w:val="0"/>
              <w:rPr>
                <w:rFonts w:hint="eastAsia"/>
                <w:color w:val="auto"/>
              </w:rPr>
            </w:pPr>
            <w:r>
              <w:rPr>
                <w:rFonts w:hint="eastAsia"/>
                <w:color w:val="auto"/>
              </w:rPr>
              <w:t>3.70E-02</w:t>
            </w:r>
          </w:p>
        </w:tc>
        <w:tc>
          <w:tcPr>
            <w:tcW w:w="1050" w:type="dxa"/>
            <w:vAlign w:val="center"/>
          </w:tcPr>
          <w:p>
            <w:pPr>
              <w:pStyle w:val="21"/>
              <w:bidi w:val="0"/>
              <w:rPr>
                <w:rFonts w:hint="eastAsia"/>
                <w:color w:val="auto"/>
              </w:rPr>
            </w:pPr>
            <w:r>
              <w:rPr>
                <w:rFonts w:hint="eastAsia"/>
                <w:color w:val="auto"/>
              </w:rPr>
              <w:t>7.00E-02</w:t>
            </w:r>
          </w:p>
        </w:tc>
        <w:tc>
          <w:tcPr>
            <w:tcW w:w="769" w:type="dxa"/>
            <w:vAlign w:val="center"/>
          </w:tcPr>
          <w:p>
            <w:pPr>
              <w:pStyle w:val="21"/>
              <w:bidi w:val="0"/>
              <w:rPr>
                <w:rFonts w:hint="eastAsia"/>
                <w:color w:val="auto"/>
              </w:rPr>
            </w:pPr>
            <w:r>
              <w:rPr>
                <w:rFonts w:hint="eastAsia"/>
                <w:color w:val="auto"/>
              </w:rPr>
              <w:t>52.91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restart"/>
            <w:vAlign w:val="center"/>
          </w:tcPr>
          <w:p>
            <w:pPr>
              <w:pStyle w:val="21"/>
              <w:bidi w:val="0"/>
              <w:ind w:left="0" w:leftChars="0" w:firstLine="0" w:firstLineChars="0"/>
              <w:rPr>
                <w:rFonts w:hint="default"/>
                <w:color w:val="auto"/>
                <w:highlight w:val="none"/>
              </w:rPr>
            </w:pPr>
            <w:r>
              <w:rPr>
                <w:rFonts w:hint="eastAsia" w:cs="Times New Roman"/>
                <w:color w:val="auto"/>
                <w:highlight w:val="none"/>
                <w:lang w:val="en-US" w:eastAsia="zh-CN"/>
              </w:rPr>
              <w:t>14</w:t>
            </w:r>
          </w:p>
        </w:tc>
        <w:tc>
          <w:tcPr>
            <w:tcW w:w="868" w:type="dxa"/>
            <w:vMerge w:val="restart"/>
            <w:vAlign w:val="center"/>
          </w:tcPr>
          <w:p>
            <w:pPr>
              <w:pStyle w:val="21"/>
              <w:bidi w:val="0"/>
              <w:ind w:left="0" w:leftChars="0" w:firstLine="0" w:firstLineChars="0"/>
              <w:rPr>
                <w:rFonts w:hint="default"/>
                <w:color w:val="auto"/>
                <w:highlight w:val="none"/>
              </w:rPr>
            </w:pPr>
            <w:r>
              <w:rPr>
                <w:rFonts w:hint="default" w:ascii="Times New Roman" w:hAnsi="Times New Roman" w:cs="Times New Roman"/>
                <w:color w:val="auto"/>
                <w:highlight w:val="none"/>
                <w:lang w:val="en-US" w:eastAsia="zh-CN"/>
              </w:rPr>
              <w:t>网格</w:t>
            </w: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日平均</w:t>
            </w:r>
          </w:p>
        </w:tc>
        <w:tc>
          <w:tcPr>
            <w:tcW w:w="1133" w:type="dxa"/>
            <w:vAlign w:val="center"/>
          </w:tcPr>
          <w:p>
            <w:pPr>
              <w:pStyle w:val="21"/>
              <w:bidi w:val="0"/>
              <w:rPr>
                <w:rFonts w:hint="eastAsia"/>
                <w:color w:val="auto"/>
              </w:rPr>
            </w:pPr>
            <w:r>
              <w:rPr>
                <w:rFonts w:hint="eastAsia"/>
                <w:color w:val="auto"/>
              </w:rPr>
              <w:t>3.69E-02</w:t>
            </w:r>
          </w:p>
        </w:tc>
        <w:tc>
          <w:tcPr>
            <w:tcW w:w="1125" w:type="dxa"/>
            <w:vAlign w:val="center"/>
          </w:tcPr>
          <w:p>
            <w:pPr>
              <w:pStyle w:val="21"/>
              <w:bidi w:val="0"/>
              <w:rPr>
                <w:rFonts w:hint="eastAsia"/>
                <w:color w:val="auto"/>
              </w:rPr>
            </w:pPr>
            <w:r>
              <w:rPr>
                <w:rFonts w:hint="eastAsia"/>
                <w:color w:val="auto"/>
              </w:rPr>
              <w:t>190212</w:t>
            </w:r>
          </w:p>
        </w:tc>
        <w:tc>
          <w:tcPr>
            <w:tcW w:w="1162" w:type="dxa"/>
            <w:vAlign w:val="center"/>
          </w:tcPr>
          <w:p>
            <w:pPr>
              <w:pStyle w:val="21"/>
              <w:bidi w:val="0"/>
              <w:rPr>
                <w:rFonts w:hint="eastAsia"/>
                <w:color w:val="auto"/>
              </w:rPr>
            </w:pPr>
            <w:r>
              <w:rPr>
                <w:rFonts w:hint="eastAsia"/>
                <w:color w:val="auto"/>
              </w:rPr>
              <w:t>6.80E-02</w:t>
            </w:r>
          </w:p>
        </w:tc>
        <w:tc>
          <w:tcPr>
            <w:tcW w:w="1144" w:type="dxa"/>
            <w:vAlign w:val="center"/>
          </w:tcPr>
          <w:p>
            <w:pPr>
              <w:pStyle w:val="21"/>
              <w:bidi w:val="0"/>
              <w:rPr>
                <w:rFonts w:hint="eastAsia"/>
                <w:color w:val="auto"/>
              </w:rPr>
            </w:pPr>
            <w:r>
              <w:rPr>
                <w:rFonts w:hint="eastAsia"/>
                <w:color w:val="auto"/>
              </w:rPr>
              <w:t>1.05E-01</w:t>
            </w:r>
          </w:p>
        </w:tc>
        <w:tc>
          <w:tcPr>
            <w:tcW w:w="1050" w:type="dxa"/>
            <w:vAlign w:val="center"/>
          </w:tcPr>
          <w:p>
            <w:pPr>
              <w:pStyle w:val="21"/>
              <w:bidi w:val="0"/>
              <w:rPr>
                <w:rFonts w:hint="eastAsia"/>
                <w:color w:val="auto"/>
              </w:rPr>
            </w:pPr>
            <w:r>
              <w:rPr>
                <w:rFonts w:hint="eastAsia"/>
                <w:color w:val="auto"/>
              </w:rPr>
              <w:t>1.50E-01</w:t>
            </w:r>
          </w:p>
        </w:tc>
        <w:tc>
          <w:tcPr>
            <w:tcW w:w="769" w:type="dxa"/>
            <w:vAlign w:val="center"/>
          </w:tcPr>
          <w:p>
            <w:pPr>
              <w:pStyle w:val="21"/>
              <w:bidi w:val="0"/>
              <w:rPr>
                <w:rFonts w:hint="eastAsia"/>
                <w:color w:val="auto"/>
              </w:rPr>
            </w:pPr>
            <w:r>
              <w:rPr>
                <w:rFonts w:hint="eastAsia"/>
                <w:color w:val="auto"/>
              </w:rPr>
              <w:t>69.91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Merge w:val="continue"/>
            <w:vAlign w:val="center"/>
          </w:tcPr>
          <w:p>
            <w:pPr>
              <w:pStyle w:val="21"/>
              <w:bidi w:val="0"/>
              <w:ind w:left="0" w:leftChars="0" w:firstLine="0" w:firstLineChars="0"/>
              <w:rPr>
                <w:rFonts w:hint="default"/>
                <w:color w:val="auto"/>
                <w:highlight w:val="none"/>
              </w:rPr>
            </w:pPr>
          </w:p>
        </w:tc>
        <w:tc>
          <w:tcPr>
            <w:tcW w:w="868" w:type="dxa"/>
            <w:vMerge w:val="continue"/>
            <w:vAlign w:val="center"/>
          </w:tcPr>
          <w:p>
            <w:pPr>
              <w:pStyle w:val="21"/>
              <w:bidi w:val="0"/>
              <w:ind w:left="0" w:leftChars="0" w:firstLine="0" w:firstLineChars="0"/>
              <w:rPr>
                <w:rFonts w:hint="default"/>
                <w:color w:val="auto"/>
                <w:highlight w:val="none"/>
              </w:rPr>
            </w:pPr>
          </w:p>
        </w:tc>
        <w:tc>
          <w:tcPr>
            <w:tcW w:w="907" w:type="dxa"/>
            <w:vAlign w:val="center"/>
          </w:tcPr>
          <w:p>
            <w:pPr>
              <w:pStyle w:val="21"/>
              <w:bidi w:val="0"/>
              <w:rPr>
                <w:rFonts w:hint="default"/>
                <w:color w:val="auto"/>
                <w:highlight w:val="none"/>
                <w:lang w:val="en-US" w:eastAsia="zh-CN"/>
              </w:rPr>
            </w:pPr>
            <w:r>
              <w:rPr>
                <w:rFonts w:hint="default"/>
                <w:color w:val="auto"/>
                <w:highlight w:val="none"/>
                <w:lang w:val="en-US" w:eastAsia="zh-CN"/>
              </w:rPr>
              <w:t>年平均</w:t>
            </w:r>
          </w:p>
        </w:tc>
        <w:tc>
          <w:tcPr>
            <w:tcW w:w="1133" w:type="dxa"/>
            <w:vAlign w:val="center"/>
          </w:tcPr>
          <w:p>
            <w:pPr>
              <w:pStyle w:val="21"/>
              <w:bidi w:val="0"/>
              <w:rPr>
                <w:rFonts w:hint="eastAsia"/>
                <w:color w:val="auto"/>
              </w:rPr>
            </w:pPr>
            <w:r>
              <w:rPr>
                <w:rFonts w:hint="eastAsia"/>
                <w:color w:val="auto"/>
              </w:rPr>
              <w:t>2.02E-02</w:t>
            </w:r>
          </w:p>
        </w:tc>
        <w:tc>
          <w:tcPr>
            <w:tcW w:w="1125" w:type="dxa"/>
            <w:vAlign w:val="center"/>
          </w:tcPr>
          <w:p>
            <w:pPr>
              <w:pStyle w:val="21"/>
              <w:bidi w:val="0"/>
              <w:rPr>
                <w:rFonts w:hint="eastAsia"/>
                <w:color w:val="auto"/>
              </w:rPr>
            </w:pPr>
            <w:r>
              <w:rPr>
                <w:rFonts w:hint="eastAsia"/>
                <w:color w:val="auto"/>
              </w:rPr>
              <w:t>平均值</w:t>
            </w:r>
          </w:p>
        </w:tc>
        <w:tc>
          <w:tcPr>
            <w:tcW w:w="1162" w:type="dxa"/>
            <w:vAlign w:val="center"/>
          </w:tcPr>
          <w:p>
            <w:pPr>
              <w:pStyle w:val="21"/>
              <w:bidi w:val="0"/>
              <w:rPr>
                <w:rFonts w:hint="eastAsia"/>
                <w:color w:val="auto"/>
              </w:rPr>
            </w:pPr>
            <w:r>
              <w:rPr>
                <w:rFonts w:hint="eastAsia"/>
                <w:color w:val="auto"/>
              </w:rPr>
              <w:t>3.70E-02</w:t>
            </w:r>
          </w:p>
        </w:tc>
        <w:tc>
          <w:tcPr>
            <w:tcW w:w="1144" w:type="dxa"/>
            <w:vAlign w:val="center"/>
          </w:tcPr>
          <w:p>
            <w:pPr>
              <w:pStyle w:val="21"/>
              <w:bidi w:val="0"/>
              <w:rPr>
                <w:rFonts w:hint="eastAsia"/>
                <w:color w:val="auto"/>
              </w:rPr>
            </w:pPr>
            <w:r>
              <w:rPr>
                <w:rFonts w:hint="eastAsia"/>
                <w:color w:val="auto"/>
              </w:rPr>
              <w:t>5.72E-02</w:t>
            </w:r>
          </w:p>
        </w:tc>
        <w:tc>
          <w:tcPr>
            <w:tcW w:w="1050" w:type="dxa"/>
            <w:vAlign w:val="center"/>
          </w:tcPr>
          <w:p>
            <w:pPr>
              <w:pStyle w:val="21"/>
              <w:bidi w:val="0"/>
              <w:rPr>
                <w:rFonts w:hint="eastAsia"/>
                <w:color w:val="auto"/>
              </w:rPr>
            </w:pPr>
            <w:r>
              <w:rPr>
                <w:rFonts w:hint="eastAsia"/>
                <w:color w:val="auto"/>
              </w:rPr>
              <w:t>7.00E-02</w:t>
            </w:r>
          </w:p>
        </w:tc>
        <w:tc>
          <w:tcPr>
            <w:tcW w:w="769" w:type="dxa"/>
            <w:vAlign w:val="center"/>
          </w:tcPr>
          <w:p>
            <w:pPr>
              <w:pStyle w:val="21"/>
              <w:bidi w:val="0"/>
              <w:rPr>
                <w:rFonts w:hint="eastAsia"/>
                <w:color w:val="auto"/>
              </w:rPr>
            </w:pPr>
            <w:r>
              <w:rPr>
                <w:rFonts w:hint="eastAsia"/>
                <w:color w:val="auto"/>
              </w:rPr>
              <w:t>81.68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bl>
    <w:p>
      <w:pP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④</w:t>
      </w:r>
      <w:r>
        <w:rPr>
          <w:rFonts w:hint="eastAsia"/>
          <w:color w:val="auto"/>
          <w:highlight w:val="none"/>
          <w:lang w:val="en-US" w:eastAsia="zh-CN"/>
        </w:rPr>
        <w:t>非甲烷总烃叠加现状（含已批在建、拟建项目）浓度影响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_Ref5818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olor w:val="auto"/>
          <w:highlight w:val="none"/>
          <w:lang w:val="en-US" w:eastAsia="zh-CN"/>
        </w:rPr>
        <w:t>PM</w:t>
      </w:r>
      <w:r>
        <w:rPr>
          <w:rFonts w:hint="eastAsia"/>
          <w:color w:val="auto"/>
          <w:highlight w:val="none"/>
          <w:vertAlign w:val="subscript"/>
          <w:lang w:val="en-US" w:eastAsia="zh-CN"/>
        </w:rPr>
        <w:t>10</w:t>
      </w:r>
      <w:r>
        <w:rPr>
          <w:rFonts w:ascii="Times New Roman" w:hAnsi="Times New Roman"/>
          <w:color w:val="auto"/>
          <w:szCs w:val="22"/>
          <w:highlight w:val="none"/>
        </w:rPr>
        <w:t>叠加现状浓度后</w:t>
      </w:r>
      <w:r>
        <w:rPr>
          <w:rFonts w:hint="default" w:ascii="Times New Roman" w:hAnsi="Times New Roman" w:cs="Times New Roman"/>
          <w:color w:val="auto"/>
          <w:highlight w:val="none"/>
          <w:lang w:val="en-US" w:eastAsia="zh-CN"/>
        </w:rPr>
        <w:t>满足</w:t>
      </w:r>
      <w:r>
        <w:rPr>
          <w:rFonts w:hint="eastAsia" w:cs="Times New Roman"/>
          <w:color w:val="auto"/>
          <w:highlight w:val="none"/>
          <w:lang w:val="en-US" w:eastAsia="zh-CN"/>
        </w:rPr>
        <w:t>《大气污染物综合排放标准详解》中的</w:t>
      </w:r>
      <w:r>
        <w:rPr>
          <w:rFonts w:hint="default" w:ascii="Times New Roman" w:hAnsi="Times New Roman" w:cs="Times New Roman"/>
          <w:color w:val="auto"/>
          <w:highlight w:val="none"/>
          <w:lang w:val="en-US" w:eastAsia="zh-CN"/>
        </w:rPr>
        <w:t>要求。</w:t>
      </w:r>
      <w:r>
        <w:rPr>
          <w:rFonts w:hint="eastAsia" w:ascii="Times New Roman" w:hAnsi="Times New Roman" w:cs="Times New Roman"/>
          <w:color w:val="auto"/>
          <w:highlight w:val="none"/>
          <w:lang w:val="en-US" w:eastAsia="zh-CN"/>
        </w:rPr>
        <w:t>叠加后区域小时浓度最大值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97</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48.</w:t>
      </w:r>
      <w:r>
        <w:rPr>
          <w:rFonts w:hint="eastAsia" w:cs="Times New Roman"/>
          <w:color w:val="auto"/>
          <w:highlight w:val="none"/>
          <w:lang w:val="en-US" w:eastAsia="zh-CN"/>
        </w:rPr>
        <w:t>65</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_Ref32695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图5.2-29</w:t>
      </w:r>
      <w:r>
        <w:rPr>
          <w:rFonts w:hint="default" w:ascii="Times New Roman" w:hAnsi="Times New Roman" w:cs="Times New Roman"/>
          <w:color w:val="auto"/>
          <w:highlight w:val="none"/>
          <w:lang w:val="en-US" w:eastAsia="zh-CN"/>
        </w:rPr>
        <w:fldChar w:fldCharType="end"/>
      </w:r>
      <w:r>
        <w:rPr>
          <w:rFonts w:hint="eastAsia"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48" w:name="_Ref5818"/>
      <w:r>
        <w:rPr>
          <w:rFonts w:hint="eastAsia"/>
          <w:color w:val="auto"/>
          <w:highlight w:val="none"/>
          <w:lang w:val="en-US" w:eastAsia="zh-CN"/>
        </w:rPr>
        <w:t>叠加后非甲烷总烃环境质量浓度预测结果表</w:t>
      </w:r>
      <w:bookmarkEnd w:id="548"/>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8"/>
        <w:gridCol w:w="907"/>
        <w:gridCol w:w="1133"/>
        <w:gridCol w:w="1125"/>
        <w:gridCol w:w="1162"/>
        <w:gridCol w:w="1144"/>
        <w:gridCol w:w="1050"/>
        <w:gridCol w:w="76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vAlign w:val="center"/>
          </w:tcPr>
          <w:p>
            <w:pPr>
              <w:pStyle w:val="21"/>
              <w:bidi w:val="0"/>
              <w:jc w:val="center"/>
              <w:rPr>
                <w:color w:val="auto"/>
                <w:highlight w:val="none"/>
              </w:rPr>
            </w:pPr>
            <w:r>
              <w:rPr>
                <w:color w:val="auto"/>
                <w:highlight w:val="none"/>
              </w:rPr>
              <w:t>序号</w:t>
            </w:r>
          </w:p>
        </w:tc>
        <w:tc>
          <w:tcPr>
            <w:tcW w:w="868" w:type="dxa"/>
            <w:vAlign w:val="center"/>
          </w:tcPr>
          <w:p>
            <w:pPr>
              <w:pStyle w:val="21"/>
              <w:bidi w:val="0"/>
              <w:jc w:val="center"/>
              <w:rPr>
                <w:color w:val="auto"/>
                <w:highlight w:val="none"/>
              </w:rPr>
            </w:pPr>
            <w:r>
              <w:rPr>
                <w:rFonts w:hint="eastAsia"/>
                <w:color w:val="auto"/>
                <w:highlight w:val="none"/>
                <w:lang w:val="en-US" w:eastAsia="zh-CN"/>
              </w:rPr>
              <w:t>预测</w:t>
            </w:r>
            <w:r>
              <w:rPr>
                <w:color w:val="auto"/>
                <w:highlight w:val="none"/>
              </w:rPr>
              <w:t>点名称</w:t>
            </w:r>
          </w:p>
        </w:tc>
        <w:tc>
          <w:tcPr>
            <w:tcW w:w="907" w:type="dxa"/>
            <w:vAlign w:val="center"/>
          </w:tcPr>
          <w:p>
            <w:pPr>
              <w:pStyle w:val="21"/>
              <w:bidi w:val="0"/>
              <w:jc w:val="center"/>
              <w:rPr>
                <w:color w:val="auto"/>
                <w:highlight w:val="none"/>
              </w:rPr>
            </w:pPr>
            <w:r>
              <w:rPr>
                <w:color w:val="auto"/>
                <w:highlight w:val="none"/>
              </w:rPr>
              <w:t>浓度</w:t>
            </w:r>
          </w:p>
          <w:p>
            <w:pPr>
              <w:pStyle w:val="21"/>
              <w:bidi w:val="0"/>
              <w:jc w:val="center"/>
              <w:rPr>
                <w:color w:val="auto"/>
                <w:highlight w:val="none"/>
              </w:rPr>
            </w:pPr>
            <w:r>
              <w:rPr>
                <w:color w:val="auto"/>
                <w:highlight w:val="none"/>
              </w:rPr>
              <w:t>类型</w:t>
            </w:r>
          </w:p>
        </w:tc>
        <w:tc>
          <w:tcPr>
            <w:tcW w:w="1133" w:type="dxa"/>
            <w:vAlign w:val="center"/>
          </w:tcPr>
          <w:p>
            <w:pPr>
              <w:pStyle w:val="21"/>
              <w:bidi w:val="0"/>
              <w:jc w:val="center"/>
              <w:rPr>
                <w:color w:val="auto"/>
                <w:highlight w:val="none"/>
              </w:rPr>
            </w:pPr>
            <w:r>
              <w:rPr>
                <w:color w:val="auto"/>
                <w:highlight w:val="none"/>
              </w:rPr>
              <w:t>浓度增量(mg/m</w:t>
            </w:r>
            <w:r>
              <w:rPr>
                <w:color w:val="auto"/>
                <w:highlight w:val="none"/>
                <w:vertAlign w:val="superscript"/>
              </w:rPr>
              <w:t>3</w:t>
            </w:r>
            <w:r>
              <w:rPr>
                <w:color w:val="auto"/>
                <w:highlight w:val="none"/>
              </w:rPr>
              <w:t>)</w:t>
            </w:r>
          </w:p>
        </w:tc>
        <w:tc>
          <w:tcPr>
            <w:tcW w:w="1125" w:type="dxa"/>
            <w:vAlign w:val="center"/>
          </w:tcPr>
          <w:p>
            <w:pPr>
              <w:pStyle w:val="21"/>
              <w:bidi w:val="0"/>
              <w:jc w:val="center"/>
              <w:rPr>
                <w:color w:val="auto"/>
                <w:highlight w:val="none"/>
              </w:rPr>
            </w:pPr>
            <w:r>
              <w:rPr>
                <w:color w:val="auto"/>
                <w:highlight w:val="none"/>
              </w:rPr>
              <w:t>出现时间(YYMMDDHH)</w:t>
            </w:r>
          </w:p>
        </w:tc>
        <w:tc>
          <w:tcPr>
            <w:tcW w:w="1162" w:type="dxa"/>
            <w:vAlign w:val="center"/>
          </w:tcPr>
          <w:p>
            <w:pPr>
              <w:pStyle w:val="21"/>
              <w:bidi w:val="0"/>
              <w:jc w:val="center"/>
              <w:rPr>
                <w:color w:val="auto"/>
                <w:highlight w:val="none"/>
              </w:rPr>
            </w:pPr>
            <w:r>
              <w:rPr>
                <w:color w:val="auto"/>
                <w:highlight w:val="none"/>
              </w:rPr>
              <w:t>背景浓度（mg/m</w:t>
            </w:r>
            <w:r>
              <w:rPr>
                <w:color w:val="auto"/>
                <w:highlight w:val="none"/>
                <w:vertAlign w:val="superscript"/>
              </w:rPr>
              <w:t>3</w:t>
            </w:r>
            <w:r>
              <w:rPr>
                <w:color w:val="auto"/>
                <w:highlight w:val="none"/>
              </w:rPr>
              <w:t>）</w:t>
            </w:r>
          </w:p>
        </w:tc>
        <w:tc>
          <w:tcPr>
            <w:tcW w:w="1144" w:type="dxa"/>
            <w:vAlign w:val="center"/>
          </w:tcPr>
          <w:p>
            <w:pPr>
              <w:pStyle w:val="21"/>
              <w:bidi w:val="0"/>
              <w:jc w:val="center"/>
              <w:rPr>
                <w:color w:val="auto"/>
                <w:highlight w:val="none"/>
              </w:rPr>
            </w:pPr>
            <w:r>
              <w:rPr>
                <w:color w:val="auto"/>
                <w:highlight w:val="none"/>
              </w:rPr>
              <w:t>叠加后</w:t>
            </w:r>
          </w:p>
          <w:p>
            <w:pPr>
              <w:pStyle w:val="21"/>
              <w:bidi w:val="0"/>
              <w:jc w:val="center"/>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1050" w:type="dxa"/>
            <w:vAlign w:val="center"/>
          </w:tcPr>
          <w:p>
            <w:pPr>
              <w:pStyle w:val="21"/>
              <w:bidi w:val="0"/>
              <w:jc w:val="center"/>
              <w:rPr>
                <w:color w:val="auto"/>
                <w:highlight w:val="none"/>
              </w:rPr>
            </w:pPr>
            <w:r>
              <w:rPr>
                <w:color w:val="auto"/>
                <w:highlight w:val="none"/>
              </w:rPr>
              <w:t>评价标准(mg/m</w:t>
            </w:r>
            <w:r>
              <w:rPr>
                <w:color w:val="auto"/>
                <w:highlight w:val="none"/>
                <w:vertAlign w:val="superscript"/>
              </w:rPr>
              <w:t>3</w:t>
            </w:r>
            <w:r>
              <w:rPr>
                <w:color w:val="auto"/>
                <w:highlight w:val="none"/>
              </w:rPr>
              <w:t>)</w:t>
            </w:r>
          </w:p>
        </w:tc>
        <w:tc>
          <w:tcPr>
            <w:tcW w:w="769" w:type="dxa"/>
            <w:vAlign w:val="center"/>
          </w:tcPr>
          <w:p>
            <w:pPr>
              <w:pStyle w:val="21"/>
              <w:bidi w:val="0"/>
              <w:jc w:val="center"/>
              <w:rPr>
                <w:color w:val="auto"/>
                <w:highlight w:val="none"/>
              </w:rPr>
            </w:pPr>
            <w:r>
              <w:rPr>
                <w:color w:val="auto"/>
                <w:highlight w:val="none"/>
              </w:rPr>
              <w:t>占标率%</w:t>
            </w:r>
          </w:p>
        </w:tc>
        <w:tc>
          <w:tcPr>
            <w:tcW w:w="697" w:type="dxa"/>
            <w:vAlign w:val="center"/>
          </w:tcPr>
          <w:p>
            <w:pPr>
              <w:pStyle w:val="21"/>
              <w:bidi w:val="0"/>
              <w:jc w:val="center"/>
              <w:rPr>
                <w:color w:val="auto"/>
                <w:highlight w:val="none"/>
              </w:rPr>
            </w:pPr>
            <w:r>
              <w:rPr>
                <w:color w:val="auto"/>
                <w:highlight w:val="none"/>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1</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1.02E-01</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7.72E-01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rPr>
            </w:pPr>
            <w:r>
              <w:rPr>
                <w:rFonts w:hint="eastAsia"/>
                <w:color w:val="auto"/>
              </w:rPr>
              <w:t>38.62</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2</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7.78E-02</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7.48E-01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eastAsia"/>
                <w:color w:val="auto"/>
                <w:lang w:eastAsia="zh-CN"/>
              </w:rPr>
            </w:pPr>
            <w:r>
              <w:rPr>
                <w:rFonts w:hint="eastAsia"/>
                <w:color w:val="auto"/>
              </w:rPr>
              <w:t>37.39</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3</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1.07E-01</w:t>
            </w:r>
          </w:p>
        </w:tc>
        <w:tc>
          <w:tcPr>
            <w:tcW w:w="1125" w:type="dxa"/>
            <w:vAlign w:val="center"/>
          </w:tcPr>
          <w:p>
            <w:pPr>
              <w:pStyle w:val="21"/>
              <w:bidi w:val="0"/>
              <w:rPr>
                <w:rFonts w:hint="default"/>
                <w:color w:val="auto"/>
              </w:rPr>
            </w:pPr>
            <w:r>
              <w:rPr>
                <w:rFonts w:hint="eastAsia"/>
                <w:color w:val="auto"/>
              </w:rPr>
              <w:t>19030123</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7.77E-01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rPr>
            </w:pPr>
            <w:r>
              <w:rPr>
                <w:rFonts w:hint="eastAsia"/>
                <w:color w:val="auto"/>
              </w:rPr>
              <w:t>38.84</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4</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7.39E-02</w:t>
            </w:r>
          </w:p>
        </w:tc>
        <w:tc>
          <w:tcPr>
            <w:tcW w:w="1125" w:type="dxa"/>
            <w:vAlign w:val="center"/>
          </w:tcPr>
          <w:p>
            <w:pPr>
              <w:pStyle w:val="21"/>
              <w:bidi w:val="0"/>
              <w:rPr>
                <w:rFonts w:hint="default"/>
                <w:color w:val="auto"/>
              </w:rPr>
            </w:pPr>
            <w:r>
              <w:rPr>
                <w:rFonts w:hint="eastAsia"/>
                <w:color w:val="auto"/>
              </w:rPr>
              <w:t>19040905</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7.44E-01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lang w:val="en-US" w:eastAsia="zh-CN"/>
              </w:rPr>
            </w:pPr>
            <w:r>
              <w:rPr>
                <w:rFonts w:hint="eastAsia"/>
                <w:color w:val="auto"/>
              </w:rPr>
              <w:t>37.20</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5</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8.57E-02</w:t>
            </w:r>
          </w:p>
        </w:tc>
        <w:tc>
          <w:tcPr>
            <w:tcW w:w="1125" w:type="dxa"/>
            <w:vAlign w:val="center"/>
          </w:tcPr>
          <w:p>
            <w:pPr>
              <w:pStyle w:val="21"/>
              <w:bidi w:val="0"/>
              <w:rPr>
                <w:rFonts w:hint="default"/>
                <w:color w:val="auto"/>
              </w:rPr>
            </w:pPr>
            <w:r>
              <w:rPr>
                <w:rFonts w:hint="eastAsia"/>
                <w:color w:val="auto"/>
              </w:rPr>
              <w:t>19030123</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7.56E-01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rPr>
            </w:pPr>
            <w:r>
              <w:rPr>
                <w:rFonts w:hint="eastAsia"/>
                <w:color w:val="auto"/>
              </w:rPr>
              <w:t>37.78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6</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6.32E-02</w:t>
            </w:r>
          </w:p>
        </w:tc>
        <w:tc>
          <w:tcPr>
            <w:tcW w:w="1125" w:type="dxa"/>
            <w:vAlign w:val="center"/>
          </w:tcPr>
          <w:p>
            <w:pPr>
              <w:pStyle w:val="21"/>
              <w:bidi w:val="0"/>
              <w:rPr>
                <w:rFonts w:hint="default"/>
                <w:color w:val="auto"/>
              </w:rPr>
            </w:pPr>
            <w:r>
              <w:rPr>
                <w:rFonts w:hint="eastAsia"/>
                <w:color w:val="auto"/>
              </w:rPr>
              <w:t>19030123</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7.33E-01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rPr>
            </w:pPr>
            <w:r>
              <w:rPr>
                <w:rFonts w:hint="eastAsia"/>
                <w:color w:val="auto"/>
              </w:rPr>
              <w:t>36.66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7</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1.10E-01</w:t>
            </w:r>
          </w:p>
        </w:tc>
        <w:tc>
          <w:tcPr>
            <w:tcW w:w="1125" w:type="dxa"/>
            <w:vAlign w:val="center"/>
          </w:tcPr>
          <w:p>
            <w:pPr>
              <w:pStyle w:val="21"/>
              <w:bidi w:val="0"/>
              <w:rPr>
                <w:rFonts w:hint="default"/>
                <w:color w:val="auto"/>
              </w:rPr>
            </w:pPr>
            <w:r>
              <w:rPr>
                <w:rFonts w:hint="eastAsia"/>
                <w:color w:val="auto"/>
              </w:rPr>
              <w:t>19040603</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7.80E-01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rPr>
            </w:pPr>
            <w:r>
              <w:rPr>
                <w:rFonts w:hint="eastAsia"/>
                <w:color w:val="auto"/>
              </w:rPr>
              <w:t>39.01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8</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default"/>
                <w:color w:val="auto"/>
              </w:rPr>
            </w:pPr>
            <w:r>
              <w:rPr>
                <w:rFonts w:hint="eastAsia"/>
                <w:color w:val="auto"/>
              </w:rPr>
              <w:t>7.64E-02</w:t>
            </w:r>
          </w:p>
        </w:tc>
        <w:tc>
          <w:tcPr>
            <w:tcW w:w="1125" w:type="dxa"/>
            <w:vAlign w:val="center"/>
          </w:tcPr>
          <w:p>
            <w:pPr>
              <w:pStyle w:val="21"/>
              <w:bidi w:val="0"/>
              <w:rPr>
                <w:rFonts w:hint="default"/>
                <w:color w:val="auto"/>
              </w:rPr>
            </w:pPr>
            <w:r>
              <w:rPr>
                <w:rFonts w:hint="eastAsia"/>
                <w:color w:val="auto"/>
              </w:rPr>
              <w:t>19070607</w:t>
            </w:r>
          </w:p>
        </w:tc>
        <w:tc>
          <w:tcPr>
            <w:tcW w:w="1162" w:type="dxa"/>
            <w:vAlign w:val="center"/>
          </w:tcPr>
          <w:p>
            <w:pPr>
              <w:pStyle w:val="21"/>
              <w:bidi w:val="0"/>
              <w:rPr>
                <w:rFonts w:hint="default"/>
                <w:color w:val="auto"/>
              </w:rPr>
            </w:pPr>
            <w:r>
              <w:rPr>
                <w:rFonts w:hint="eastAsia"/>
                <w:color w:val="auto"/>
              </w:rPr>
              <w:t>6.70E-01</w:t>
            </w:r>
          </w:p>
        </w:tc>
        <w:tc>
          <w:tcPr>
            <w:tcW w:w="1144" w:type="dxa"/>
            <w:vAlign w:val="center"/>
          </w:tcPr>
          <w:p>
            <w:pPr>
              <w:pStyle w:val="21"/>
              <w:bidi w:val="0"/>
              <w:rPr>
                <w:rFonts w:hint="default"/>
                <w:color w:val="auto"/>
              </w:rPr>
            </w:pPr>
            <w:r>
              <w:rPr>
                <w:rFonts w:hint="eastAsia"/>
                <w:color w:val="auto"/>
              </w:rPr>
              <w:t>7.46E-01</w:t>
            </w:r>
          </w:p>
        </w:tc>
        <w:tc>
          <w:tcPr>
            <w:tcW w:w="1050" w:type="dxa"/>
            <w:vAlign w:val="center"/>
          </w:tcPr>
          <w:p>
            <w:pPr>
              <w:pStyle w:val="21"/>
              <w:bidi w:val="0"/>
              <w:rPr>
                <w:rFonts w:hint="default"/>
                <w:color w:val="auto"/>
              </w:rPr>
            </w:pPr>
            <w:r>
              <w:rPr>
                <w:rFonts w:hint="eastAsia"/>
                <w:color w:val="auto"/>
              </w:rPr>
              <w:t>2.00E+00</w:t>
            </w:r>
          </w:p>
        </w:tc>
        <w:tc>
          <w:tcPr>
            <w:tcW w:w="769" w:type="dxa"/>
            <w:vAlign w:val="center"/>
          </w:tcPr>
          <w:p>
            <w:pPr>
              <w:pStyle w:val="21"/>
              <w:bidi w:val="0"/>
              <w:rPr>
                <w:rFonts w:hint="default"/>
                <w:color w:val="auto"/>
              </w:rPr>
            </w:pPr>
            <w:r>
              <w:rPr>
                <w:rFonts w:hint="eastAsia"/>
                <w:color w:val="auto"/>
              </w:rPr>
              <w:t>37.32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9</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小洋</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3.35E-02</w:t>
            </w:r>
          </w:p>
        </w:tc>
        <w:tc>
          <w:tcPr>
            <w:tcW w:w="1125" w:type="dxa"/>
            <w:vAlign w:val="center"/>
          </w:tcPr>
          <w:p>
            <w:pPr>
              <w:pStyle w:val="21"/>
              <w:bidi w:val="0"/>
              <w:rPr>
                <w:rFonts w:hint="eastAsia"/>
                <w:color w:val="auto"/>
              </w:rPr>
            </w:pPr>
            <w:r>
              <w:rPr>
                <w:rFonts w:hint="eastAsia"/>
                <w:color w:val="auto"/>
              </w:rPr>
              <w:t>19042106</w:t>
            </w:r>
          </w:p>
        </w:tc>
        <w:tc>
          <w:tcPr>
            <w:tcW w:w="1162" w:type="dxa"/>
            <w:vAlign w:val="center"/>
          </w:tcPr>
          <w:p>
            <w:pPr>
              <w:pStyle w:val="21"/>
              <w:bidi w:val="0"/>
              <w:rPr>
                <w:rFonts w:hint="eastAsia"/>
                <w:color w:val="auto"/>
              </w:rPr>
            </w:pPr>
            <w:r>
              <w:rPr>
                <w:rFonts w:hint="eastAsia"/>
                <w:color w:val="auto"/>
              </w:rPr>
              <w:t>6.70E-01</w:t>
            </w:r>
          </w:p>
        </w:tc>
        <w:tc>
          <w:tcPr>
            <w:tcW w:w="1144" w:type="dxa"/>
            <w:vAlign w:val="center"/>
          </w:tcPr>
          <w:p>
            <w:pPr>
              <w:pStyle w:val="21"/>
              <w:bidi w:val="0"/>
              <w:rPr>
                <w:rFonts w:hint="eastAsia"/>
                <w:color w:val="auto"/>
              </w:rPr>
            </w:pPr>
            <w:r>
              <w:rPr>
                <w:rFonts w:hint="eastAsia"/>
                <w:color w:val="auto"/>
              </w:rPr>
              <w:t>7.04E-01</w:t>
            </w:r>
          </w:p>
        </w:tc>
        <w:tc>
          <w:tcPr>
            <w:tcW w:w="1050" w:type="dxa"/>
            <w:vAlign w:val="center"/>
          </w:tcPr>
          <w:p>
            <w:pPr>
              <w:pStyle w:val="21"/>
              <w:bidi w:val="0"/>
              <w:rPr>
                <w:rFonts w:hint="eastAsia"/>
                <w:color w:val="auto"/>
              </w:rPr>
            </w:pPr>
            <w:r>
              <w:rPr>
                <w:rFonts w:hint="eastAsia"/>
                <w:color w:val="auto"/>
              </w:rPr>
              <w:t>2.00E+00</w:t>
            </w:r>
          </w:p>
        </w:tc>
        <w:tc>
          <w:tcPr>
            <w:tcW w:w="769" w:type="dxa"/>
            <w:vAlign w:val="center"/>
          </w:tcPr>
          <w:p>
            <w:pPr>
              <w:pStyle w:val="21"/>
              <w:bidi w:val="0"/>
              <w:rPr>
                <w:rFonts w:hint="eastAsia"/>
                <w:color w:val="auto"/>
              </w:rPr>
            </w:pPr>
            <w:r>
              <w:rPr>
                <w:rFonts w:hint="eastAsia"/>
                <w:color w:val="auto"/>
              </w:rPr>
              <w:t>35.18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10</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竹栏头</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3.60E-02</w:t>
            </w:r>
          </w:p>
        </w:tc>
        <w:tc>
          <w:tcPr>
            <w:tcW w:w="1125" w:type="dxa"/>
            <w:vAlign w:val="center"/>
          </w:tcPr>
          <w:p>
            <w:pPr>
              <w:pStyle w:val="21"/>
              <w:bidi w:val="0"/>
              <w:rPr>
                <w:rFonts w:hint="eastAsia"/>
                <w:color w:val="auto"/>
              </w:rPr>
            </w:pPr>
            <w:r>
              <w:rPr>
                <w:rFonts w:hint="eastAsia"/>
                <w:color w:val="auto"/>
              </w:rPr>
              <w:t>19011107</w:t>
            </w:r>
          </w:p>
        </w:tc>
        <w:tc>
          <w:tcPr>
            <w:tcW w:w="1162" w:type="dxa"/>
            <w:vAlign w:val="center"/>
          </w:tcPr>
          <w:p>
            <w:pPr>
              <w:pStyle w:val="21"/>
              <w:bidi w:val="0"/>
              <w:rPr>
                <w:rFonts w:hint="eastAsia"/>
                <w:color w:val="auto"/>
              </w:rPr>
            </w:pPr>
            <w:r>
              <w:rPr>
                <w:rFonts w:hint="eastAsia"/>
                <w:color w:val="auto"/>
              </w:rPr>
              <w:t>6.70E-01</w:t>
            </w:r>
          </w:p>
        </w:tc>
        <w:tc>
          <w:tcPr>
            <w:tcW w:w="1144" w:type="dxa"/>
            <w:vAlign w:val="center"/>
          </w:tcPr>
          <w:p>
            <w:pPr>
              <w:pStyle w:val="21"/>
              <w:bidi w:val="0"/>
              <w:rPr>
                <w:rFonts w:hint="eastAsia"/>
                <w:color w:val="auto"/>
              </w:rPr>
            </w:pPr>
            <w:r>
              <w:rPr>
                <w:rFonts w:hint="eastAsia"/>
                <w:color w:val="auto"/>
              </w:rPr>
              <w:t>7.06E-01</w:t>
            </w:r>
          </w:p>
        </w:tc>
        <w:tc>
          <w:tcPr>
            <w:tcW w:w="1050" w:type="dxa"/>
            <w:vAlign w:val="center"/>
          </w:tcPr>
          <w:p>
            <w:pPr>
              <w:pStyle w:val="21"/>
              <w:bidi w:val="0"/>
              <w:rPr>
                <w:rFonts w:hint="eastAsia"/>
                <w:color w:val="auto"/>
              </w:rPr>
            </w:pPr>
            <w:r>
              <w:rPr>
                <w:rFonts w:hint="eastAsia"/>
                <w:color w:val="auto"/>
              </w:rPr>
              <w:t>2.00E+00</w:t>
            </w:r>
          </w:p>
        </w:tc>
        <w:tc>
          <w:tcPr>
            <w:tcW w:w="769" w:type="dxa"/>
            <w:vAlign w:val="center"/>
          </w:tcPr>
          <w:p>
            <w:pPr>
              <w:pStyle w:val="21"/>
              <w:bidi w:val="0"/>
              <w:rPr>
                <w:rFonts w:hint="eastAsia"/>
                <w:color w:val="auto"/>
              </w:rPr>
            </w:pPr>
            <w:r>
              <w:rPr>
                <w:rFonts w:hint="eastAsia"/>
                <w:color w:val="auto"/>
              </w:rPr>
              <w:t>35.30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11</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东岭头</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9.68E-03</w:t>
            </w:r>
          </w:p>
        </w:tc>
        <w:tc>
          <w:tcPr>
            <w:tcW w:w="1125" w:type="dxa"/>
            <w:vAlign w:val="center"/>
          </w:tcPr>
          <w:p>
            <w:pPr>
              <w:pStyle w:val="21"/>
              <w:bidi w:val="0"/>
              <w:rPr>
                <w:rFonts w:hint="eastAsia"/>
                <w:color w:val="auto"/>
              </w:rPr>
            </w:pPr>
            <w:r>
              <w:rPr>
                <w:rFonts w:hint="eastAsia"/>
                <w:color w:val="auto"/>
              </w:rPr>
              <w:t>19031108</w:t>
            </w:r>
          </w:p>
        </w:tc>
        <w:tc>
          <w:tcPr>
            <w:tcW w:w="1162" w:type="dxa"/>
            <w:vAlign w:val="center"/>
          </w:tcPr>
          <w:p>
            <w:pPr>
              <w:pStyle w:val="21"/>
              <w:bidi w:val="0"/>
              <w:rPr>
                <w:rFonts w:hint="eastAsia"/>
                <w:color w:val="auto"/>
              </w:rPr>
            </w:pPr>
            <w:r>
              <w:rPr>
                <w:rFonts w:hint="eastAsia"/>
                <w:color w:val="auto"/>
              </w:rPr>
              <w:t>6.70E-01</w:t>
            </w:r>
          </w:p>
        </w:tc>
        <w:tc>
          <w:tcPr>
            <w:tcW w:w="1144" w:type="dxa"/>
            <w:vAlign w:val="center"/>
          </w:tcPr>
          <w:p>
            <w:pPr>
              <w:pStyle w:val="21"/>
              <w:bidi w:val="0"/>
              <w:rPr>
                <w:rFonts w:hint="eastAsia"/>
                <w:color w:val="auto"/>
              </w:rPr>
            </w:pPr>
            <w:r>
              <w:rPr>
                <w:rFonts w:hint="eastAsia"/>
                <w:color w:val="auto"/>
              </w:rPr>
              <w:t>6.80E-01</w:t>
            </w:r>
          </w:p>
        </w:tc>
        <w:tc>
          <w:tcPr>
            <w:tcW w:w="1050" w:type="dxa"/>
            <w:vAlign w:val="center"/>
          </w:tcPr>
          <w:p>
            <w:pPr>
              <w:pStyle w:val="21"/>
              <w:bidi w:val="0"/>
              <w:rPr>
                <w:rFonts w:hint="eastAsia"/>
                <w:color w:val="auto"/>
              </w:rPr>
            </w:pPr>
            <w:r>
              <w:rPr>
                <w:rFonts w:hint="eastAsia"/>
                <w:color w:val="auto"/>
              </w:rPr>
              <w:t>2.00E+00</w:t>
            </w:r>
          </w:p>
        </w:tc>
        <w:tc>
          <w:tcPr>
            <w:tcW w:w="769" w:type="dxa"/>
            <w:vAlign w:val="center"/>
          </w:tcPr>
          <w:p>
            <w:pPr>
              <w:pStyle w:val="21"/>
              <w:bidi w:val="0"/>
              <w:rPr>
                <w:rFonts w:hint="eastAsia"/>
                <w:color w:val="auto"/>
              </w:rPr>
            </w:pPr>
            <w:r>
              <w:rPr>
                <w:rFonts w:hint="eastAsia"/>
                <w:color w:val="auto"/>
              </w:rPr>
              <w:t>33.98</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12</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秦家洋</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7.19E-03</w:t>
            </w:r>
          </w:p>
        </w:tc>
        <w:tc>
          <w:tcPr>
            <w:tcW w:w="1125" w:type="dxa"/>
            <w:vAlign w:val="center"/>
          </w:tcPr>
          <w:p>
            <w:pPr>
              <w:pStyle w:val="21"/>
              <w:bidi w:val="0"/>
              <w:rPr>
                <w:rFonts w:hint="eastAsia"/>
                <w:color w:val="auto"/>
              </w:rPr>
            </w:pPr>
            <w:r>
              <w:rPr>
                <w:rFonts w:hint="eastAsia"/>
                <w:color w:val="auto"/>
              </w:rPr>
              <w:t>19112308</w:t>
            </w:r>
          </w:p>
        </w:tc>
        <w:tc>
          <w:tcPr>
            <w:tcW w:w="1162" w:type="dxa"/>
            <w:vAlign w:val="center"/>
          </w:tcPr>
          <w:p>
            <w:pPr>
              <w:pStyle w:val="21"/>
              <w:bidi w:val="0"/>
              <w:rPr>
                <w:rFonts w:hint="eastAsia"/>
                <w:color w:val="auto"/>
              </w:rPr>
            </w:pPr>
            <w:r>
              <w:rPr>
                <w:rFonts w:hint="eastAsia"/>
                <w:color w:val="auto"/>
              </w:rPr>
              <w:t>6.70E-01</w:t>
            </w:r>
          </w:p>
        </w:tc>
        <w:tc>
          <w:tcPr>
            <w:tcW w:w="1144" w:type="dxa"/>
            <w:vAlign w:val="center"/>
          </w:tcPr>
          <w:p>
            <w:pPr>
              <w:pStyle w:val="21"/>
              <w:bidi w:val="0"/>
              <w:rPr>
                <w:rFonts w:hint="eastAsia"/>
                <w:color w:val="auto"/>
              </w:rPr>
            </w:pPr>
            <w:r>
              <w:rPr>
                <w:rFonts w:hint="eastAsia"/>
                <w:color w:val="auto"/>
              </w:rPr>
              <w:t>6.77E-01</w:t>
            </w:r>
          </w:p>
        </w:tc>
        <w:tc>
          <w:tcPr>
            <w:tcW w:w="1050" w:type="dxa"/>
            <w:vAlign w:val="center"/>
          </w:tcPr>
          <w:p>
            <w:pPr>
              <w:pStyle w:val="21"/>
              <w:bidi w:val="0"/>
              <w:rPr>
                <w:rFonts w:hint="eastAsia"/>
                <w:color w:val="auto"/>
              </w:rPr>
            </w:pPr>
            <w:r>
              <w:rPr>
                <w:rFonts w:hint="eastAsia"/>
                <w:color w:val="auto"/>
              </w:rPr>
              <w:t>2.00E+00</w:t>
            </w:r>
          </w:p>
        </w:tc>
        <w:tc>
          <w:tcPr>
            <w:tcW w:w="769" w:type="dxa"/>
            <w:vAlign w:val="center"/>
          </w:tcPr>
          <w:p>
            <w:pPr>
              <w:pStyle w:val="21"/>
              <w:bidi w:val="0"/>
              <w:rPr>
                <w:rFonts w:hint="eastAsia"/>
                <w:color w:val="auto"/>
              </w:rPr>
            </w:pPr>
            <w:r>
              <w:rPr>
                <w:rFonts w:hint="eastAsia"/>
                <w:color w:val="auto"/>
              </w:rPr>
              <w:t>33.86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13</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山后</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2.22E-02</w:t>
            </w:r>
          </w:p>
        </w:tc>
        <w:tc>
          <w:tcPr>
            <w:tcW w:w="1125" w:type="dxa"/>
            <w:vAlign w:val="center"/>
          </w:tcPr>
          <w:p>
            <w:pPr>
              <w:pStyle w:val="21"/>
              <w:bidi w:val="0"/>
              <w:rPr>
                <w:rFonts w:hint="eastAsia"/>
                <w:color w:val="auto"/>
              </w:rPr>
            </w:pPr>
            <w:r>
              <w:rPr>
                <w:rFonts w:hint="eastAsia"/>
                <w:color w:val="auto"/>
              </w:rPr>
              <w:t>19040807</w:t>
            </w:r>
          </w:p>
        </w:tc>
        <w:tc>
          <w:tcPr>
            <w:tcW w:w="1162" w:type="dxa"/>
            <w:vAlign w:val="center"/>
          </w:tcPr>
          <w:p>
            <w:pPr>
              <w:pStyle w:val="21"/>
              <w:bidi w:val="0"/>
              <w:rPr>
                <w:rFonts w:hint="eastAsia"/>
                <w:color w:val="auto"/>
              </w:rPr>
            </w:pPr>
            <w:r>
              <w:rPr>
                <w:rFonts w:hint="eastAsia"/>
                <w:color w:val="auto"/>
              </w:rPr>
              <w:t>6.70E-01</w:t>
            </w:r>
          </w:p>
        </w:tc>
        <w:tc>
          <w:tcPr>
            <w:tcW w:w="1144" w:type="dxa"/>
            <w:vAlign w:val="center"/>
          </w:tcPr>
          <w:p>
            <w:pPr>
              <w:pStyle w:val="21"/>
              <w:bidi w:val="0"/>
              <w:rPr>
                <w:rFonts w:hint="eastAsia"/>
                <w:color w:val="auto"/>
              </w:rPr>
            </w:pPr>
            <w:r>
              <w:rPr>
                <w:rFonts w:hint="eastAsia"/>
                <w:color w:val="auto"/>
              </w:rPr>
              <w:t>6.92E-01</w:t>
            </w:r>
          </w:p>
        </w:tc>
        <w:tc>
          <w:tcPr>
            <w:tcW w:w="1050" w:type="dxa"/>
            <w:vAlign w:val="center"/>
          </w:tcPr>
          <w:p>
            <w:pPr>
              <w:pStyle w:val="21"/>
              <w:bidi w:val="0"/>
              <w:rPr>
                <w:rFonts w:hint="eastAsia"/>
                <w:color w:val="auto"/>
              </w:rPr>
            </w:pPr>
            <w:r>
              <w:rPr>
                <w:rFonts w:hint="eastAsia"/>
                <w:color w:val="auto"/>
              </w:rPr>
              <w:t>2.00E+00</w:t>
            </w:r>
          </w:p>
        </w:tc>
        <w:tc>
          <w:tcPr>
            <w:tcW w:w="769" w:type="dxa"/>
            <w:vAlign w:val="center"/>
          </w:tcPr>
          <w:p>
            <w:pPr>
              <w:pStyle w:val="21"/>
              <w:bidi w:val="0"/>
              <w:rPr>
                <w:rFonts w:hint="eastAsia"/>
                <w:color w:val="auto"/>
              </w:rPr>
            </w:pPr>
            <w:r>
              <w:rPr>
                <w:rFonts w:hint="eastAsia"/>
                <w:color w:val="auto"/>
              </w:rPr>
              <w:t>34.61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14</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网格</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3.03E-01</w:t>
            </w:r>
          </w:p>
        </w:tc>
        <w:tc>
          <w:tcPr>
            <w:tcW w:w="1125" w:type="dxa"/>
            <w:vAlign w:val="center"/>
          </w:tcPr>
          <w:p>
            <w:pPr>
              <w:pStyle w:val="21"/>
              <w:bidi w:val="0"/>
              <w:rPr>
                <w:rFonts w:hint="eastAsia"/>
                <w:color w:val="auto"/>
              </w:rPr>
            </w:pPr>
            <w:r>
              <w:rPr>
                <w:rFonts w:hint="eastAsia"/>
                <w:color w:val="auto"/>
              </w:rPr>
              <w:t>19030206</w:t>
            </w:r>
          </w:p>
        </w:tc>
        <w:tc>
          <w:tcPr>
            <w:tcW w:w="1162" w:type="dxa"/>
            <w:vAlign w:val="center"/>
          </w:tcPr>
          <w:p>
            <w:pPr>
              <w:pStyle w:val="21"/>
              <w:bidi w:val="0"/>
              <w:rPr>
                <w:rFonts w:hint="eastAsia"/>
                <w:color w:val="auto"/>
              </w:rPr>
            </w:pPr>
            <w:r>
              <w:rPr>
                <w:rFonts w:hint="eastAsia"/>
                <w:color w:val="auto"/>
              </w:rPr>
              <w:t>6.70E-01</w:t>
            </w:r>
          </w:p>
        </w:tc>
        <w:tc>
          <w:tcPr>
            <w:tcW w:w="1144" w:type="dxa"/>
            <w:vAlign w:val="center"/>
          </w:tcPr>
          <w:p>
            <w:pPr>
              <w:pStyle w:val="21"/>
              <w:bidi w:val="0"/>
              <w:rPr>
                <w:rFonts w:hint="eastAsia"/>
                <w:color w:val="auto"/>
              </w:rPr>
            </w:pPr>
            <w:r>
              <w:rPr>
                <w:rFonts w:hint="eastAsia"/>
                <w:color w:val="auto"/>
              </w:rPr>
              <w:t>9.73E-01</w:t>
            </w:r>
          </w:p>
        </w:tc>
        <w:tc>
          <w:tcPr>
            <w:tcW w:w="1050" w:type="dxa"/>
            <w:vAlign w:val="center"/>
          </w:tcPr>
          <w:p>
            <w:pPr>
              <w:pStyle w:val="21"/>
              <w:bidi w:val="0"/>
              <w:rPr>
                <w:rFonts w:hint="eastAsia"/>
                <w:color w:val="auto"/>
              </w:rPr>
            </w:pPr>
            <w:r>
              <w:rPr>
                <w:rFonts w:hint="eastAsia"/>
                <w:color w:val="auto"/>
              </w:rPr>
              <w:t>2.00E+00</w:t>
            </w:r>
          </w:p>
        </w:tc>
        <w:tc>
          <w:tcPr>
            <w:tcW w:w="769" w:type="dxa"/>
            <w:vAlign w:val="center"/>
          </w:tcPr>
          <w:p>
            <w:pPr>
              <w:pStyle w:val="21"/>
              <w:bidi w:val="0"/>
              <w:rPr>
                <w:rFonts w:hint="eastAsia"/>
                <w:color w:val="auto"/>
              </w:rPr>
            </w:pPr>
            <w:r>
              <w:rPr>
                <w:rFonts w:hint="eastAsia"/>
                <w:color w:val="auto"/>
              </w:rPr>
              <w:t>48.65</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bl>
    <w:p>
      <w:pP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⑤</w:t>
      </w:r>
      <w:r>
        <w:rPr>
          <w:rFonts w:hint="eastAsia"/>
          <w:color w:val="auto"/>
          <w:highlight w:val="none"/>
          <w:lang w:val="en-US" w:eastAsia="zh-CN"/>
        </w:rPr>
        <w:t>氨叠加现状（含已批在建、拟建项目）浓度影响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ascii="Times New Roman" w:hAnsi="Times New Roman" w:cs="Times New Roman"/>
          <w:color w:val="auto"/>
          <w:highlight w:val="none"/>
          <w:lang w:val="en-US" w:eastAsia="zh-CN"/>
        </w:rPr>
        <w:t>氨</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_Ref5759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color w:val="auto"/>
          <w:highlight w:val="none"/>
          <w:lang w:val="en-US" w:eastAsia="zh-CN"/>
        </w:rPr>
        <w:t>氨</w:t>
      </w:r>
      <w:r>
        <w:rPr>
          <w:rFonts w:ascii="Times New Roman" w:hAnsi="Times New Roman"/>
          <w:color w:val="auto"/>
          <w:szCs w:val="22"/>
          <w:highlight w:val="none"/>
        </w:rPr>
        <w:t>叠加现状浓度后</w:t>
      </w:r>
      <w:r>
        <w:rPr>
          <w:rFonts w:hint="default" w:ascii="Times New Roman" w:hAnsi="Times New Roman" w:cs="Times New Roman"/>
          <w:color w:val="auto"/>
          <w:highlight w:val="none"/>
          <w:lang w:val="en-US" w:eastAsia="zh-CN"/>
        </w:rPr>
        <w:t>满足</w:t>
      </w:r>
      <w:r>
        <w:rPr>
          <w:rFonts w:ascii="Times New Roman" w:hAnsi="Times New Roman"/>
          <w:color w:val="auto"/>
          <w:szCs w:val="22"/>
          <w:highlight w:val="none"/>
        </w:rPr>
        <w:t>《环境影响评价技术导则-大气环境》（HJ2.2-2018）附录D表D.1其他污染物空气质量浓度参考限值要求</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叠加后区域小时浓度最大值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5</w:t>
      </w:r>
      <w:r>
        <w:rPr>
          <w:rFonts w:hint="eastAsia" w:cs="Times New Roman"/>
          <w:color w:val="auto"/>
          <w:highlight w:val="none"/>
          <w:lang w:val="en-US" w:eastAsia="zh-CN"/>
        </w:rPr>
        <w:t>4.0</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ascii="Times New Roman" w:hAnsi="Times New Roman" w:cs="Times New Roman"/>
          <w:color w:val="auto"/>
          <w:highlight w:val="none"/>
          <w:lang w:val="en-US" w:eastAsia="zh-CN"/>
        </w:rPr>
        <w:t>26.</w:t>
      </w:r>
      <w:r>
        <w:rPr>
          <w:rFonts w:hint="eastAsia" w:cs="Times New Roman"/>
          <w:color w:val="auto"/>
          <w:highlight w:val="none"/>
          <w:lang w:val="en-US" w:eastAsia="zh-CN"/>
        </w:rPr>
        <w:t>99</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_Ref32764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图5.2-30</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49" w:name="_Ref5759"/>
      <w:bookmarkEnd w:id="549"/>
      <w:r>
        <w:rPr>
          <w:rFonts w:hint="eastAsia"/>
          <w:color w:val="auto"/>
          <w:highlight w:val="none"/>
          <w:lang w:val="en-US" w:eastAsia="zh-CN"/>
        </w:rPr>
        <w:t>叠加后氨环境质量浓度预测结果表</w:t>
      </w:r>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8"/>
        <w:gridCol w:w="907"/>
        <w:gridCol w:w="1133"/>
        <w:gridCol w:w="1125"/>
        <w:gridCol w:w="1162"/>
        <w:gridCol w:w="1144"/>
        <w:gridCol w:w="1050"/>
        <w:gridCol w:w="76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vAlign w:val="center"/>
          </w:tcPr>
          <w:p>
            <w:pPr>
              <w:pStyle w:val="21"/>
              <w:bidi w:val="0"/>
              <w:jc w:val="center"/>
              <w:rPr>
                <w:color w:val="auto"/>
                <w:highlight w:val="none"/>
              </w:rPr>
            </w:pPr>
            <w:r>
              <w:rPr>
                <w:color w:val="auto"/>
                <w:highlight w:val="none"/>
              </w:rPr>
              <w:t>序号</w:t>
            </w:r>
          </w:p>
        </w:tc>
        <w:tc>
          <w:tcPr>
            <w:tcW w:w="868" w:type="dxa"/>
            <w:vAlign w:val="center"/>
          </w:tcPr>
          <w:p>
            <w:pPr>
              <w:pStyle w:val="21"/>
              <w:bidi w:val="0"/>
              <w:jc w:val="center"/>
              <w:rPr>
                <w:color w:val="auto"/>
                <w:highlight w:val="none"/>
              </w:rPr>
            </w:pPr>
            <w:r>
              <w:rPr>
                <w:rFonts w:hint="eastAsia"/>
                <w:color w:val="auto"/>
                <w:highlight w:val="none"/>
                <w:lang w:val="en-US" w:eastAsia="zh-CN"/>
              </w:rPr>
              <w:t>预测</w:t>
            </w:r>
            <w:r>
              <w:rPr>
                <w:color w:val="auto"/>
                <w:highlight w:val="none"/>
              </w:rPr>
              <w:t>点名称</w:t>
            </w:r>
          </w:p>
        </w:tc>
        <w:tc>
          <w:tcPr>
            <w:tcW w:w="907" w:type="dxa"/>
            <w:vAlign w:val="center"/>
          </w:tcPr>
          <w:p>
            <w:pPr>
              <w:pStyle w:val="21"/>
              <w:bidi w:val="0"/>
              <w:jc w:val="center"/>
              <w:rPr>
                <w:color w:val="auto"/>
                <w:highlight w:val="none"/>
              </w:rPr>
            </w:pPr>
            <w:r>
              <w:rPr>
                <w:color w:val="auto"/>
                <w:highlight w:val="none"/>
              </w:rPr>
              <w:t>浓度</w:t>
            </w:r>
          </w:p>
          <w:p>
            <w:pPr>
              <w:pStyle w:val="21"/>
              <w:bidi w:val="0"/>
              <w:jc w:val="center"/>
              <w:rPr>
                <w:color w:val="auto"/>
                <w:highlight w:val="none"/>
              </w:rPr>
            </w:pPr>
            <w:r>
              <w:rPr>
                <w:color w:val="auto"/>
                <w:highlight w:val="none"/>
              </w:rPr>
              <w:t>类型</w:t>
            </w:r>
          </w:p>
        </w:tc>
        <w:tc>
          <w:tcPr>
            <w:tcW w:w="1133" w:type="dxa"/>
            <w:vAlign w:val="center"/>
          </w:tcPr>
          <w:p>
            <w:pPr>
              <w:pStyle w:val="21"/>
              <w:bidi w:val="0"/>
              <w:jc w:val="center"/>
              <w:rPr>
                <w:color w:val="auto"/>
                <w:highlight w:val="none"/>
              </w:rPr>
            </w:pPr>
            <w:r>
              <w:rPr>
                <w:color w:val="auto"/>
                <w:highlight w:val="none"/>
              </w:rPr>
              <w:t>浓度增量(mg/m</w:t>
            </w:r>
            <w:r>
              <w:rPr>
                <w:color w:val="auto"/>
                <w:highlight w:val="none"/>
                <w:vertAlign w:val="superscript"/>
              </w:rPr>
              <w:t>3</w:t>
            </w:r>
            <w:r>
              <w:rPr>
                <w:color w:val="auto"/>
                <w:highlight w:val="none"/>
              </w:rPr>
              <w:t>)</w:t>
            </w:r>
          </w:p>
        </w:tc>
        <w:tc>
          <w:tcPr>
            <w:tcW w:w="1125" w:type="dxa"/>
            <w:vAlign w:val="center"/>
          </w:tcPr>
          <w:p>
            <w:pPr>
              <w:pStyle w:val="21"/>
              <w:bidi w:val="0"/>
              <w:jc w:val="center"/>
              <w:rPr>
                <w:color w:val="auto"/>
                <w:highlight w:val="none"/>
              </w:rPr>
            </w:pPr>
            <w:r>
              <w:rPr>
                <w:color w:val="auto"/>
                <w:highlight w:val="none"/>
              </w:rPr>
              <w:t>出现时间(YYMMDDHH)</w:t>
            </w:r>
          </w:p>
        </w:tc>
        <w:tc>
          <w:tcPr>
            <w:tcW w:w="1162" w:type="dxa"/>
            <w:vAlign w:val="center"/>
          </w:tcPr>
          <w:p>
            <w:pPr>
              <w:pStyle w:val="21"/>
              <w:bidi w:val="0"/>
              <w:jc w:val="center"/>
              <w:rPr>
                <w:color w:val="auto"/>
                <w:highlight w:val="none"/>
              </w:rPr>
            </w:pPr>
            <w:r>
              <w:rPr>
                <w:color w:val="auto"/>
                <w:highlight w:val="none"/>
              </w:rPr>
              <w:t>背景浓度（mg/m</w:t>
            </w:r>
            <w:r>
              <w:rPr>
                <w:color w:val="auto"/>
                <w:highlight w:val="none"/>
                <w:vertAlign w:val="superscript"/>
              </w:rPr>
              <w:t>3</w:t>
            </w:r>
            <w:r>
              <w:rPr>
                <w:color w:val="auto"/>
                <w:highlight w:val="none"/>
              </w:rPr>
              <w:t>）</w:t>
            </w:r>
          </w:p>
        </w:tc>
        <w:tc>
          <w:tcPr>
            <w:tcW w:w="1144" w:type="dxa"/>
            <w:vAlign w:val="center"/>
          </w:tcPr>
          <w:p>
            <w:pPr>
              <w:pStyle w:val="21"/>
              <w:bidi w:val="0"/>
              <w:jc w:val="center"/>
              <w:rPr>
                <w:color w:val="auto"/>
                <w:highlight w:val="none"/>
              </w:rPr>
            </w:pPr>
            <w:r>
              <w:rPr>
                <w:color w:val="auto"/>
                <w:highlight w:val="none"/>
              </w:rPr>
              <w:t>叠加后</w:t>
            </w:r>
          </w:p>
          <w:p>
            <w:pPr>
              <w:pStyle w:val="21"/>
              <w:bidi w:val="0"/>
              <w:jc w:val="center"/>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1050" w:type="dxa"/>
            <w:vAlign w:val="center"/>
          </w:tcPr>
          <w:p>
            <w:pPr>
              <w:pStyle w:val="21"/>
              <w:bidi w:val="0"/>
              <w:jc w:val="center"/>
              <w:rPr>
                <w:color w:val="auto"/>
                <w:highlight w:val="none"/>
              </w:rPr>
            </w:pPr>
            <w:r>
              <w:rPr>
                <w:color w:val="auto"/>
                <w:highlight w:val="none"/>
              </w:rPr>
              <w:t>评价标准(mg/m</w:t>
            </w:r>
            <w:r>
              <w:rPr>
                <w:color w:val="auto"/>
                <w:highlight w:val="none"/>
                <w:vertAlign w:val="superscript"/>
              </w:rPr>
              <w:t>3</w:t>
            </w:r>
            <w:r>
              <w:rPr>
                <w:color w:val="auto"/>
                <w:highlight w:val="none"/>
              </w:rPr>
              <w:t>)</w:t>
            </w:r>
          </w:p>
        </w:tc>
        <w:tc>
          <w:tcPr>
            <w:tcW w:w="769" w:type="dxa"/>
            <w:vAlign w:val="center"/>
          </w:tcPr>
          <w:p>
            <w:pPr>
              <w:pStyle w:val="21"/>
              <w:bidi w:val="0"/>
              <w:jc w:val="center"/>
              <w:rPr>
                <w:color w:val="auto"/>
                <w:highlight w:val="none"/>
              </w:rPr>
            </w:pPr>
            <w:r>
              <w:rPr>
                <w:color w:val="auto"/>
                <w:highlight w:val="none"/>
              </w:rPr>
              <w:t>占标率%</w:t>
            </w:r>
          </w:p>
        </w:tc>
        <w:tc>
          <w:tcPr>
            <w:tcW w:w="697" w:type="dxa"/>
            <w:vAlign w:val="center"/>
          </w:tcPr>
          <w:p>
            <w:pPr>
              <w:pStyle w:val="21"/>
              <w:bidi w:val="0"/>
              <w:jc w:val="center"/>
              <w:rPr>
                <w:color w:val="auto"/>
                <w:highlight w:val="none"/>
              </w:rPr>
            </w:pPr>
            <w:r>
              <w:rPr>
                <w:color w:val="auto"/>
                <w:highlight w:val="none"/>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1</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2.85E-04</w:t>
            </w:r>
          </w:p>
        </w:tc>
        <w:tc>
          <w:tcPr>
            <w:tcW w:w="1125" w:type="dxa"/>
            <w:vAlign w:val="center"/>
          </w:tcPr>
          <w:p>
            <w:pPr>
              <w:pStyle w:val="21"/>
              <w:bidi w:val="0"/>
              <w:rPr>
                <w:rFonts w:hint="default"/>
                <w:color w:val="auto"/>
              </w:rPr>
            </w:pPr>
            <w:r>
              <w:rPr>
                <w:rFonts w:hint="eastAsia"/>
                <w:color w:val="auto"/>
              </w:rPr>
              <w:t>19020223</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5.13E-02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rPr>
            </w:pPr>
            <w:r>
              <w:rPr>
                <w:rFonts w:hint="eastAsia"/>
                <w:color w:val="auto"/>
              </w:rPr>
              <w:t>25.64</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2</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1.07E-04</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5.11E-02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eastAsia"/>
                <w:color w:val="auto"/>
                <w:lang w:eastAsia="zh-CN"/>
              </w:rPr>
            </w:pPr>
            <w:r>
              <w:rPr>
                <w:rFonts w:hint="eastAsia"/>
                <w:color w:val="auto"/>
              </w:rPr>
              <w:t>25.55</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3</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6.19E-05</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5.11E-02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rPr>
            </w:pPr>
            <w:r>
              <w:rPr>
                <w:rFonts w:hint="eastAsia"/>
                <w:color w:val="auto"/>
              </w:rPr>
              <w:t>25.53</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4</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1.80E-04</w:t>
            </w:r>
          </w:p>
        </w:tc>
        <w:tc>
          <w:tcPr>
            <w:tcW w:w="1125" w:type="dxa"/>
            <w:vAlign w:val="center"/>
          </w:tcPr>
          <w:p>
            <w:pPr>
              <w:pStyle w:val="21"/>
              <w:bidi w:val="0"/>
              <w:rPr>
                <w:rFonts w:hint="default"/>
                <w:color w:val="auto"/>
              </w:rPr>
            </w:pPr>
            <w:r>
              <w:rPr>
                <w:rFonts w:hint="eastAsia"/>
                <w:color w:val="auto"/>
              </w:rPr>
              <w:t>19060421</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5.12E-02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lang w:val="en-US" w:eastAsia="zh-CN"/>
              </w:rPr>
            </w:pPr>
            <w:r>
              <w:rPr>
                <w:rFonts w:hint="eastAsia"/>
                <w:color w:val="auto"/>
              </w:rPr>
              <w:t>25.59</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5</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3.12E-05</w:t>
            </w:r>
          </w:p>
        </w:tc>
        <w:tc>
          <w:tcPr>
            <w:tcW w:w="1125" w:type="dxa"/>
            <w:vAlign w:val="center"/>
          </w:tcPr>
          <w:p>
            <w:pPr>
              <w:pStyle w:val="21"/>
              <w:bidi w:val="0"/>
              <w:rPr>
                <w:rFonts w:hint="default"/>
                <w:color w:val="auto"/>
              </w:rPr>
            </w:pPr>
            <w:r>
              <w:rPr>
                <w:rFonts w:hint="eastAsia"/>
                <w:color w:val="auto"/>
              </w:rPr>
              <w:t>19030123</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5.10E-02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rPr>
            </w:pPr>
            <w:r>
              <w:rPr>
                <w:rFonts w:hint="eastAsia"/>
                <w:color w:val="auto"/>
              </w:rPr>
              <w:t>25.52</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6</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2.96E-05</w:t>
            </w:r>
          </w:p>
        </w:tc>
        <w:tc>
          <w:tcPr>
            <w:tcW w:w="1125" w:type="dxa"/>
            <w:vAlign w:val="center"/>
          </w:tcPr>
          <w:p>
            <w:pPr>
              <w:pStyle w:val="21"/>
              <w:bidi w:val="0"/>
              <w:rPr>
                <w:rFonts w:hint="default"/>
                <w:color w:val="auto"/>
              </w:rPr>
            </w:pPr>
            <w:r>
              <w:rPr>
                <w:rFonts w:hint="eastAsia"/>
                <w:color w:val="auto"/>
              </w:rPr>
              <w:t>19060421</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5.10E-02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rPr>
            </w:pPr>
            <w:r>
              <w:rPr>
                <w:rFonts w:hint="eastAsia"/>
                <w:color w:val="auto"/>
              </w:rPr>
              <w:t>25.51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7</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1.13E-04</w:t>
            </w:r>
          </w:p>
        </w:tc>
        <w:tc>
          <w:tcPr>
            <w:tcW w:w="1125" w:type="dxa"/>
            <w:vAlign w:val="center"/>
          </w:tcPr>
          <w:p>
            <w:pPr>
              <w:pStyle w:val="21"/>
              <w:bidi w:val="0"/>
              <w:rPr>
                <w:rFonts w:hint="default"/>
                <w:color w:val="auto"/>
              </w:rPr>
            </w:pPr>
            <w:r>
              <w:rPr>
                <w:rFonts w:hint="eastAsia"/>
                <w:color w:val="auto"/>
              </w:rPr>
              <w:t>19042920</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5.11E-02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rPr>
            </w:pPr>
            <w:r>
              <w:rPr>
                <w:rFonts w:hint="eastAsia"/>
                <w:color w:val="auto"/>
              </w:rPr>
              <w:t>25.56</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8</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default"/>
                <w:color w:val="auto"/>
              </w:rPr>
            </w:pPr>
            <w:r>
              <w:rPr>
                <w:rFonts w:hint="eastAsia"/>
                <w:color w:val="auto"/>
              </w:rPr>
              <w:t>2.60E-04</w:t>
            </w:r>
          </w:p>
        </w:tc>
        <w:tc>
          <w:tcPr>
            <w:tcW w:w="1125" w:type="dxa"/>
            <w:vAlign w:val="center"/>
          </w:tcPr>
          <w:p>
            <w:pPr>
              <w:pStyle w:val="21"/>
              <w:bidi w:val="0"/>
              <w:rPr>
                <w:rFonts w:hint="default"/>
                <w:color w:val="auto"/>
              </w:rPr>
            </w:pPr>
            <w:r>
              <w:rPr>
                <w:rFonts w:hint="eastAsia"/>
                <w:color w:val="auto"/>
              </w:rPr>
              <w:t>19040905</w:t>
            </w:r>
          </w:p>
        </w:tc>
        <w:tc>
          <w:tcPr>
            <w:tcW w:w="1162" w:type="dxa"/>
            <w:vAlign w:val="center"/>
          </w:tcPr>
          <w:p>
            <w:pPr>
              <w:pStyle w:val="21"/>
              <w:bidi w:val="0"/>
              <w:rPr>
                <w:rFonts w:hint="default"/>
                <w:color w:val="auto"/>
              </w:rPr>
            </w:pPr>
            <w:r>
              <w:rPr>
                <w:rFonts w:hint="eastAsia"/>
                <w:color w:val="auto"/>
              </w:rPr>
              <w:t>5.10E-02</w:t>
            </w:r>
          </w:p>
        </w:tc>
        <w:tc>
          <w:tcPr>
            <w:tcW w:w="1144" w:type="dxa"/>
            <w:vAlign w:val="center"/>
          </w:tcPr>
          <w:p>
            <w:pPr>
              <w:pStyle w:val="21"/>
              <w:bidi w:val="0"/>
              <w:rPr>
                <w:rFonts w:hint="default"/>
                <w:color w:val="auto"/>
              </w:rPr>
            </w:pPr>
            <w:r>
              <w:rPr>
                <w:rFonts w:hint="eastAsia"/>
                <w:color w:val="auto"/>
              </w:rPr>
              <w:t>5.13E-02</w:t>
            </w:r>
          </w:p>
        </w:tc>
        <w:tc>
          <w:tcPr>
            <w:tcW w:w="1050" w:type="dxa"/>
            <w:vAlign w:val="center"/>
          </w:tcPr>
          <w:p>
            <w:pPr>
              <w:pStyle w:val="21"/>
              <w:bidi w:val="0"/>
              <w:rPr>
                <w:rFonts w:hint="default"/>
                <w:color w:val="auto"/>
              </w:rPr>
            </w:pPr>
            <w:r>
              <w:rPr>
                <w:rFonts w:hint="eastAsia"/>
                <w:color w:val="auto"/>
              </w:rPr>
              <w:t>2.00E-01</w:t>
            </w:r>
          </w:p>
        </w:tc>
        <w:tc>
          <w:tcPr>
            <w:tcW w:w="769" w:type="dxa"/>
            <w:vAlign w:val="center"/>
          </w:tcPr>
          <w:p>
            <w:pPr>
              <w:pStyle w:val="21"/>
              <w:bidi w:val="0"/>
              <w:rPr>
                <w:rFonts w:hint="default"/>
                <w:color w:val="auto"/>
              </w:rPr>
            </w:pPr>
            <w:r>
              <w:rPr>
                <w:rFonts w:hint="eastAsia"/>
                <w:color w:val="auto"/>
              </w:rPr>
              <w:t>25.63</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9</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小洋</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8.48E-06</w:t>
            </w:r>
          </w:p>
        </w:tc>
        <w:tc>
          <w:tcPr>
            <w:tcW w:w="1125" w:type="dxa"/>
            <w:vAlign w:val="center"/>
          </w:tcPr>
          <w:p>
            <w:pPr>
              <w:pStyle w:val="21"/>
              <w:bidi w:val="0"/>
              <w:rPr>
                <w:rFonts w:hint="eastAsia"/>
                <w:color w:val="auto"/>
              </w:rPr>
            </w:pPr>
            <w:r>
              <w:rPr>
                <w:rFonts w:hint="eastAsia"/>
                <w:color w:val="auto"/>
              </w:rPr>
              <w:t>19081204</w:t>
            </w:r>
          </w:p>
        </w:tc>
        <w:tc>
          <w:tcPr>
            <w:tcW w:w="1162" w:type="dxa"/>
            <w:vAlign w:val="center"/>
          </w:tcPr>
          <w:p>
            <w:pPr>
              <w:pStyle w:val="21"/>
              <w:bidi w:val="0"/>
              <w:rPr>
                <w:rFonts w:hint="eastAsia"/>
                <w:color w:val="auto"/>
              </w:rPr>
            </w:pPr>
            <w:r>
              <w:rPr>
                <w:rFonts w:hint="eastAsia"/>
                <w:color w:val="auto"/>
              </w:rPr>
              <w:t>5.10E-02</w:t>
            </w:r>
          </w:p>
        </w:tc>
        <w:tc>
          <w:tcPr>
            <w:tcW w:w="1144" w:type="dxa"/>
            <w:vAlign w:val="center"/>
          </w:tcPr>
          <w:p>
            <w:pPr>
              <w:pStyle w:val="21"/>
              <w:bidi w:val="0"/>
              <w:rPr>
                <w:rFonts w:hint="eastAsia"/>
                <w:color w:val="auto"/>
              </w:rPr>
            </w:pPr>
            <w:r>
              <w:rPr>
                <w:rFonts w:hint="eastAsia"/>
                <w:color w:val="auto"/>
              </w:rPr>
              <w:t>5.10E-02</w:t>
            </w:r>
          </w:p>
        </w:tc>
        <w:tc>
          <w:tcPr>
            <w:tcW w:w="1050" w:type="dxa"/>
            <w:vAlign w:val="center"/>
          </w:tcPr>
          <w:p>
            <w:pPr>
              <w:pStyle w:val="21"/>
              <w:bidi w:val="0"/>
              <w:rPr>
                <w:rFonts w:hint="eastAsia"/>
                <w:color w:val="auto"/>
              </w:rPr>
            </w:pPr>
            <w:r>
              <w:rPr>
                <w:rFonts w:hint="eastAsia"/>
                <w:color w:val="auto"/>
              </w:rPr>
              <w:t>2.00E-01</w:t>
            </w:r>
          </w:p>
        </w:tc>
        <w:tc>
          <w:tcPr>
            <w:tcW w:w="769" w:type="dxa"/>
            <w:vAlign w:val="center"/>
          </w:tcPr>
          <w:p>
            <w:pPr>
              <w:pStyle w:val="21"/>
              <w:bidi w:val="0"/>
              <w:rPr>
                <w:rFonts w:hint="eastAsia"/>
                <w:color w:val="auto"/>
              </w:rPr>
            </w:pPr>
            <w:r>
              <w:rPr>
                <w:rFonts w:hint="eastAsia"/>
                <w:color w:val="auto"/>
              </w:rPr>
              <w:t>25.50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10</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竹栏头</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1.84E-05</w:t>
            </w:r>
          </w:p>
        </w:tc>
        <w:tc>
          <w:tcPr>
            <w:tcW w:w="1125" w:type="dxa"/>
            <w:vAlign w:val="center"/>
          </w:tcPr>
          <w:p>
            <w:pPr>
              <w:pStyle w:val="21"/>
              <w:bidi w:val="0"/>
              <w:rPr>
                <w:rFonts w:hint="eastAsia"/>
                <w:color w:val="auto"/>
              </w:rPr>
            </w:pPr>
            <w:r>
              <w:rPr>
                <w:rFonts w:hint="eastAsia"/>
                <w:color w:val="auto"/>
              </w:rPr>
              <w:t>19070405</w:t>
            </w:r>
          </w:p>
        </w:tc>
        <w:tc>
          <w:tcPr>
            <w:tcW w:w="1162" w:type="dxa"/>
            <w:vAlign w:val="center"/>
          </w:tcPr>
          <w:p>
            <w:pPr>
              <w:pStyle w:val="21"/>
              <w:bidi w:val="0"/>
              <w:rPr>
                <w:rFonts w:hint="eastAsia"/>
                <w:color w:val="auto"/>
              </w:rPr>
            </w:pPr>
            <w:r>
              <w:rPr>
                <w:rFonts w:hint="eastAsia"/>
                <w:color w:val="auto"/>
              </w:rPr>
              <w:t>5.10E-02</w:t>
            </w:r>
          </w:p>
        </w:tc>
        <w:tc>
          <w:tcPr>
            <w:tcW w:w="1144" w:type="dxa"/>
            <w:vAlign w:val="center"/>
          </w:tcPr>
          <w:p>
            <w:pPr>
              <w:pStyle w:val="21"/>
              <w:bidi w:val="0"/>
              <w:rPr>
                <w:rFonts w:hint="eastAsia"/>
                <w:color w:val="auto"/>
              </w:rPr>
            </w:pPr>
            <w:r>
              <w:rPr>
                <w:rFonts w:hint="eastAsia"/>
                <w:color w:val="auto"/>
              </w:rPr>
              <w:t>5.10E-02</w:t>
            </w:r>
          </w:p>
        </w:tc>
        <w:tc>
          <w:tcPr>
            <w:tcW w:w="1050" w:type="dxa"/>
            <w:vAlign w:val="center"/>
          </w:tcPr>
          <w:p>
            <w:pPr>
              <w:pStyle w:val="21"/>
              <w:bidi w:val="0"/>
              <w:rPr>
                <w:rFonts w:hint="eastAsia"/>
                <w:color w:val="auto"/>
              </w:rPr>
            </w:pPr>
            <w:r>
              <w:rPr>
                <w:rFonts w:hint="eastAsia"/>
                <w:color w:val="auto"/>
              </w:rPr>
              <w:t>2.00E-01</w:t>
            </w:r>
          </w:p>
        </w:tc>
        <w:tc>
          <w:tcPr>
            <w:tcW w:w="769" w:type="dxa"/>
            <w:vAlign w:val="center"/>
          </w:tcPr>
          <w:p>
            <w:pPr>
              <w:pStyle w:val="21"/>
              <w:bidi w:val="0"/>
              <w:rPr>
                <w:rFonts w:hint="eastAsia"/>
                <w:color w:val="auto"/>
              </w:rPr>
            </w:pPr>
            <w:r>
              <w:rPr>
                <w:rFonts w:hint="eastAsia"/>
                <w:color w:val="auto"/>
              </w:rPr>
              <w:t>25.51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11</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东岭头</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2.48E-05</w:t>
            </w:r>
          </w:p>
        </w:tc>
        <w:tc>
          <w:tcPr>
            <w:tcW w:w="1125" w:type="dxa"/>
            <w:vAlign w:val="center"/>
          </w:tcPr>
          <w:p>
            <w:pPr>
              <w:pStyle w:val="21"/>
              <w:bidi w:val="0"/>
              <w:rPr>
                <w:rFonts w:hint="eastAsia"/>
                <w:color w:val="auto"/>
              </w:rPr>
            </w:pPr>
            <w:r>
              <w:rPr>
                <w:rFonts w:hint="eastAsia"/>
                <w:color w:val="auto"/>
              </w:rPr>
              <w:t>19040709</w:t>
            </w:r>
          </w:p>
        </w:tc>
        <w:tc>
          <w:tcPr>
            <w:tcW w:w="1162" w:type="dxa"/>
            <w:vAlign w:val="center"/>
          </w:tcPr>
          <w:p>
            <w:pPr>
              <w:pStyle w:val="21"/>
              <w:bidi w:val="0"/>
              <w:rPr>
                <w:rFonts w:hint="eastAsia"/>
                <w:color w:val="auto"/>
              </w:rPr>
            </w:pPr>
            <w:r>
              <w:rPr>
                <w:rFonts w:hint="eastAsia"/>
                <w:color w:val="auto"/>
              </w:rPr>
              <w:t>5.10E-02</w:t>
            </w:r>
          </w:p>
        </w:tc>
        <w:tc>
          <w:tcPr>
            <w:tcW w:w="1144" w:type="dxa"/>
            <w:vAlign w:val="center"/>
          </w:tcPr>
          <w:p>
            <w:pPr>
              <w:pStyle w:val="21"/>
              <w:bidi w:val="0"/>
              <w:rPr>
                <w:rFonts w:hint="eastAsia"/>
                <w:color w:val="auto"/>
              </w:rPr>
            </w:pPr>
            <w:r>
              <w:rPr>
                <w:rFonts w:hint="eastAsia"/>
                <w:color w:val="auto"/>
              </w:rPr>
              <w:t>5.10E-02</w:t>
            </w:r>
          </w:p>
        </w:tc>
        <w:tc>
          <w:tcPr>
            <w:tcW w:w="1050" w:type="dxa"/>
            <w:vAlign w:val="center"/>
          </w:tcPr>
          <w:p>
            <w:pPr>
              <w:pStyle w:val="21"/>
              <w:bidi w:val="0"/>
              <w:rPr>
                <w:rFonts w:hint="eastAsia"/>
                <w:color w:val="auto"/>
              </w:rPr>
            </w:pPr>
            <w:r>
              <w:rPr>
                <w:rFonts w:hint="eastAsia"/>
                <w:color w:val="auto"/>
              </w:rPr>
              <w:t>2.00E-01</w:t>
            </w:r>
          </w:p>
        </w:tc>
        <w:tc>
          <w:tcPr>
            <w:tcW w:w="769" w:type="dxa"/>
            <w:vAlign w:val="center"/>
          </w:tcPr>
          <w:p>
            <w:pPr>
              <w:pStyle w:val="21"/>
              <w:bidi w:val="0"/>
              <w:rPr>
                <w:rFonts w:hint="eastAsia"/>
                <w:color w:val="auto"/>
              </w:rPr>
            </w:pPr>
            <w:r>
              <w:rPr>
                <w:rFonts w:hint="eastAsia"/>
                <w:color w:val="auto"/>
              </w:rPr>
              <w:t>25.51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12</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秦家洋</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2.22E-06</w:t>
            </w:r>
          </w:p>
        </w:tc>
        <w:tc>
          <w:tcPr>
            <w:tcW w:w="1125" w:type="dxa"/>
            <w:vAlign w:val="center"/>
          </w:tcPr>
          <w:p>
            <w:pPr>
              <w:pStyle w:val="21"/>
              <w:bidi w:val="0"/>
              <w:rPr>
                <w:rFonts w:hint="eastAsia"/>
                <w:color w:val="auto"/>
              </w:rPr>
            </w:pPr>
            <w:r>
              <w:rPr>
                <w:rFonts w:hint="eastAsia"/>
                <w:color w:val="auto"/>
              </w:rPr>
              <w:t>19052707</w:t>
            </w:r>
          </w:p>
        </w:tc>
        <w:tc>
          <w:tcPr>
            <w:tcW w:w="1162" w:type="dxa"/>
            <w:vAlign w:val="center"/>
          </w:tcPr>
          <w:p>
            <w:pPr>
              <w:pStyle w:val="21"/>
              <w:bidi w:val="0"/>
              <w:rPr>
                <w:rFonts w:hint="eastAsia"/>
                <w:color w:val="auto"/>
              </w:rPr>
            </w:pPr>
            <w:r>
              <w:rPr>
                <w:rFonts w:hint="eastAsia"/>
                <w:color w:val="auto"/>
              </w:rPr>
              <w:t>5.10E-02</w:t>
            </w:r>
          </w:p>
        </w:tc>
        <w:tc>
          <w:tcPr>
            <w:tcW w:w="1144" w:type="dxa"/>
            <w:vAlign w:val="center"/>
          </w:tcPr>
          <w:p>
            <w:pPr>
              <w:pStyle w:val="21"/>
              <w:bidi w:val="0"/>
              <w:rPr>
                <w:rFonts w:hint="eastAsia"/>
                <w:color w:val="auto"/>
              </w:rPr>
            </w:pPr>
            <w:r>
              <w:rPr>
                <w:rFonts w:hint="eastAsia"/>
                <w:color w:val="auto"/>
              </w:rPr>
              <w:t>5.10E-02</w:t>
            </w:r>
          </w:p>
        </w:tc>
        <w:tc>
          <w:tcPr>
            <w:tcW w:w="1050" w:type="dxa"/>
            <w:vAlign w:val="center"/>
          </w:tcPr>
          <w:p>
            <w:pPr>
              <w:pStyle w:val="21"/>
              <w:bidi w:val="0"/>
              <w:rPr>
                <w:rFonts w:hint="eastAsia"/>
                <w:color w:val="auto"/>
              </w:rPr>
            </w:pPr>
            <w:r>
              <w:rPr>
                <w:rFonts w:hint="eastAsia"/>
                <w:color w:val="auto"/>
              </w:rPr>
              <w:t>2.00E-01</w:t>
            </w:r>
          </w:p>
        </w:tc>
        <w:tc>
          <w:tcPr>
            <w:tcW w:w="769" w:type="dxa"/>
            <w:vAlign w:val="center"/>
          </w:tcPr>
          <w:p>
            <w:pPr>
              <w:pStyle w:val="21"/>
              <w:bidi w:val="0"/>
              <w:rPr>
                <w:rFonts w:hint="eastAsia"/>
                <w:color w:val="auto"/>
              </w:rPr>
            </w:pPr>
            <w:r>
              <w:rPr>
                <w:rFonts w:hint="eastAsia"/>
                <w:color w:val="auto"/>
              </w:rPr>
              <w:t>25.50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13</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山后</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2.20E-05</w:t>
            </w:r>
          </w:p>
        </w:tc>
        <w:tc>
          <w:tcPr>
            <w:tcW w:w="1125" w:type="dxa"/>
            <w:vAlign w:val="center"/>
          </w:tcPr>
          <w:p>
            <w:pPr>
              <w:pStyle w:val="21"/>
              <w:bidi w:val="0"/>
              <w:rPr>
                <w:rFonts w:hint="eastAsia"/>
                <w:color w:val="auto"/>
              </w:rPr>
            </w:pPr>
            <w:r>
              <w:rPr>
                <w:rFonts w:hint="eastAsia"/>
                <w:color w:val="auto"/>
              </w:rPr>
              <w:t>19112308</w:t>
            </w:r>
          </w:p>
        </w:tc>
        <w:tc>
          <w:tcPr>
            <w:tcW w:w="1162" w:type="dxa"/>
            <w:vAlign w:val="center"/>
          </w:tcPr>
          <w:p>
            <w:pPr>
              <w:pStyle w:val="21"/>
              <w:bidi w:val="0"/>
              <w:rPr>
                <w:rFonts w:hint="eastAsia"/>
                <w:color w:val="auto"/>
              </w:rPr>
            </w:pPr>
            <w:r>
              <w:rPr>
                <w:rFonts w:hint="eastAsia"/>
                <w:color w:val="auto"/>
              </w:rPr>
              <w:t>5.10E-02</w:t>
            </w:r>
          </w:p>
        </w:tc>
        <w:tc>
          <w:tcPr>
            <w:tcW w:w="1144" w:type="dxa"/>
            <w:vAlign w:val="center"/>
          </w:tcPr>
          <w:p>
            <w:pPr>
              <w:pStyle w:val="21"/>
              <w:bidi w:val="0"/>
              <w:rPr>
                <w:rFonts w:hint="eastAsia"/>
                <w:color w:val="auto"/>
              </w:rPr>
            </w:pPr>
            <w:r>
              <w:rPr>
                <w:rFonts w:hint="eastAsia"/>
                <w:color w:val="auto"/>
              </w:rPr>
              <w:t>5.10E-02</w:t>
            </w:r>
          </w:p>
        </w:tc>
        <w:tc>
          <w:tcPr>
            <w:tcW w:w="1050" w:type="dxa"/>
            <w:vAlign w:val="center"/>
          </w:tcPr>
          <w:p>
            <w:pPr>
              <w:pStyle w:val="21"/>
              <w:bidi w:val="0"/>
              <w:rPr>
                <w:rFonts w:hint="eastAsia"/>
                <w:color w:val="auto"/>
              </w:rPr>
            </w:pPr>
            <w:r>
              <w:rPr>
                <w:rFonts w:hint="eastAsia"/>
                <w:color w:val="auto"/>
              </w:rPr>
              <w:t>2.00E-01</w:t>
            </w:r>
          </w:p>
        </w:tc>
        <w:tc>
          <w:tcPr>
            <w:tcW w:w="769" w:type="dxa"/>
            <w:vAlign w:val="center"/>
          </w:tcPr>
          <w:p>
            <w:pPr>
              <w:pStyle w:val="21"/>
              <w:bidi w:val="0"/>
              <w:rPr>
                <w:rFonts w:hint="eastAsia"/>
                <w:color w:val="auto"/>
              </w:rPr>
            </w:pPr>
            <w:r>
              <w:rPr>
                <w:rFonts w:hint="eastAsia"/>
                <w:color w:val="auto"/>
              </w:rPr>
              <w:t>25.51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14</w:t>
            </w:r>
          </w:p>
        </w:tc>
        <w:tc>
          <w:tcPr>
            <w:tcW w:w="868" w:type="dxa"/>
            <w:vAlign w:val="center"/>
          </w:tcPr>
          <w:p>
            <w:pPr>
              <w:pStyle w:val="21"/>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网格</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2.98E-03</w:t>
            </w:r>
          </w:p>
        </w:tc>
        <w:tc>
          <w:tcPr>
            <w:tcW w:w="1125" w:type="dxa"/>
            <w:vAlign w:val="center"/>
          </w:tcPr>
          <w:p>
            <w:pPr>
              <w:pStyle w:val="21"/>
              <w:bidi w:val="0"/>
              <w:rPr>
                <w:rFonts w:hint="eastAsia"/>
                <w:color w:val="auto"/>
              </w:rPr>
            </w:pPr>
            <w:r>
              <w:rPr>
                <w:rFonts w:hint="eastAsia"/>
                <w:color w:val="auto"/>
              </w:rPr>
              <w:t>19022508</w:t>
            </w:r>
          </w:p>
        </w:tc>
        <w:tc>
          <w:tcPr>
            <w:tcW w:w="1162" w:type="dxa"/>
            <w:vAlign w:val="center"/>
          </w:tcPr>
          <w:p>
            <w:pPr>
              <w:pStyle w:val="21"/>
              <w:bidi w:val="0"/>
              <w:rPr>
                <w:rFonts w:hint="eastAsia"/>
                <w:color w:val="auto"/>
              </w:rPr>
            </w:pPr>
            <w:r>
              <w:rPr>
                <w:rFonts w:hint="eastAsia"/>
                <w:color w:val="auto"/>
              </w:rPr>
              <w:t>5.10E-02</w:t>
            </w:r>
          </w:p>
        </w:tc>
        <w:tc>
          <w:tcPr>
            <w:tcW w:w="1144" w:type="dxa"/>
            <w:vAlign w:val="center"/>
          </w:tcPr>
          <w:p>
            <w:pPr>
              <w:pStyle w:val="21"/>
              <w:bidi w:val="0"/>
              <w:rPr>
                <w:rFonts w:hint="eastAsia"/>
                <w:color w:val="auto"/>
              </w:rPr>
            </w:pPr>
            <w:r>
              <w:rPr>
                <w:rFonts w:hint="eastAsia"/>
                <w:color w:val="auto"/>
              </w:rPr>
              <w:t>5.40E-02</w:t>
            </w:r>
          </w:p>
        </w:tc>
        <w:tc>
          <w:tcPr>
            <w:tcW w:w="1050" w:type="dxa"/>
            <w:vAlign w:val="center"/>
          </w:tcPr>
          <w:p>
            <w:pPr>
              <w:pStyle w:val="21"/>
              <w:bidi w:val="0"/>
              <w:rPr>
                <w:rFonts w:hint="eastAsia"/>
                <w:color w:val="auto"/>
              </w:rPr>
            </w:pPr>
            <w:r>
              <w:rPr>
                <w:rFonts w:hint="eastAsia"/>
                <w:color w:val="auto"/>
              </w:rPr>
              <w:t>2.00E-01</w:t>
            </w:r>
          </w:p>
        </w:tc>
        <w:tc>
          <w:tcPr>
            <w:tcW w:w="769" w:type="dxa"/>
            <w:vAlign w:val="center"/>
          </w:tcPr>
          <w:p>
            <w:pPr>
              <w:pStyle w:val="21"/>
              <w:bidi w:val="0"/>
              <w:rPr>
                <w:rFonts w:hint="eastAsia"/>
                <w:color w:val="auto"/>
              </w:rPr>
            </w:pPr>
            <w:r>
              <w:rPr>
                <w:rFonts w:hint="eastAsia"/>
                <w:color w:val="auto"/>
              </w:rPr>
              <w:t>26.99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bl>
    <w:p>
      <w:pP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⑥硫化氢</w:t>
      </w:r>
      <w:r>
        <w:rPr>
          <w:rFonts w:hint="eastAsia"/>
          <w:color w:val="auto"/>
          <w:highlight w:val="none"/>
          <w:lang w:val="en-US" w:eastAsia="zh-CN"/>
        </w:rPr>
        <w:t>叠加现状（含已批在建、拟建项目）浓度影响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正常排放情况下，</w:t>
      </w:r>
      <w:r>
        <w:rPr>
          <w:rFonts w:hint="eastAsia" w:ascii="Times New Roman" w:hAnsi="Times New Roman" w:cs="Times New Roman"/>
          <w:color w:val="auto"/>
          <w:highlight w:val="none"/>
          <w:lang w:val="en-US" w:eastAsia="zh-CN"/>
        </w:rPr>
        <w:t>硫化氢</w:t>
      </w:r>
      <w:r>
        <w:rPr>
          <w:rFonts w:hint="default" w:ascii="Times New Roman" w:hAnsi="Times New Roman" w:cs="Times New Roman"/>
          <w:color w:val="auto"/>
          <w:highlight w:val="none"/>
          <w:lang w:val="en-US" w:eastAsia="zh-CN"/>
        </w:rPr>
        <w:t>影响的预测计算结果见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_Ref5759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表5.2-37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对于敏感点而言，本项目排放的</w:t>
      </w:r>
      <w:r>
        <w:rPr>
          <w:rFonts w:hint="eastAsia" w:ascii="Times New Roman" w:hAnsi="Times New Roman" w:cs="Times New Roman"/>
          <w:color w:val="auto"/>
          <w:highlight w:val="none"/>
          <w:lang w:val="en-US" w:eastAsia="zh-CN"/>
        </w:rPr>
        <w:t>硫化氢</w:t>
      </w:r>
      <w:r>
        <w:rPr>
          <w:rFonts w:ascii="Times New Roman" w:hAnsi="Times New Roman"/>
          <w:color w:val="auto"/>
          <w:szCs w:val="22"/>
          <w:highlight w:val="none"/>
        </w:rPr>
        <w:t>叠加现状浓度后</w:t>
      </w:r>
      <w:r>
        <w:rPr>
          <w:rFonts w:hint="default" w:ascii="Times New Roman" w:hAnsi="Times New Roman" w:cs="Times New Roman"/>
          <w:color w:val="auto"/>
          <w:highlight w:val="none"/>
          <w:lang w:val="en-US" w:eastAsia="zh-CN"/>
        </w:rPr>
        <w:t>满足</w:t>
      </w:r>
      <w:r>
        <w:rPr>
          <w:rFonts w:ascii="Times New Roman" w:hAnsi="Times New Roman"/>
          <w:color w:val="auto"/>
          <w:szCs w:val="22"/>
          <w:highlight w:val="none"/>
        </w:rPr>
        <w:t>《环境影响评价技术导则-大气环境》（HJ2.2-2018）附录D表D.1其他污染物空气质量浓度参考限值要求</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叠加后区域小时浓度最大值</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169</w:t>
      </w:r>
      <w:r>
        <w:rPr>
          <w:rFonts w:hint="default" w:ascii="Times New Roman" w:hAnsi="Times New Roman" w:cs="Times New Roman"/>
          <w:color w:val="auto"/>
          <w:highlight w:val="none"/>
          <w:lang w:val="en-US" w:eastAsia="zh-CN"/>
        </w:rPr>
        <w:t xml:space="preserve"> 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、最大占标率为</w:t>
      </w:r>
      <w:r>
        <w:rPr>
          <w:rFonts w:hint="eastAsia" w:cs="Times New Roman"/>
          <w:color w:val="auto"/>
          <w:highlight w:val="none"/>
          <w:lang w:val="en-US" w:eastAsia="zh-CN"/>
        </w:rPr>
        <w:t>1.69</w:t>
      </w:r>
      <w:r>
        <w:rPr>
          <w:rFonts w:hint="default" w:ascii="Times New Roman" w:hAnsi="Times New Roman" w:cs="Times New Roman"/>
          <w:color w:val="auto"/>
          <w:highlight w:val="none"/>
          <w:lang w:val="en-US" w:eastAsia="zh-CN"/>
        </w:rPr>
        <w:t>%。网格浓度分布图见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图5.2-31</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eastAsia"/>
          <w:color w:val="auto"/>
          <w:highlight w:val="none"/>
          <w:lang w:val="en-US" w:eastAsia="zh-CN"/>
        </w:rPr>
      </w:pPr>
      <w:r>
        <w:rPr>
          <w:rFonts w:hint="eastAsia"/>
          <w:color w:val="auto"/>
          <w:highlight w:val="none"/>
          <w:lang w:val="en-US" w:eastAsia="zh-CN"/>
        </w:rPr>
        <w:t>叠加后硫化氢环境质量浓度预测结果表</w:t>
      </w:r>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8"/>
        <w:gridCol w:w="907"/>
        <w:gridCol w:w="1133"/>
        <w:gridCol w:w="1125"/>
        <w:gridCol w:w="1162"/>
        <w:gridCol w:w="1144"/>
        <w:gridCol w:w="1050"/>
        <w:gridCol w:w="769"/>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vAlign w:val="center"/>
          </w:tcPr>
          <w:p>
            <w:pPr>
              <w:pStyle w:val="21"/>
              <w:bidi w:val="0"/>
              <w:jc w:val="center"/>
              <w:rPr>
                <w:color w:val="auto"/>
                <w:highlight w:val="none"/>
              </w:rPr>
            </w:pPr>
            <w:r>
              <w:rPr>
                <w:color w:val="auto"/>
                <w:highlight w:val="none"/>
              </w:rPr>
              <w:t>序号</w:t>
            </w:r>
          </w:p>
        </w:tc>
        <w:tc>
          <w:tcPr>
            <w:tcW w:w="868" w:type="dxa"/>
            <w:vAlign w:val="center"/>
          </w:tcPr>
          <w:p>
            <w:pPr>
              <w:pStyle w:val="21"/>
              <w:bidi w:val="0"/>
              <w:jc w:val="center"/>
              <w:rPr>
                <w:color w:val="auto"/>
                <w:highlight w:val="none"/>
              </w:rPr>
            </w:pPr>
            <w:r>
              <w:rPr>
                <w:rFonts w:hint="eastAsia"/>
                <w:color w:val="auto"/>
                <w:highlight w:val="none"/>
                <w:lang w:val="en-US" w:eastAsia="zh-CN"/>
              </w:rPr>
              <w:t>预测</w:t>
            </w:r>
            <w:r>
              <w:rPr>
                <w:color w:val="auto"/>
                <w:highlight w:val="none"/>
              </w:rPr>
              <w:t>点名称</w:t>
            </w:r>
          </w:p>
        </w:tc>
        <w:tc>
          <w:tcPr>
            <w:tcW w:w="907" w:type="dxa"/>
            <w:vAlign w:val="center"/>
          </w:tcPr>
          <w:p>
            <w:pPr>
              <w:pStyle w:val="21"/>
              <w:bidi w:val="0"/>
              <w:jc w:val="center"/>
              <w:rPr>
                <w:color w:val="auto"/>
                <w:highlight w:val="none"/>
              </w:rPr>
            </w:pPr>
            <w:r>
              <w:rPr>
                <w:color w:val="auto"/>
                <w:highlight w:val="none"/>
              </w:rPr>
              <w:t>浓度</w:t>
            </w:r>
          </w:p>
          <w:p>
            <w:pPr>
              <w:pStyle w:val="21"/>
              <w:bidi w:val="0"/>
              <w:jc w:val="center"/>
              <w:rPr>
                <w:color w:val="auto"/>
                <w:highlight w:val="none"/>
              </w:rPr>
            </w:pPr>
            <w:r>
              <w:rPr>
                <w:color w:val="auto"/>
                <w:highlight w:val="none"/>
              </w:rPr>
              <w:t>类型</w:t>
            </w:r>
          </w:p>
        </w:tc>
        <w:tc>
          <w:tcPr>
            <w:tcW w:w="1133" w:type="dxa"/>
            <w:vAlign w:val="center"/>
          </w:tcPr>
          <w:p>
            <w:pPr>
              <w:pStyle w:val="21"/>
              <w:bidi w:val="0"/>
              <w:jc w:val="center"/>
              <w:rPr>
                <w:color w:val="auto"/>
                <w:highlight w:val="none"/>
              </w:rPr>
            </w:pPr>
            <w:r>
              <w:rPr>
                <w:color w:val="auto"/>
                <w:highlight w:val="none"/>
              </w:rPr>
              <w:t>浓度增量(mg/m</w:t>
            </w:r>
            <w:r>
              <w:rPr>
                <w:color w:val="auto"/>
                <w:highlight w:val="none"/>
                <w:vertAlign w:val="superscript"/>
              </w:rPr>
              <w:t>3</w:t>
            </w:r>
            <w:r>
              <w:rPr>
                <w:color w:val="auto"/>
                <w:highlight w:val="none"/>
              </w:rPr>
              <w:t>)</w:t>
            </w:r>
          </w:p>
        </w:tc>
        <w:tc>
          <w:tcPr>
            <w:tcW w:w="1125" w:type="dxa"/>
            <w:vAlign w:val="center"/>
          </w:tcPr>
          <w:p>
            <w:pPr>
              <w:pStyle w:val="21"/>
              <w:bidi w:val="0"/>
              <w:jc w:val="center"/>
              <w:rPr>
                <w:color w:val="auto"/>
                <w:highlight w:val="none"/>
              </w:rPr>
            </w:pPr>
            <w:r>
              <w:rPr>
                <w:color w:val="auto"/>
                <w:highlight w:val="none"/>
              </w:rPr>
              <w:t>出现时间(YYMMDDHH)</w:t>
            </w:r>
          </w:p>
        </w:tc>
        <w:tc>
          <w:tcPr>
            <w:tcW w:w="1162" w:type="dxa"/>
            <w:vAlign w:val="center"/>
          </w:tcPr>
          <w:p>
            <w:pPr>
              <w:pStyle w:val="21"/>
              <w:bidi w:val="0"/>
              <w:jc w:val="center"/>
              <w:rPr>
                <w:color w:val="auto"/>
                <w:highlight w:val="none"/>
              </w:rPr>
            </w:pPr>
            <w:r>
              <w:rPr>
                <w:color w:val="auto"/>
                <w:highlight w:val="none"/>
              </w:rPr>
              <w:t>背景浓度（mg/m</w:t>
            </w:r>
            <w:r>
              <w:rPr>
                <w:color w:val="auto"/>
                <w:highlight w:val="none"/>
                <w:vertAlign w:val="superscript"/>
              </w:rPr>
              <w:t>3</w:t>
            </w:r>
            <w:r>
              <w:rPr>
                <w:color w:val="auto"/>
                <w:highlight w:val="none"/>
              </w:rPr>
              <w:t>）</w:t>
            </w:r>
          </w:p>
        </w:tc>
        <w:tc>
          <w:tcPr>
            <w:tcW w:w="1144" w:type="dxa"/>
            <w:vAlign w:val="center"/>
          </w:tcPr>
          <w:p>
            <w:pPr>
              <w:pStyle w:val="21"/>
              <w:bidi w:val="0"/>
              <w:jc w:val="center"/>
              <w:rPr>
                <w:color w:val="auto"/>
                <w:highlight w:val="none"/>
              </w:rPr>
            </w:pPr>
            <w:r>
              <w:rPr>
                <w:color w:val="auto"/>
                <w:highlight w:val="none"/>
              </w:rPr>
              <w:t>叠加后</w:t>
            </w:r>
          </w:p>
          <w:p>
            <w:pPr>
              <w:pStyle w:val="21"/>
              <w:bidi w:val="0"/>
              <w:jc w:val="center"/>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1050" w:type="dxa"/>
            <w:vAlign w:val="center"/>
          </w:tcPr>
          <w:p>
            <w:pPr>
              <w:pStyle w:val="21"/>
              <w:bidi w:val="0"/>
              <w:jc w:val="center"/>
              <w:rPr>
                <w:color w:val="auto"/>
                <w:highlight w:val="none"/>
              </w:rPr>
            </w:pPr>
            <w:r>
              <w:rPr>
                <w:color w:val="auto"/>
                <w:highlight w:val="none"/>
              </w:rPr>
              <w:t>评价标准(mg/m</w:t>
            </w:r>
            <w:r>
              <w:rPr>
                <w:color w:val="auto"/>
                <w:highlight w:val="none"/>
                <w:vertAlign w:val="superscript"/>
              </w:rPr>
              <w:t>3</w:t>
            </w:r>
            <w:r>
              <w:rPr>
                <w:color w:val="auto"/>
                <w:highlight w:val="none"/>
              </w:rPr>
              <w:t>)</w:t>
            </w:r>
          </w:p>
        </w:tc>
        <w:tc>
          <w:tcPr>
            <w:tcW w:w="769" w:type="dxa"/>
            <w:vAlign w:val="center"/>
          </w:tcPr>
          <w:p>
            <w:pPr>
              <w:pStyle w:val="21"/>
              <w:bidi w:val="0"/>
              <w:jc w:val="center"/>
              <w:rPr>
                <w:color w:val="auto"/>
                <w:highlight w:val="none"/>
              </w:rPr>
            </w:pPr>
            <w:r>
              <w:rPr>
                <w:color w:val="auto"/>
                <w:highlight w:val="none"/>
              </w:rPr>
              <w:t>占标率%</w:t>
            </w:r>
          </w:p>
        </w:tc>
        <w:tc>
          <w:tcPr>
            <w:tcW w:w="697" w:type="dxa"/>
            <w:vAlign w:val="center"/>
          </w:tcPr>
          <w:p>
            <w:pPr>
              <w:pStyle w:val="21"/>
              <w:bidi w:val="0"/>
              <w:jc w:val="center"/>
              <w:rPr>
                <w:color w:val="auto"/>
                <w:highlight w:val="none"/>
              </w:rPr>
            </w:pPr>
            <w:r>
              <w:rPr>
                <w:color w:val="auto"/>
                <w:highlight w:val="none"/>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1</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1.11E-05</w:t>
            </w:r>
          </w:p>
        </w:tc>
        <w:tc>
          <w:tcPr>
            <w:tcW w:w="1125" w:type="dxa"/>
            <w:vAlign w:val="center"/>
          </w:tcPr>
          <w:p>
            <w:pPr>
              <w:pStyle w:val="21"/>
              <w:bidi w:val="0"/>
              <w:rPr>
                <w:rFonts w:hint="default"/>
                <w:color w:val="auto"/>
              </w:rPr>
            </w:pPr>
            <w:r>
              <w:rPr>
                <w:rFonts w:hint="eastAsia"/>
                <w:color w:val="auto"/>
              </w:rPr>
              <w:t>19020223</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6.11E-05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rPr>
            </w:pPr>
            <w:r>
              <w:rPr>
                <w:rFonts w:hint="eastAsia"/>
                <w:color w:val="auto"/>
              </w:rPr>
              <w:t>0.61</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2</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4.15E-06</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5.42E-05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eastAsia"/>
                <w:color w:val="auto"/>
                <w:lang w:eastAsia="zh-CN"/>
              </w:rPr>
            </w:pPr>
            <w:r>
              <w:rPr>
                <w:rFonts w:hint="eastAsia"/>
                <w:color w:val="auto"/>
              </w:rPr>
              <w:t>0.54</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3</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2.48E-06</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5.25E-05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rPr>
            </w:pPr>
            <w:r>
              <w:rPr>
                <w:rFonts w:hint="eastAsia"/>
                <w:color w:val="auto"/>
              </w:rPr>
              <w:t>0.52</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4</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7.22E-06</w:t>
            </w:r>
          </w:p>
        </w:tc>
        <w:tc>
          <w:tcPr>
            <w:tcW w:w="1125" w:type="dxa"/>
            <w:vAlign w:val="center"/>
          </w:tcPr>
          <w:p>
            <w:pPr>
              <w:pStyle w:val="21"/>
              <w:bidi w:val="0"/>
              <w:rPr>
                <w:rFonts w:hint="default"/>
                <w:color w:val="auto"/>
              </w:rPr>
            </w:pPr>
            <w:r>
              <w:rPr>
                <w:rFonts w:hint="eastAsia"/>
                <w:color w:val="auto"/>
              </w:rPr>
              <w:t>19060421</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5.72E-05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lang w:val="en-US" w:eastAsia="zh-CN"/>
              </w:rPr>
            </w:pPr>
            <w:r>
              <w:rPr>
                <w:rFonts w:hint="eastAsia"/>
                <w:color w:val="auto"/>
              </w:rPr>
              <w:t>0.57</w:t>
            </w:r>
          </w:p>
        </w:tc>
        <w:tc>
          <w:tcPr>
            <w:tcW w:w="697" w:type="dxa"/>
            <w:vAlign w:val="center"/>
          </w:tcPr>
          <w:p>
            <w:pPr>
              <w:pStyle w:val="21"/>
              <w:bidi w:val="0"/>
              <w:jc w:val="center"/>
              <w:rPr>
                <w:rFonts w:hint="default"/>
                <w:color w:val="auto"/>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5</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1.24E-06</w:t>
            </w:r>
          </w:p>
        </w:tc>
        <w:tc>
          <w:tcPr>
            <w:tcW w:w="1125" w:type="dxa"/>
            <w:vAlign w:val="center"/>
          </w:tcPr>
          <w:p>
            <w:pPr>
              <w:pStyle w:val="21"/>
              <w:bidi w:val="0"/>
              <w:rPr>
                <w:rFonts w:hint="default"/>
                <w:color w:val="auto"/>
              </w:rPr>
            </w:pPr>
            <w:r>
              <w:rPr>
                <w:rFonts w:hint="eastAsia"/>
                <w:color w:val="auto"/>
              </w:rPr>
              <w:t>19042106</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5.12E-05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rPr>
            </w:pPr>
            <w:r>
              <w:rPr>
                <w:rFonts w:hint="eastAsia"/>
                <w:color w:val="auto"/>
              </w:rPr>
              <w:t>0.51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6</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1.18E-06</w:t>
            </w:r>
          </w:p>
        </w:tc>
        <w:tc>
          <w:tcPr>
            <w:tcW w:w="1125" w:type="dxa"/>
            <w:vAlign w:val="center"/>
          </w:tcPr>
          <w:p>
            <w:pPr>
              <w:pStyle w:val="21"/>
              <w:bidi w:val="0"/>
              <w:rPr>
                <w:rFonts w:hint="default"/>
                <w:color w:val="auto"/>
              </w:rPr>
            </w:pPr>
            <w:r>
              <w:rPr>
                <w:rFonts w:hint="eastAsia"/>
                <w:color w:val="auto"/>
              </w:rPr>
              <w:t>19060421</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5.12E-05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rPr>
            </w:pPr>
            <w:r>
              <w:rPr>
                <w:rFonts w:hint="eastAsia"/>
                <w:color w:val="auto"/>
              </w:rPr>
              <w:t>0.51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7</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90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1小时</w:t>
            </w:r>
          </w:p>
        </w:tc>
        <w:tc>
          <w:tcPr>
            <w:tcW w:w="1133" w:type="dxa"/>
            <w:vAlign w:val="center"/>
          </w:tcPr>
          <w:p>
            <w:pPr>
              <w:pStyle w:val="21"/>
              <w:bidi w:val="0"/>
              <w:rPr>
                <w:rFonts w:hint="default"/>
                <w:color w:val="auto"/>
              </w:rPr>
            </w:pPr>
            <w:r>
              <w:rPr>
                <w:rFonts w:hint="eastAsia"/>
                <w:color w:val="auto"/>
              </w:rPr>
              <w:t>4.51E-06</w:t>
            </w:r>
          </w:p>
        </w:tc>
        <w:tc>
          <w:tcPr>
            <w:tcW w:w="1125" w:type="dxa"/>
            <w:vAlign w:val="center"/>
          </w:tcPr>
          <w:p>
            <w:pPr>
              <w:pStyle w:val="21"/>
              <w:bidi w:val="0"/>
              <w:rPr>
                <w:rFonts w:hint="default"/>
                <w:color w:val="auto"/>
              </w:rPr>
            </w:pPr>
            <w:r>
              <w:rPr>
                <w:rFonts w:hint="eastAsia"/>
                <w:color w:val="auto"/>
              </w:rPr>
              <w:t>19042920</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5.45E-05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rPr>
            </w:pPr>
            <w:r>
              <w:rPr>
                <w:rFonts w:hint="eastAsia"/>
                <w:color w:val="auto"/>
              </w:rPr>
              <w:t>0.55</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eastAsia" w:eastAsia="宋体"/>
                <w:color w:val="auto"/>
                <w:highlight w:val="none"/>
                <w:lang w:val="en-US" w:eastAsia="zh-CN"/>
              </w:rPr>
            </w:pPr>
            <w:r>
              <w:rPr>
                <w:rFonts w:hint="eastAsia"/>
                <w:color w:val="auto"/>
                <w:highlight w:val="none"/>
                <w:lang w:val="en-US" w:eastAsia="zh-CN"/>
              </w:rPr>
              <w:t>8</w:t>
            </w:r>
          </w:p>
        </w:tc>
        <w:tc>
          <w:tcPr>
            <w:tcW w:w="868"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907"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default"/>
                <w:color w:val="auto"/>
              </w:rPr>
            </w:pPr>
            <w:r>
              <w:rPr>
                <w:rFonts w:hint="eastAsia"/>
                <w:color w:val="auto"/>
              </w:rPr>
              <w:t>1.04E-05</w:t>
            </w:r>
          </w:p>
        </w:tc>
        <w:tc>
          <w:tcPr>
            <w:tcW w:w="1125" w:type="dxa"/>
            <w:vAlign w:val="center"/>
          </w:tcPr>
          <w:p>
            <w:pPr>
              <w:pStyle w:val="21"/>
              <w:bidi w:val="0"/>
              <w:rPr>
                <w:rFonts w:hint="default"/>
                <w:color w:val="auto"/>
              </w:rPr>
            </w:pPr>
            <w:r>
              <w:rPr>
                <w:rFonts w:hint="eastAsia"/>
                <w:color w:val="auto"/>
              </w:rPr>
              <w:t>19040905</w:t>
            </w:r>
          </w:p>
        </w:tc>
        <w:tc>
          <w:tcPr>
            <w:tcW w:w="1162" w:type="dxa"/>
            <w:vAlign w:val="center"/>
          </w:tcPr>
          <w:p>
            <w:pPr>
              <w:pStyle w:val="21"/>
              <w:bidi w:val="0"/>
              <w:rPr>
                <w:rFonts w:hint="default"/>
                <w:color w:val="auto"/>
              </w:rPr>
            </w:pPr>
            <w:r>
              <w:rPr>
                <w:rFonts w:hint="eastAsia"/>
                <w:color w:val="auto"/>
              </w:rPr>
              <w:t>5.00E-05</w:t>
            </w:r>
          </w:p>
        </w:tc>
        <w:tc>
          <w:tcPr>
            <w:tcW w:w="1144" w:type="dxa"/>
            <w:vAlign w:val="center"/>
          </w:tcPr>
          <w:p>
            <w:pPr>
              <w:pStyle w:val="21"/>
              <w:bidi w:val="0"/>
              <w:rPr>
                <w:rFonts w:hint="default"/>
                <w:color w:val="auto"/>
              </w:rPr>
            </w:pPr>
            <w:r>
              <w:rPr>
                <w:rFonts w:hint="eastAsia"/>
                <w:color w:val="auto"/>
              </w:rPr>
              <w:t>6.04E-05</w:t>
            </w:r>
          </w:p>
        </w:tc>
        <w:tc>
          <w:tcPr>
            <w:tcW w:w="1050" w:type="dxa"/>
            <w:vAlign w:val="center"/>
          </w:tcPr>
          <w:p>
            <w:pPr>
              <w:pStyle w:val="21"/>
              <w:bidi w:val="0"/>
              <w:rPr>
                <w:rFonts w:hint="default"/>
                <w:color w:val="auto"/>
              </w:rPr>
            </w:pPr>
            <w:r>
              <w:rPr>
                <w:rFonts w:hint="eastAsia"/>
                <w:color w:val="auto"/>
              </w:rPr>
              <w:t>1.00E-02</w:t>
            </w:r>
          </w:p>
        </w:tc>
        <w:tc>
          <w:tcPr>
            <w:tcW w:w="769" w:type="dxa"/>
            <w:vAlign w:val="center"/>
          </w:tcPr>
          <w:p>
            <w:pPr>
              <w:pStyle w:val="21"/>
              <w:bidi w:val="0"/>
              <w:rPr>
                <w:rFonts w:hint="default"/>
                <w:color w:val="auto"/>
              </w:rPr>
            </w:pPr>
            <w:r>
              <w:rPr>
                <w:rFonts w:hint="eastAsia"/>
                <w:color w:val="auto"/>
              </w:rPr>
              <w:t>0.60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9</w:t>
            </w:r>
          </w:p>
        </w:tc>
        <w:tc>
          <w:tcPr>
            <w:tcW w:w="868"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小洋</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3.40E-07</w:t>
            </w:r>
          </w:p>
        </w:tc>
        <w:tc>
          <w:tcPr>
            <w:tcW w:w="1125" w:type="dxa"/>
            <w:vAlign w:val="center"/>
          </w:tcPr>
          <w:p>
            <w:pPr>
              <w:pStyle w:val="21"/>
              <w:bidi w:val="0"/>
              <w:rPr>
                <w:rFonts w:hint="eastAsia"/>
                <w:color w:val="auto"/>
              </w:rPr>
            </w:pPr>
            <w:r>
              <w:rPr>
                <w:rFonts w:hint="eastAsia"/>
                <w:color w:val="auto"/>
              </w:rPr>
              <w:t>19081204</w:t>
            </w:r>
          </w:p>
        </w:tc>
        <w:tc>
          <w:tcPr>
            <w:tcW w:w="1162" w:type="dxa"/>
            <w:vAlign w:val="center"/>
          </w:tcPr>
          <w:p>
            <w:pPr>
              <w:pStyle w:val="21"/>
              <w:bidi w:val="0"/>
              <w:rPr>
                <w:rFonts w:hint="eastAsia"/>
                <w:color w:val="auto"/>
              </w:rPr>
            </w:pPr>
            <w:r>
              <w:rPr>
                <w:rFonts w:hint="eastAsia"/>
                <w:color w:val="auto"/>
              </w:rPr>
              <w:t>5.00E-05</w:t>
            </w:r>
          </w:p>
        </w:tc>
        <w:tc>
          <w:tcPr>
            <w:tcW w:w="1144" w:type="dxa"/>
            <w:vAlign w:val="center"/>
          </w:tcPr>
          <w:p>
            <w:pPr>
              <w:pStyle w:val="21"/>
              <w:bidi w:val="0"/>
              <w:rPr>
                <w:rFonts w:hint="eastAsia"/>
                <w:color w:val="auto"/>
              </w:rPr>
            </w:pPr>
            <w:r>
              <w:rPr>
                <w:rFonts w:hint="eastAsia"/>
                <w:color w:val="auto"/>
              </w:rPr>
              <w:t>5.03E-05</w:t>
            </w:r>
          </w:p>
        </w:tc>
        <w:tc>
          <w:tcPr>
            <w:tcW w:w="1050" w:type="dxa"/>
            <w:vAlign w:val="center"/>
          </w:tcPr>
          <w:p>
            <w:pPr>
              <w:pStyle w:val="21"/>
              <w:bidi w:val="0"/>
              <w:rPr>
                <w:rFonts w:hint="eastAsia"/>
                <w:color w:val="auto"/>
              </w:rPr>
            </w:pPr>
            <w:r>
              <w:rPr>
                <w:rFonts w:hint="eastAsia"/>
                <w:color w:val="auto"/>
              </w:rPr>
              <w:t>1.00E-02</w:t>
            </w:r>
          </w:p>
        </w:tc>
        <w:tc>
          <w:tcPr>
            <w:tcW w:w="769" w:type="dxa"/>
            <w:vAlign w:val="center"/>
          </w:tcPr>
          <w:p>
            <w:pPr>
              <w:pStyle w:val="21"/>
              <w:bidi w:val="0"/>
              <w:rPr>
                <w:rFonts w:hint="eastAsia"/>
                <w:color w:val="auto"/>
              </w:rPr>
            </w:pPr>
            <w:r>
              <w:rPr>
                <w:rFonts w:hint="eastAsia"/>
                <w:color w:val="auto"/>
              </w:rPr>
              <w:t>0.50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10</w:t>
            </w:r>
          </w:p>
        </w:tc>
        <w:tc>
          <w:tcPr>
            <w:tcW w:w="868"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竹栏头</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7.30E-07</w:t>
            </w:r>
          </w:p>
        </w:tc>
        <w:tc>
          <w:tcPr>
            <w:tcW w:w="1125" w:type="dxa"/>
            <w:vAlign w:val="center"/>
          </w:tcPr>
          <w:p>
            <w:pPr>
              <w:pStyle w:val="21"/>
              <w:bidi w:val="0"/>
              <w:rPr>
                <w:rFonts w:hint="eastAsia"/>
                <w:color w:val="auto"/>
              </w:rPr>
            </w:pPr>
            <w:r>
              <w:rPr>
                <w:rFonts w:hint="eastAsia"/>
                <w:color w:val="auto"/>
              </w:rPr>
              <w:t>19070405</w:t>
            </w:r>
          </w:p>
        </w:tc>
        <w:tc>
          <w:tcPr>
            <w:tcW w:w="1162" w:type="dxa"/>
            <w:vAlign w:val="center"/>
          </w:tcPr>
          <w:p>
            <w:pPr>
              <w:pStyle w:val="21"/>
              <w:bidi w:val="0"/>
              <w:rPr>
                <w:rFonts w:hint="eastAsia"/>
                <w:color w:val="auto"/>
              </w:rPr>
            </w:pPr>
            <w:r>
              <w:rPr>
                <w:rFonts w:hint="eastAsia"/>
                <w:color w:val="auto"/>
              </w:rPr>
              <w:t>5.00E-05</w:t>
            </w:r>
          </w:p>
        </w:tc>
        <w:tc>
          <w:tcPr>
            <w:tcW w:w="1144" w:type="dxa"/>
            <w:vAlign w:val="center"/>
          </w:tcPr>
          <w:p>
            <w:pPr>
              <w:pStyle w:val="21"/>
              <w:bidi w:val="0"/>
              <w:rPr>
                <w:rFonts w:hint="eastAsia"/>
                <w:color w:val="auto"/>
              </w:rPr>
            </w:pPr>
            <w:r>
              <w:rPr>
                <w:rFonts w:hint="eastAsia"/>
                <w:color w:val="auto"/>
              </w:rPr>
              <w:t>5.07E-05</w:t>
            </w:r>
          </w:p>
        </w:tc>
        <w:tc>
          <w:tcPr>
            <w:tcW w:w="1050" w:type="dxa"/>
            <w:vAlign w:val="center"/>
          </w:tcPr>
          <w:p>
            <w:pPr>
              <w:pStyle w:val="21"/>
              <w:bidi w:val="0"/>
              <w:rPr>
                <w:rFonts w:hint="eastAsia"/>
                <w:color w:val="auto"/>
              </w:rPr>
            </w:pPr>
            <w:r>
              <w:rPr>
                <w:rFonts w:hint="eastAsia"/>
                <w:color w:val="auto"/>
              </w:rPr>
              <w:t>1.00E-02</w:t>
            </w:r>
          </w:p>
        </w:tc>
        <w:tc>
          <w:tcPr>
            <w:tcW w:w="769" w:type="dxa"/>
            <w:vAlign w:val="center"/>
          </w:tcPr>
          <w:p>
            <w:pPr>
              <w:pStyle w:val="21"/>
              <w:bidi w:val="0"/>
              <w:rPr>
                <w:rFonts w:hint="eastAsia"/>
                <w:color w:val="auto"/>
              </w:rPr>
            </w:pPr>
            <w:r>
              <w:rPr>
                <w:rFonts w:hint="eastAsia"/>
                <w:color w:val="auto"/>
              </w:rPr>
              <w:t>0.51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11</w:t>
            </w:r>
          </w:p>
        </w:tc>
        <w:tc>
          <w:tcPr>
            <w:tcW w:w="868"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东岭头</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9.90E-07</w:t>
            </w:r>
          </w:p>
        </w:tc>
        <w:tc>
          <w:tcPr>
            <w:tcW w:w="1125" w:type="dxa"/>
            <w:vAlign w:val="center"/>
          </w:tcPr>
          <w:p>
            <w:pPr>
              <w:pStyle w:val="21"/>
              <w:bidi w:val="0"/>
              <w:rPr>
                <w:rFonts w:hint="eastAsia"/>
                <w:color w:val="auto"/>
              </w:rPr>
            </w:pPr>
            <w:r>
              <w:rPr>
                <w:rFonts w:hint="eastAsia"/>
                <w:color w:val="auto"/>
              </w:rPr>
              <w:t>19040709</w:t>
            </w:r>
          </w:p>
        </w:tc>
        <w:tc>
          <w:tcPr>
            <w:tcW w:w="1162" w:type="dxa"/>
            <w:vAlign w:val="center"/>
          </w:tcPr>
          <w:p>
            <w:pPr>
              <w:pStyle w:val="21"/>
              <w:bidi w:val="0"/>
              <w:rPr>
                <w:rFonts w:hint="eastAsia"/>
                <w:color w:val="auto"/>
              </w:rPr>
            </w:pPr>
            <w:r>
              <w:rPr>
                <w:rFonts w:hint="eastAsia"/>
                <w:color w:val="auto"/>
              </w:rPr>
              <w:t>5.00E-05</w:t>
            </w:r>
          </w:p>
        </w:tc>
        <w:tc>
          <w:tcPr>
            <w:tcW w:w="1144" w:type="dxa"/>
            <w:vAlign w:val="center"/>
          </w:tcPr>
          <w:p>
            <w:pPr>
              <w:pStyle w:val="21"/>
              <w:bidi w:val="0"/>
              <w:rPr>
                <w:rFonts w:hint="eastAsia"/>
                <w:color w:val="auto"/>
              </w:rPr>
            </w:pPr>
            <w:r>
              <w:rPr>
                <w:rFonts w:hint="eastAsia"/>
                <w:color w:val="auto"/>
              </w:rPr>
              <w:t>5.10E-05</w:t>
            </w:r>
          </w:p>
        </w:tc>
        <w:tc>
          <w:tcPr>
            <w:tcW w:w="1050" w:type="dxa"/>
            <w:vAlign w:val="center"/>
          </w:tcPr>
          <w:p>
            <w:pPr>
              <w:pStyle w:val="21"/>
              <w:bidi w:val="0"/>
              <w:rPr>
                <w:rFonts w:hint="eastAsia"/>
                <w:color w:val="auto"/>
              </w:rPr>
            </w:pPr>
            <w:r>
              <w:rPr>
                <w:rFonts w:hint="eastAsia"/>
                <w:color w:val="auto"/>
              </w:rPr>
              <w:t>1.00E-02</w:t>
            </w:r>
          </w:p>
        </w:tc>
        <w:tc>
          <w:tcPr>
            <w:tcW w:w="769" w:type="dxa"/>
            <w:vAlign w:val="center"/>
          </w:tcPr>
          <w:p>
            <w:pPr>
              <w:pStyle w:val="21"/>
              <w:bidi w:val="0"/>
              <w:rPr>
                <w:rFonts w:hint="eastAsia"/>
                <w:color w:val="auto"/>
              </w:rPr>
            </w:pPr>
            <w:r>
              <w:rPr>
                <w:rFonts w:hint="eastAsia"/>
                <w:color w:val="auto"/>
              </w:rPr>
              <w:t>0.51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12</w:t>
            </w:r>
          </w:p>
        </w:tc>
        <w:tc>
          <w:tcPr>
            <w:tcW w:w="868"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秦家洋</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9.00E-08</w:t>
            </w:r>
          </w:p>
        </w:tc>
        <w:tc>
          <w:tcPr>
            <w:tcW w:w="1125" w:type="dxa"/>
            <w:vAlign w:val="center"/>
          </w:tcPr>
          <w:p>
            <w:pPr>
              <w:pStyle w:val="21"/>
              <w:bidi w:val="0"/>
              <w:rPr>
                <w:rFonts w:hint="eastAsia"/>
                <w:color w:val="auto"/>
              </w:rPr>
            </w:pPr>
            <w:r>
              <w:rPr>
                <w:rFonts w:hint="eastAsia"/>
                <w:color w:val="auto"/>
              </w:rPr>
              <w:t>19052707</w:t>
            </w:r>
          </w:p>
        </w:tc>
        <w:tc>
          <w:tcPr>
            <w:tcW w:w="1162" w:type="dxa"/>
            <w:vAlign w:val="center"/>
          </w:tcPr>
          <w:p>
            <w:pPr>
              <w:pStyle w:val="21"/>
              <w:bidi w:val="0"/>
              <w:rPr>
                <w:rFonts w:hint="eastAsia"/>
                <w:color w:val="auto"/>
              </w:rPr>
            </w:pPr>
            <w:r>
              <w:rPr>
                <w:rFonts w:hint="eastAsia"/>
                <w:color w:val="auto"/>
              </w:rPr>
              <w:t>5.00E-05</w:t>
            </w:r>
          </w:p>
        </w:tc>
        <w:tc>
          <w:tcPr>
            <w:tcW w:w="1144" w:type="dxa"/>
            <w:vAlign w:val="center"/>
          </w:tcPr>
          <w:p>
            <w:pPr>
              <w:pStyle w:val="21"/>
              <w:bidi w:val="0"/>
              <w:rPr>
                <w:rFonts w:hint="eastAsia"/>
                <w:color w:val="auto"/>
              </w:rPr>
            </w:pPr>
            <w:r>
              <w:rPr>
                <w:rFonts w:hint="eastAsia"/>
                <w:color w:val="auto"/>
              </w:rPr>
              <w:t>5.01E-05</w:t>
            </w:r>
          </w:p>
        </w:tc>
        <w:tc>
          <w:tcPr>
            <w:tcW w:w="1050" w:type="dxa"/>
            <w:vAlign w:val="center"/>
          </w:tcPr>
          <w:p>
            <w:pPr>
              <w:pStyle w:val="21"/>
              <w:bidi w:val="0"/>
              <w:rPr>
                <w:rFonts w:hint="eastAsia"/>
                <w:color w:val="auto"/>
              </w:rPr>
            </w:pPr>
            <w:r>
              <w:rPr>
                <w:rFonts w:hint="eastAsia"/>
                <w:color w:val="auto"/>
              </w:rPr>
              <w:t>1.00E-02</w:t>
            </w:r>
          </w:p>
        </w:tc>
        <w:tc>
          <w:tcPr>
            <w:tcW w:w="769" w:type="dxa"/>
            <w:vAlign w:val="center"/>
          </w:tcPr>
          <w:p>
            <w:pPr>
              <w:pStyle w:val="21"/>
              <w:bidi w:val="0"/>
              <w:rPr>
                <w:rFonts w:hint="eastAsia"/>
                <w:color w:val="auto"/>
              </w:rPr>
            </w:pPr>
            <w:r>
              <w:rPr>
                <w:rFonts w:hint="eastAsia"/>
                <w:color w:val="auto"/>
              </w:rPr>
              <w:t>0.50</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13</w:t>
            </w:r>
          </w:p>
        </w:tc>
        <w:tc>
          <w:tcPr>
            <w:tcW w:w="868"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山后</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8.80E-07</w:t>
            </w:r>
          </w:p>
        </w:tc>
        <w:tc>
          <w:tcPr>
            <w:tcW w:w="1125" w:type="dxa"/>
            <w:vAlign w:val="center"/>
          </w:tcPr>
          <w:p>
            <w:pPr>
              <w:pStyle w:val="21"/>
              <w:bidi w:val="0"/>
              <w:rPr>
                <w:rFonts w:hint="eastAsia"/>
                <w:color w:val="auto"/>
              </w:rPr>
            </w:pPr>
            <w:r>
              <w:rPr>
                <w:rFonts w:hint="eastAsia"/>
                <w:color w:val="auto"/>
              </w:rPr>
              <w:t>19112308</w:t>
            </w:r>
          </w:p>
        </w:tc>
        <w:tc>
          <w:tcPr>
            <w:tcW w:w="1162" w:type="dxa"/>
            <w:vAlign w:val="center"/>
          </w:tcPr>
          <w:p>
            <w:pPr>
              <w:pStyle w:val="21"/>
              <w:bidi w:val="0"/>
              <w:rPr>
                <w:rFonts w:hint="eastAsia"/>
                <w:color w:val="auto"/>
              </w:rPr>
            </w:pPr>
            <w:r>
              <w:rPr>
                <w:rFonts w:hint="eastAsia"/>
                <w:color w:val="auto"/>
              </w:rPr>
              <w:t>5.00E-05</w:t>
            </w:r>
          </w:p>
        </w:tc>
        <w:tc>
          <w:tcPr>
            <w:tcW w:w="1144" w:type="dxa"/>
            <w:vAlign w:val="center"/>
          </w:tcPr>
          <w:p>
            <w:pPr>
              <w:pStyle w:val="21"/>
              <w:bidi w:val="0"/>
              <w:rPr>
                <w:rFonts w:hint="eastAsia"/>
                <w:color w:val="auto"/>
              </w:rPr>
            </w:pPr>
            <w:r>
              <w:rPr>
                <w:rFonts w:hint="eastAsia"/>
                <w:color w:val="auto"/>
              </w:rPr>
              <w:t>5.09E-05</w:t>
            </w:r>
          </w:p>
        </w:tc>
        <w:tc>
          <w:tcPr>
            <w:tcW w:w="1050" w:type="dxa"/>
            <w:vAlign w:val="center"/>
          </w:tcPr>
          <w:p>
            <w:pPr>
              <w:pStyle w:val="21"/>
              <w:bidi w:val="0"/>
              <w:rPr>
                <w:rFonts w:hint="eastAsia"/>
                <w:color w:val="auto"/>
              </w:rPr>
            </w:pPr>
            <w:r>
              <w:rPr>
                <w:rFonts w:hint="eastAsia"/>
                <w:color w:val="auto"/>
              </w:rPr>
              <w:t>1.00E-02</w:t>
            </w:r>
          </w:p>
        </w:tc>
        <w:tc>
          <w:tcPr>
            <w:tcW w:w="769" w:type="dxa"/>
            <w:vAlign w:val="center"/>
          </w:tcPr>
          <w:p>
            <w:pPr>
              <w:pStyle w:val="21"/>
              <w:bidi w:val="0"/>
              <w:rPr>
                <w:rFonts w:hint="eastAsia"/>
                <w:color w:val="auto"/>
              </w:rPr>
            </w:pPr>
            <w:r>
              <w:rPr>
                <w:rFonts w:hint="eastAsia"/>
                <w:color w:val="auto"/>
              </w:rPr>
              <w:t>0.51</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vAlign w:val="center"/>
          </w:tcPr>
          <w:p>
            <w:pPr>
              <w:pStyle w:val="21"/>
              <w:bidi w:val="0"/>
              <w:jc w:val="center"/>
              <w:rPr>
                <w:rFonts w:hint="default"/>
                <w:color w:val="auto"/>
                <w:highlight w:val="none"/>
                <w:lang w:val="en-US" w:eastAsia="zh-CN"/>
              </w:rPr>
            </w:pPr>
            <w:r>
              <w:rPr>
                <w:rFonts w:hint="eastAsia"/>
                <w:color w:val="auto"/>
                <w:highlight w:val="none"/>
                <w:lang w:val="en-US" w:eastAsia="zh-CN"/>
              </w:rPr>
              <w:t>14</w:t>
            </w:r>
          </w:p>
        </w:tc>
        <w:tc>
          <w:tcPr>
            <w:tcW w:w="868"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网格</w:t>
            </w:r>
          </w:p>
        </w:tc>
        <w:tc>
          <w:tcPr>
            <w:tcW w:w="907" w:type="dxa"/>
            <w:vAlign w:val="center"/>
          </w:tcPr>
          <w:p>
            <w:pPr>
              <w:pStyle w:val="2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1小时</w:t>
            </w:r>
          </w:p>
        </w:tc>
        <w:tc>
          <w:tcPr>
            <w:tcW w:w="1133" w:type="dxa"/>
            <w:vAlign w:val="center"/>
          </w:tcPr>
          <w:p>
            <w:pPr>
              <w:pStyle w:val="21"/>
              <w:bidi w:val="0"/>
              <w:rPr>
                <w:rFonts w:hint="eastAsia"/>
                <w:color w:val="auto"/>
              </w:rPr>
            </w:pPr>
            <w:r>
              <w:rPr>
                <w:rFonts w:hint="eastAsia"/>
                <w:color w:val="auto"/>
              </w:rPr>
              <w:t>1.19E-04</w:t>
            </w:r>
          </w:p>
        </w:tc>
        <w:tc>
          <w:tcPr>
            <w:tcW w:w="1125" w:type="dxa"/>
            <w:vAlign w:val="center"/>
          </w:tcPr>
          <w:p>
            <w:pPr>
              <w:pStyle w:val="21"/>
              <w:bidi w:val="0"/>
              <w:rPr>
                <w:rFonts w:hint="eastAsia"/>
                <w:color w:val="auto"/>
              </w:rPr>
            </w:pPr>
            <w:r>
              <w:rPr>
                <w:rFonts w:hint="eastAsia"/>
                <w:color w:val="auto"/>
              </w:rPr>
              <w:t>19022508</w:t>
            </w:r>
          </w:p>
        </w:tc>
        <w:tc>
          <w:tcPr>
            <w:tcW w:w="1162" w:type="dxa"/>
            <w:vAlign w:val="center"/>
          </w:tcPr>
          <w:p>
            <w:pPr>
              <w:pStyle w:val="21"/>
              <w:bidi w:val="0"/>
              <w:rPr>
                <w:rFonts w:hint="eastAsia"/>
                <w:color w:val="auto"/>
              </w:rPr>
            </w:pPr>
            <w:r>
              <w:rPr>
                <w:rFonts w:hint="eastAsia"/>
                <w:color w:val="auto"/>
              </w:rPr>
              <w:t>5.00E-05</w:t>
            </w:r>
          </w:p>
        </w:tc>
        <w:tc>
          <w:tcPr>
            <w:tcW w:w="1144" w:type="dxa"/>
            <w:vAlign w:val="center"/>
          </w:tcPr>
          <w:p>
            <w:pPr>
              <w:pStyle w:val="21"/>
              <w:bidi w:val="0"/>
              <w:rPr>
                <w:rFonts w:hint="eastAsia"/>
                <w:color w:val="auto"/>
              </w:rPr>
            </w:pPr>
            <w:r>
              <w:rPr>
                <w:rFonts w:hint="eastAsia"/>
                <w:color w:val="auto"/>
              </w:rPr>
              <w:t>1.69E-04</w:t>
            </w:r>
          </w:p>
        </w:tc>
        <w:tc>
          <w:tcPr>
            <w:tcW w:w="1050" w:type="dxa"/>
            <w:vAlign w:val="center"/>
          </w:tcPr>
          <w:p>
            <w:pPr>
              <w:pStyle w:val="21"/>
              <w:bidi w:val="0"/>
              <w:rPr>
                <w:rFonts w:hint="eastAsia"/>
                <w:color w:val="auto"/>
              </w:rPr>
            </w:pPr>
            <w:r>
              <w:rPr>
                <w:rFonts w:hint="eastAsia"/>
                <w:color w:val="auto"/>
              </w:rPr>
              <w:t>1.00E-02</w:t>
            </w:r>
          </w:p>
        </w:tc>
        <w:tc>
          <w:tcPr>
            <w:tcW w:w="769" w:type="dxa"/>
            <w:vAlign w:val="center"/>
          </w:tcPr>
          <w:p>
            <w:pPr>
              <w:pStyle w:val="21"/>
              <w:bidi w:val="0"/>
              <w:rPr>
                <w:rFonts w:hint="eastAsia"/>
                <w:color w:val="auto"/>
              </w:rPr>
            </w:pPr>
            <w:r>
              <w:rPr>
                <w:rFonts w:hint="eastAsia"/>
                <w:color w:val="auto"/>
              </w:rPr>
              <w:t>1.69</w:t>
            </w:r>
          </w:p>
        </w:tc>
        <w:tc>
          <w:tcPr>
            <w:tcW w:w="697" w:type="dxa"/>
            <w:vAlign w:val="center"/>
          </w:tcPr>
          <w:p>
            <w:pPr>
              <w:pStyle w:val="21"/>
              <w:bidi w:val="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rPr>
              <w:t>达标</w:t>
            </w:r>
          </w:p>
        </w:tc>
      </w:tr>
    </w:tbl>
    <w:p>
      <w:pPr>
        <w:keepNext w:val="0"/>
        <w:keepLines w:val="0"/>
        <w:pageBreakBefore w:val="0"/>
        <w:widowControl w:val="0"/>
        <w:kinsoku/>
        <w:wordWrap/>
        <w:overflowPunct/>
        <w:topLinePunct w:val="0"/>
        <w:autoSpaceDE/>
        <w:autoSpaceDN/>
        <w:bidi w:val="0"/>
        <w:adjustRightInd/>
        <w:snapToGrid/>
        <w:spacing w:before="100"/>
        <w:ind w:left="0" w:leftChars="0" w:firstLine="0" w:firstLineChars="0"/>
        <w:textAlignment w:val="auto"/>
        <w:rPr>
          <w:rFonts w:hint="default"/>
          <w:color w:val="auto"/>
          <w:highlight w:val="none"/>
          <w:lang w:val="en-US" w:eastAsia="zh-CN"/>
        </w:rPr>
      </w:pPr>
      <w:r>
        <w:rPr>
          <w:color w:val="auto"/>
        </w:rPr>
        <w:drawing>
          <wp:inline distT="0" distB="0" distL="114300" distR="114300">
            <wp:extent cx="5758815" cy="3571240"/>
            <wp:effectExtent l="0" t="0" r="13335" b="10160"/>
            <wp:docPr id="7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0"/>
                    <pic:cNvPicPr>
                      <a:picLocks noChangeAspect="1"/>
                    </pic:cNvPicPr>
                  </pic:nvPicPr>
                  <pic:blipFill>
                    <a:blip r:embed="rId123"/>
                    <a:stretch>
                      <a:fillRect/>
                    </a:stretch>
                  </pic:blipFill>
                  <pic:spPr>
                    <a:xfrm>
                      <a:off x="0" y="0"/>
                      <a:ext cx="5758815" cy="357124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0" w:name="_Ref32352"/>
      <w:r>
        <w:rPr>
          <w:rFonts w:hint="eastAsia"/>
          <w:color w:val="auto"/>
          <w:highlight w:val="none"/>
          <w:lang w:val="en-US" w:eastAsia="zh-CN"/>
        </w:rPr>
        <w:t>叠加后SO</w:t>
      </w:r>
      <w:r>
        <w:rPr>
          <w:rFonts w:hint="eastAsia"/>
          <w:color w:val="auto"/>
          <w:highlight w:val="none"/>
          <w:vertAlign w:val="subscript"/>
          <w:lang w:val="en-US" w:eastAsia="zh-CN"/>
        </w:rPr>
        <w:t>2</w:t>
      </w:r>
      <w:r>
        <w:rPr>
          <w:rFonts w:hint="eastAsia"/>
          <w:color w:val="auto"/>
          <w:highlight w:val="none"/>
          <w:lang w:val="en-US" w:eastAsia="zh-CN"/>
        </w:rPr>
        <w:t>日平均质量浓度（保证率98%）分布图</w:t>
      </w:r>
      <w:bookmarkEnd w:id="550"/>
    </w:p>
    <w:p>
      <w:pPr>
        <w:ind w:left="0" w:leftChars="0" w:firstLine="0" w:firstLineChars="0"/>
        <w:rPr>
          <w:rFonts w:hint="default"/>
          <w:color w:val="auto"/>
          <w:highlight w:val="none"/>
          <w:lang w:val="en-US" w:eastAsia="zh-CN"/>
        </w:rPr>
      </w:pPr>
      <w:r>
        <w:rPr>
          <w:color w:val="auto"/>
        </w:rPr>
        <w:drawing>
          <wp:inline distT="0" distB="0" distL="114300" distR="114300">
            <wp:extent cx="5755640" cy="3471545"/>
            <wp:effectExtent l="0" t="0" r="16510" b="14605"/>
            <wp:docPr id="7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1"/>
                    <pic:cNvPicPr>
                      <a:picLocks noChangeAspect="1"/>
                    </pic:cNvPicPr>
                  </pic:nvPicPr>
                  <pic:blipFill>
                    <a:blip r:embed="rId124"/>
                    <a:stretch>
                      <a:fillRect/>
                    </a:stretch>
                  </pic:blipFill>
                  <pic:spPr>
                    <a:xfrm>
                      <a:off x="0" y="0"/>
                      <a:ext cx="5755640" cy="347154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1" w:name="_Ref19144"/>
      <w:r>
        <w:rPr>
          <w:rFonts w:hint="eastAsia"/>
          <w:color w:val="auto"/>
          <w:highlight w:val="none"/>
          <w:lang w:val="en-US" w:eastAsia="zh-CN"/>
        </w:rPr>
        <w:t>叠加后SO</w:t>
      </w:r>
      <w:r>
        <w:rPr>
          <w:rFonts w:hint="eastAsia"/>
          <w:color w:val="auto"/>
          <w:highlight w:val="none"/>
          <w:vertAlign w:val="subscript"/>
          <w:lang w:val="en-US" w:eastAsia="zh-CN"/>
        </w:rPr>
        <w:t>2</w:t>
      </w:r>
      <w:r>
        <w:rPr>
          <w:rFonts w:hint="eastAsia"/>
          <w:color w:val="auto"/>
          <w:highlight w:val="none"/>
          <w:lang w:val="en-US" w:eastAsia="zh-CN"/>
        </w:rPr>
        <w:t>年平均质量浓度分布图</w:t>
      </w:r>
      <w:bookmarkEnd w:id="551"/>
    </w:p>
    <w:p>
      <w:pPr>
        <w:ind w:left="0" w:leftChars="0" w:firstLine="0" w:firstLineChars="0"/>
        <w:rPr>
          <w:rFonts w:hint="default"/>
          <w:color w:val="auto"/>
          <w:highlight w:val="none"/>
          <w:lang w:val="en-US" w:eastAsia="zh-CN"/>
        </w:rPr>
      </w:pPr>
      <w:r>
        <w:rPr>
          <w:color w:val="auto"/>
        </w:rPr>
        <w:drawing>
          <wp:inline distT="0" distB="0" distL="114300" distR="114300">
            <wp:extent cx="5758815" cy="3554095"/>
            <wp:effectExtent l="0" t="0" r="13335" b="8255"/>
            <wp:docPr id="8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2"/>
                    <pic:cNvPicPr>
                      <a:picLocks noChangeAspect="1"/>
                    </pic:cNvPicPr>
                  </pic:nvPicPr>
                  <pic:blipFill>
                    <a:blip r:embed="rId125"/>
                    <a:stretch>
                      <a:fillRect/>
                    </a:stretch>
                  </pic:blipFill>
                  <pic:spPr>
                    <a:xfrm>
                      <a:off x="0" y="0"/>
                      <a:ext cx="5758815" cy="355409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2" w:name="_Ref32267"/>
      <w:r>
        <w:rPr>
          <w:rFonts w:hint="eastAsia"/>
          <w:color w:val="auto"/>
          <w:highlight w:val="none"/>
          <w:lang w:val="en-US" w:eastAsia="zh-CN"/>
        </w:rPr>
        <w:t>叠加后NO</w:t>
      </w:r>
      <w:r>
        <w:rPr>
          <w:rFonts w:hint="eastAsia"/>
          <w:color w:val="auto"/>
          <w:highlight w:val="none"/>
          <w:vertAlign w:val="subscript"/>
          <w:lang w:val="en-US" w:eastAsia="zh-CN"/>
        </w:rPr>
        <w:t>2</w:t>
      </w:r>
      <w:r>
        <w:rPr>
          <w:rFonts w:hint="eastAsia"/>
          <w:color w:val="auto"/>
          <w:highlight w:val="none"/>
          <w:lang w:val="en-US" w:eastAsia="zh-CN"/>
        </w:rPr>
        <w:t>日平均质量浓度（保证率98%）分布图</w:t>
      </w:r>
      <w:bookmarkEnd w:id="552"/>
    </w:p>
    <w:p>
      <w:pPr>
        <w:ind w:left="0" w:leftChars="0" w:firstLine="0" w:firstLineChars="0"/>
        <w:rPr>
          <w:rFonts w:hint="default"/>
          <w:color w:val="auto"/>
          <w:highlight w:val="none"/>
          <w:lang w:val="en-US" w:eastAsia="zh-CN"/>
        </w:rPr>
      </w:pPr>
      <w:r>
        <w:rPr>
          <w:color w:val="auto"/>
        </w:rPr>
        <w:drawing>
          <wp:inline distT="0" distB="0" distL="114300" distR="114300">
            <wp:extent cx="5756275" cy="3549650"/>
            <wp:effectExtent l="0" t="0" r="15875" b="12700"/>
            <wp:docPr id="8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3"/>
                    <pic:cNvPicPr>
                      <a:picLocks noChangeAspect="1"/>
                    </pic:cNvPicPr>
                  </pic:nvPicPr>
                  <pic:blipFill>
                    <a:blip r:embed="rId126"/>
                    <a:stretch>
                      <a:fillRect/>
                    </a:stretch>
                  </pic:blipFill>
                  <pic:spPr>
                    <a:xfrm>
                      <a:off x="0" y="0"/>
                      <a:ext cx="5756275" cy="354965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3" w:name="_Ref32274"/>
      <w:r>
        <w:rPr>
          <w:rFonts w:hint="eastAsia"/>
          <w:color w:val="auto"/>
          <w:highlight w:val="none"/>
          <w:lang w:val="en-US" w:eastAsia="zh-CN"/>
        </w:rPr>
        <w:t>叠加后NO</w:t>
      </w:r>
      <w:r>
        <w:rPr>
          <w:rFonts w:hint="eastAsia"/>
          <w:color w:val="auto"/>
          <w:highlight w:val="none"/>
          <w:vertAlign w:val="subscript"/>
          <w:lang w:val="en-US" w:eastAsia="zh-CN"/>
        </w:rPr>
        <w:t>2</w:t>
      </w:r>
      <w:r>
        <w:rPr>
          <w:rFonts w:hint="eastAsia"/>
          <w:color w:val="auto"/>
          <w:highlight w:val="none"/>
          <w:lang w:val="en-US" w:eastAsia="zh-CN"/>
        </w:rPr>
        <w:t>年平均质量浓度分布图</w:t>
      </w:r>
      <w:bookmarkEnd w:id="553"/>
    </w:p>
    <w:p>
      <w:pPr>
        <w:ind w:left="0" w:leftChars="0" w:firstLine="0" w:firstLineChars="0"/>
        <w:rPr>
          <w:rFonts w:hint="default"/>
          <w:color w:val="auto"/>
          <w:highlight w:val="none"/>
          <w:lang w:val="en-US" w:eastAsia="zh-CN"/>
        </w:rPr>
      </w:pPr>
      <w:r>
        <w:rPr>
          <w:color w:val="auto"/>
        </w:rPr>
        <w:drawing>
          <wp:inline distT="0" distB="0" distL="114300" distR="114300">
            <wp:extent cx="5758815" cy="3714750"/>
            <wp:effectExtent l="0" t="0" r="13335" b="0"/>
            <wp:docPr id="9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1"/>
                    <pic:cNvPicPr>
                      <a:picLocks noChangeAspect="1"/>
                    </pic:cNvPicPr>
                  </pic:nvPicPr>
                  <pic:blipFill>
                    <a:blip r:embed="rId127"/>
                    <a:stretch>
                      <a:fillRect/>
                    </a:stretch>
                  </pic:blipFill>
                  <pic:spPr>
                    <a:xfrm>
                      <a:off x="0" y="0"/>
                      <a:ext cx="5758815" cy="371475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4" w:name="_Ref32607"/>
      <w:r>
        <w:rPr>
          <w:rFonts w:hint="eastAsia"/>
          <w:color w:val="auto"/>
          <w:highlight w:val="none"/>
          <w:lang w:val="en-US" w:eastAsia="zh-CN"/>
        </w:rPr>
        <w:t>叠加后PM</w:t>
      </w:r>
      <w:r>
        <w:rPr>
          <w:rFonts w:hint="eastAsia"/>
          <w:color w:val="auto"/>
          <w:highlight w:val="none"/>
          <w:vertAlign w:val="subscript"/>
          <w:lang w:val="en-US" w:eastAsia="zh-CN"/>
        </w:rPr>
        <w:t>10</w:t>
      </w:r>
      <w:r>
        <w:rPr>
          <w:rFonts w:hint="eastAsia"/>
          <w:color w:val="auto"/>
          <w:highlight w:val="none"/>
          <w:lang w:val="en-US" w:eastAsia="zh-CN"/>
        </w:rPr>
        <w:t>日平均质量浓度（保证率95%）分布图</w:t>
      </w:r>
      <w:bookmarkEnd w:id="554"/>
    </w:p>
    <w:p>
      <w:pPr>
        <w:ind w:left="0" w:leftChars="0" w:firstLine="0" w:firstLineChars="0"/>
        <w:rPr>
          <w:rFonts w:hint="default"/>
          <w:color w:val="auto"/>
          <w:highlight w:val="none"/>
          <w:lang w:val="en-US" w:eastAsia="zh-CN"/>
        </w:rPr>
      </w:pPr>
      <w:r>
        <w:rPr>
          <w:color w:val="auto"/>
        </w:rPr>
        <w:drawing>
          <wp:inline distT="0" distB="0" distL="114300" distR="114300">
            <wp:extent cx="5760085" cy="3649980"/>
            <wp:effectExtent l="0" t="0" r="12065" b="7620"/>
            <wp:docPr id="9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2"/>
                    <pic:cNvPicPr>
                      <a:picLocks noChangeAspect="1"/>
                    </pic:cNvPicPr>
                  </pic:nvPicPr>
                  <pic:blipFill>
                    <a:blip r:embed="rId128"/>
                    <a:stretch>
                      <a:fillRect/>
                    </a:stretch>
                  </pic:blipFill>
                  <pic:spPr>
                    <a:xfrm>
                      <a:off x="0" y="0"/>
                      <a:ext cx="5760085" cy="3649980"/>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5" w:name="_Ref32613"/>
      <w:r>
        <w:rPr>
          <w:rFonts w:hint="eastAsia"/>
          <w:color w:val="auto"/>
          <w:highlight w:val="none"/>
          <w:lang w:val="en-US" w:eastAsia="zh-CN"/>
        </w:rPr>
        <w:t>叠加后PM</w:t>
      </w:r>
      <w:r>
        <w:rPr>
          <w:rFonts w:hint="eastAsia"/>
          <w:color w:val="auto"/>
          <w:highlight w:val="none"/>
          <w:vertAlign w:val="subscript"/>
          <w:lang w:val="en-US" w:eastAsia="zh-CN"/>
        </w:rPr>
        <w:t>10</w:t>
      </w:r>
      <w:r>
        <w:rPr>
          <w:rFonts w:hint="eastAsia"/>
          <w:color w:val="auto"/>
          <w:highlight w:val="none"/>
          <w:lang w:val="en-US" w:eastAsia="zh-CN"/>
        </w:rPr>
        <w:t>年平均质量浓度分布图</w:t>
      </w:r>
      <w:bookmarkEnd w:id="555"/>
    </w:p>
    <w:p>
      <w:pPr>
        <w:ind w:left="0" w:leftChars="0" w:firstLine="0" w:firstLineChars="0"/>
        <w:rPr>
          <w:rFonts w:hint="default"/>
          <w:color w:val="auto"/>
          <w:highlight w:val="none"/>
          <w:lang w:val="en-US" w:eastAsia="zh-CN"/>
        </w:rPr>
      </w:pPr>
      <w:r>
        <w:rPr>
          <w:color w:val="auto"/>
        </w:rPr>
        <w:drawing>
          <wp:inline distT="0" distB="0" distL="114300" distR="114300">
            <wp:extent cx="5757545" cy="3757295"/>
            <wp:effectExtent l="0" t="0" r="14605" b="14605"/>
            <wp:docPr id="8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6"/>
                    <pic:cNvPicPr>
                      <a:picLocks noChangeAspect="1"/>
                    </pic:cNvPicPr>
                  </pic:nvPicPr>
                  <pic:blipFill>
                    <a:blip r:embed="rId129"/>
                    <a:stretch>
                      <a:fillRect/>
                    </a:stretch>
                  </pic:blipFill>
                  <pic:spPr>
                    <a:xfrm>
                      <a:off x="0" y="0"/>
                      <a:ext cx="5757545" cy="3757295"/>
                    </a:xfrm>
                    <a:prstGeom prst="rect">
                      <a:avLst/>
                    </a:prstGeom>
                    <a:noFill/>
                    <a:ln>
                      <a:noFill/>
                    </a:ln>
                  </pic:spPr>
                </pic:pic>
              </a:graphicData>
            </a:graphic>
          </wp:inline>
        </w:drawing>
      </w:r>
    </w:p>
    <w:p>
      <w:pPr>
        <w:pStyle w:val="22"/>
        <w:numPr>
          <w:ilvl w:val="7"/>
          <w:numId w:val="3"/>
        </w:numPr>
        <w:bidi w:val="0"/>
        <w:rPr>
          <w:rFonts w:hint="default"/>
          <w:color w:val="auto"/>
          <w:highlight w:val="none"/>
          <w:lang w:val="en-US" w:eastAsia="zh-CN"/>
        </w:rPr>
      </w:pPr>
      <w:bookmarkStart w:id="556" w:name="_Ref32695"/>
      <w:r>
        <w:rPr>
          <w:rFonts w:hint="eastAsia"/>
          <w:color w:val="auto"/>
          <w:highlight w:val="none"/>
          <w:lang w:val="en-US" w:eastAsia="zh-CN"/>
        </w:rPr>
        <w:t>叠加后非甲烷总烃环境质量浓度分布图</w:t>
      </w:r>
      <w:bookmarkEnd w:id="556"/>
    </w:p>
    <w:p>
      <w:pPr>
        <w:ind w:left="0" w:leftChars="0" w:firstLine="0" w:firstLineChars="0"/>
        <w:rPr>
          <w:rFonts w:hint="eastAsia"/>
          <w:color w:val="auto"/>
          <w:highlight w:val="none"/>
          <w:lang w:val="en-US" w:eastAsia="zh-CN"/>
        </w:rPr>
      </w:pPr>
      <w:r>
        <w:rPr>
          <w:color w:val="auto"/>
        </w:rPr>
        <w:drawing>
          <wp:inline distT="0" distB="0" distL="114300" distR="114300">
            <wp:extent cx="5758815" cy="3536950"/>
            <wp:effectExtent l="0" t="0" r="13335" b="6350"/>
            <wp:docPr id="8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8"/>
                    <pic:cNvPicPr>
                      <a:picLocks noChangeAspect="1"/>
                    </pic:cNvPicPr>
                  </pic:nvPicPr>
                  <pic:blipFill>
                    <a:blip r:embed="rId130"/>
                    <a:stretch>
                      <a:fillRect/>
                    </a:stretch>
                  </pic:blipFill>
                  <pic:spPr>
                    <a:xfrm>
                      <a:off x="0" y="0"/>
                      <a:ext cx="5758815" cy="3536950"/>
                    </a:xfrm>
                    <a:prstGeom prst="rect">
                      <a:avLst/>
                    </a:prstGeom>
                    <a:noFill/>
                    <a:ln>
                      <a:noFill/>
                    </a:ln>
                  </pic:spPr>
                </pic:pic>
              </a:graphicData>
            </a:graphic>
          </wp:inline>
        </w:drawing>
      </w:r>
    </w:p>
    <w:p>
      <w:pPr>
        <w:pStyle w:val="22"/>
        <w:numPr>
          <w:ilvl w:val="7"/>
          <w:numId w:val="3"/>
        </w:numPr>
        <w:bidi w:val="0"/>
        <w:rPr>
          <w:rFonts w:hint="eastAsia"/>
          <w:color w:val="auto"/>
          <w:highlight w:val="none"/>
          <w:lang w:val="en-US" w:eastAsia="zh-CN"/>
        </w:rPr>
      </w:pPr>
      <w:bookmarkStart w:id="557" w:name="_Ref32764"/>
      <w:r>
        <w:rPr>
          <w:rFonts w:hint="eastAsia"/>
          <w:color w:val="auto"/>
          <w:highlight w:val="none"/>
          <w:lang w:val="en-US" w:eastAsia="zh-CN"/>
        </w:rPr>
        <w:t>叠加后氨环境质量浓度分布图</w:t>
      </w:r>
      <w:bookmarkEnd w:id="557"/>
    </w:p>
    <w:p>
      <w:pPr>
        <w:ind w:left="0" w:leftChars="0" w:firstLine="0" w:firstLineChars="0"/>
        <w:rPr>
          <w:rFonts w:hint="eastAsia"/>
          <w:color w:val="auto"/>
          <w:highlight w:val="none"/>
          <w:lang w:val="en-US" w:eastAsia="zh-CN"/>
        </w:rPr>
      </w:pPr>
      <w:r>
        <w:rPr>
          <w:color w:val="auto"/>
        </w:rPr>
        <w:drawing>
          <wp:inline distT="0" distB="0" distL="114300" distR="114300">
            <wp:extent cx="5758815" cy="3450590"/>
            <wp:effectExtent l="0" t="0" r="13335" b="16510"/>
            <wp:docPr id="8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7"/>
                    <pic:cNvPicPr>
                      <a:picLocks noChangeAspect="1"/>
                    </pic:cNvPicPr>
                  </pic:nvPicPr>
                  <pic:blipFill>
                    <a:blip r:embed="rId131"/>
                    <a:stretch>
                      <a:fillRect/>
                    </a:stretch>
                  </pic:blipFill>
                  <pic:spPr>
                    <a:xfrm>
                      <a:off x="0" y="0"/>
                      <a:ext cx="5758815" cy="3450590"/>
                    </a:xfrm>
                    <a:prstGeom prst="rect">
                      <a:avLst/>
                    </a:prstGeom>
                    <a:noFill/>
                    <a:ln>
                      <a:noFill/>
                    </a:ln>
                  </pic:spPr>
                </pic:pic>
              </a:graphicData>
            </a:graphic>
          </wp:inline>
        </w:drawing>
      </w:r>
    </w:p>
    <w:p>
      <w:pPr>
        <w:pStyle w:val="22"/>
        <w:numPr>
          <w:ilvl w:val="7"/>
          <w:numId w:val="3"/>
        </w:numPr>
        <w:bidi w:val="0"/>
        <w:rPr>
          <w:rFonts w:hint="eastAsia"/>
          <w:color w:val="auto"/>
          <w:highlight w:val="none"/>
          <w:lang w:val="en-US" w:eastAsia="zh-CN"/>
        </w:rPr>
      </w:pPr>
      <w:bookmarkStart w:id="558" w:name="_Ref90"/>
      <w:r>
        <w:rPr>
          <w:rFonts w:hint="eastAsia"/>
          <w:color w:val="auto"/>
          <w:highlight w:val="none"/>
          <w:lang w:val="en-US" w:eastAsia="zh-CN"/>
        </w:rPr>
        <w:t>叠加后硫化氢环境质量浓度分布图</w:t>
      </w:r>
      <w:bookmarkEnd w:id="558"/>
    </w:p>
    <w:p>
      <w:pPr>
        <w:rPr>
          <w:rFonts w:hint="default"/>
          <w:color w:val="auto"/>
          <w:highlight w:val="none"/>
          <w:lang w:val="en-US" w:eastAsia="zh-CN"/>
        </w:rPr>
      </w:pPr>
      <w:r>
        <w:rPr>
          <w:rFonts w:hint="eastAsia"/>
          <w:color w:val="auto"/>
          <w:highlight w:val="none"/>
          <w:lang w:val="en-US" w:eastAsia="zh-CN"/>
        </w:rPr>
        <w:t>（3）项目非正常排放时废气污染物最大浓度贡献值预测结果</w:t>
      </w:r>
    </w:p>
    <w:p>
      <w:pPr>
        <w:rPr>
          <w:rFonts w:hint="eastAsia"/>
          <w:color w:val="auto"/>
          <w:highlight w:val="none"/>
          <w:lang w:val="en-US" w:eastAsia="zh-CN"/>
        </w:rPr>
      </w:pPr>
      <w:r>
        <w:rPr>
          <w:color w:val="auto"/>
          <w:highlight w:val="none"/>
        </w:rPr>
        <w:t>本项目废气非正常排放条件，环境空气保护目标和网格点各污染物最大浓度及其占标率预测结果见</w:t>
      </w:r>
      <w:r>
        <w:rPr>
          <w:rFonts w:hint="default"/>
          <w:color w:val="auto"/>
          <w:highlight w:val="none"/>
          <w:lang w:val="en-US"/>
        </w:rPr>
        <w:fldChar w:fldCharType="begin"/>
      </w:r>
      <w:r>
        <w:rPr>
          <w:rFonts w:hint="default"/>
          <w:color w:val="auto"/>
          <w:highlight w:val="none"/>
          <w:lang w:val="en-US"/>
        </w:rPr>
        <w:instrText xml:space="preserve"> REF _Ref13224 \n \h </w:instrText>
      </w:r>
      <w:r>
        <w:rPr>
          <w:rFonts w:hint="default"/>
          <w:color w:val="auto"/>
          <w:highlight w:val="none"/>
          <w:lang w:val="en-US"/>
        </w:rPr>
        <w:fldChar w:fldCharType="separate"/>
      </w:r>
      <w:r>
        <w:rPr>
          <w:rFonts w:hint="default"/>
          <w:color w:val="auto"/>
          <w:highlight w:val="none"/>
          <w:lang w:val="en-US"/>
        </w:rPr>
        <w:t>表5.2-39</w:t>
      </w:r>
      <w:r>
        <w:rPr>
          <w:rFonts w:hint="default"/>
          <w:color w:val="auto"/>
          <w:highlight w:val="none"/>
          <w:lang w:val="en-US"/>
        </w:rPr>
        <w:fldChar w:fldCharType="end"/>
      </w:r>
      <w:r>
        <w:rPr>
          <w:rFonts w:hint="eastAsia"/>
          <w:color w:val="auto"/>
          <w:highlight w:val="none"/>
          <w:lang w:val="en-US" w:eastAsia="zh-CN"/>
        </w:rPr>
        <w:t>~</w:t>
      </w:r>
      <w:r>
        <w:rPr>
          <w:rFonts w:hint="eastAsia"/>
          <w:color w:val="auto"/>
          <w:highlight w:val="none"/>
          <w:lang w:val="en-US" w:eastAsia="zh-CN"/>
        </w:rPr>
        <w:fldChar w:fldCharType="begin"/>
      </w:r>
      <w:r>
        <w:rPr>
          <w:rFonts w:hint="eastAsia"/>
          <w:color w:val="auto"/>
          <w:highlight w:val="none"/>
          <w:lang w:val="en-US" w:eastAsia="zh-CN"/>
        </w:rPr>
        <w:instrText xml:space="preserve"> REF _Ref12236 \n \h </w:instrText>
      </w:r>
      <w:r>
        <w:rPr>
          <w:rFonts w:hint="eastAsia"/>
          <w:color w:val="auto"/>
          <w:highlight w:val="none"/>
          <w:lang w:val="en-US" w:eastAsia="zh-CN"/>
        </w:rPr>
        <w:fldChar w:fldCharType="separate"/>
      </w:r>
      <w:r>
        <w:rPr>
          <w:rFonts w:hint="eastAsia"/>
          <w:color w:val="auto"/>
          <w:highlight w:val="none"/>
          <w:lang w:val="en-US" w:eastAsia="zh-CN"/>
        </w:rPr>
        <w:t>表5.2-40</w:t>
      </w:r>
      <w:r>
        <w:rPr>
          <w:rFonts w:hint="eastAsia"/>
          <w:color w:val="auto"/>
          <w:highlight w:val="none"/>
          <w:lang w:val="en-US" w:eastAsia="zh-CN"/>
        </w:rPr>
        <w:fldChar w:fldCharType="end"/>
      </w:r>
      <w:r>
        <w:rPr>
          <w:rFonts w:hint="eastAsia"/>
          <w:color w:val="auto"/>
          <w:highlight w:val="none"/>
          <w:lang w:val="en-US" w:eastAsia="zh-CN"/>
        </w:rPr>
        <w:t>。</w:t>
      </w:r>
    </w:p>
    <w:p>
      <w:pPr>
        <w:pStyle w:val="24"/>
        <w:numPr>
          <w:ilvl w:val="6"/>
          <w:numId w:val="3"/>
        </w:numPr>
        <w:tabs>
          <w:tab w:val="left" w:pos="420"/>
        </w:tabs>
        <w:bidi w:val="0"/>
        <w:rPr>
          <w:rFonts w:hint="default"/>
          <w:color w:val="auto"/>
          <w:highlight w:val="none"/>
          <w:lang w:val="en-US" w:eastAsia="zh-CN"/>
        </w:rPr>
      </w:pPr>
      <w:bookmarkStart w:id="559" w:name="_Ref13224"/>
      <w:r>
        <w:rPr>
          <w:rFonts w:hint="eastAsia"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7</w:t>
      </w:r>
      <w:r>
        <w:rPr>
          <w:rFonts w:hint="eastAsia" w:ascii="Times New Roman" w:hAnsi="Times New Roman" w:cs="Times New Roman"/>
          <w:color w:val="auto"/>
          <w:szCs w:val="20"/>
          <w:highlight w:val="none"/>
          <w:lang w:val="en-US" w:eastAsia="zh-CN"/>
        </w:rPr>
        <w:t>排气筒</w:t>
      </w:r>
      <w:r>
        <w:rPr>
          <w:rFonts w:hint="eastAsia" w:cs="Times New Roman"/>
          <w:color w:val="auto"/>
          <w:szCs w:val="20"/>
          <w:highlight w:val="none"/>
          <w:lang w:val="en-US" w:eastAsia="zh-CN"/>
        </w:rPr>
        <w:t>废气处理设施故障</w:t>
      </w:r>
      <w:r>
        <w:rPr>
          <w:rFonts w:hint="eastAsia" w:ascii="Times New Roman" w:hAnsi="Times New Roman" w:cs="Times New Roman"/>
          <w:color w:val="auto"/>
          <w:szCs w:val="20"/>
          <w:highlight w:val="none"/>
          <w:lang w:val="en-US" w:eastAsia="zh-CN"/>
        </w:rPr>
        <w:t>最大影响浓度情况</w:t>
      </w:r>
      <w:bookmarkEnd w:id="559"/>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1773"/>
        <w:gridCol w:w="1666"/>
        <w:gridCol w:w="1664"/>
        <w:gridCol w:w="1666"/>
        <w:gridCol w:w="16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vMerge w:val="restart"/>
            <w:vAlign w:val="center"/>
          </w:tcPr>
          <w:p>
            <w:pPr>
              <w:pStyle w:val="21"/>
              <w:bidi w:val="0"/>
              <w:rPr>
                <w:color w:val="auto"/>
                <w:highlight w:val="none"/>
              </w:rPr>
            </w:pPr>
            <w:r>
              <w:rPr>
                <w:color w:val="auto"/>
                <w:highlight w:val="none"/>
              </w:rPr>
              <w:t>序号</w:t>
            </w:r>
          </w:p>
        </w:tc>
        <w:tc>
          <w:tcPr>
            <w:tcW w:w="955" w:type="pct"/>
            <w:vMerge w:val="restart"/>
            <w:vAlign w:val="center"/>
          </w:tcPr>
          <w:p>
            <w:pPr>
              <w:pStyle w:val="21"/>
              <w:bidi w:val="0"/>
              <w:rPr>
                <w:color w:val="auto"/>
                <w:highlight w:val="none"/>
              </w:rPr>
            </w:pPr>
            <w:r>
              <w:rPr>
                <w:color w:val="auto"/>
                <w:highlight w:val="none"/>
              </w:rPr>
              <w:t>名称</w:t>
            </w:r>
          </w:p>
        </w:tc>
        <w:tc>
          <w:tcPr>
            <w:tcW w:w="1793" w:type="pct"/>
            <w:gridSpan w:val="2"/>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非甲烷总烃</w:t>
            </w:r>
          </w:p>
        </w:tc>
        <w:tc>
          <w:tcPr>
            <w:tcW w:w="1796" w:type="pct"/>
            <w:gridSpan w:val="2"/>
            <w:vAlign w:val="center"/>
          </w:tcPr>
          <w:p>
            <w:pPr>
              <w:pStyle w:val="21"/>
              <w:bidi w:val="0"/>
              <w:rPr>
                <w:rFonts w:hint="default"/>
                <w:color w:val="auto"/>
                <w:highlight w:val="none"/>
                <w:lang w:val="en-US" w:eastAsia="zh-CN"/>
              </w:rPr>
            </w:pPr>
            <w:r>
              <w:rPr>
                <w:rFonts w:hint="eastAsia"/>
                <w:color w:val="auto"/>
                <w:highlight w:val="none"/>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vMerge w:val="continue"/>
            <w:vAlign w:val="center"/>
          </w:tcPr>
          <w:p>
            <w:pPr>
              <w:pStyle w:val="21"/>
              <w:bidi w:val="0"/>
              <w:rPr>
                <w:color w:val="auto"/>
                <w:highlight w:val="none"/>
              </w:rPr>
            </w:pPr>
          </w:p>
        </w:tc>
        <w:tc>
          <w:tcPr>
            <w:tcW w:w="955" w:type="pct"/>
            <w:vMerge w:val="continue"/>
            <w:vAlign w:val="center"/>
          </w:tcPr>
          <w:p>
            <w:pPr>
              <w:pStyle w:val="21"/>
              <w:bidi w:val="0"/>
              <w:rPr>
                <w:color w:val="auto"/>
                <w:highlight w:val="none"/>
              </w:rPr>
            </w:pPr>
          </w:p>
        </w:tc>
        <w:tc>
          <w:tcPr>
            <w:tcW w:w="897" w:type="pct"/>
            <w:vAlign w:val="center"/>
          </w:tcPr>
          <w:p>
            <w:pPr>
              <w:pStyle w:val="21"/>
              <w:bidi w:val="0"/>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896" w:type="pct"/>
            <w:vAlign w:val="center"/>
          </w:tcPr>
          <w:p>
            <w:pPr>
              <w:pStyle w:val="21"/>
              <w:bidi w:val="0"/>
              <w:rPr>
                <w:color w:val="auto"/>
                <w:highlight w:val="none"/>
              </w:rPr>
            </w:pPr>
            <w:r>
              <w:rPr>
                <w:color w:val="auto"/>
                <w:highlight w:val="none"/>
              </w:rPr>
              <w:t>占标率%</w:t>
            </w:r>
          </w:p>
        </w:tc>
        <w:tc>
          <w:tcPr>
            <w:tcW w:w="897" w:type="pct"/>
            <w:vAlign w:val="center"/>
          </w:tcPr>
          <w:p>
            <w:pPr>
              <w:pStyle w:val="21"/>
              <w:bidi w:val="0"/>
              <w:ind w:left="0" w:leftChars="0" w:firstLine="0" w:firstLineChars="0"/>
              <w:rPr>
                <w:rFonts w:ascii="Times New Roman" w:hAnsi="Times New Roman" w:eastAsia="宋体" w:cs="Times New Roman"/>
                <w:color w:val="auto"/>
                <w:sz w:val="21"/>
                <w:highlight w:val="none"/>
              </w:rPr>
            </w:pPr>
            <w:r>
              <w:rPr>
                <w:color w:val="auto"/>
                <w:highlight w:val="none"/>
              </w:rPr>
              <w:t>浓度(mg/m</w:t>
            </w:r>
            <w:r>
              <w:rPr>
                <w:color w:val="auto"/>
                <w:highlight w:val="none"/>
                <w:vertAlign w:val="superscript"/>
              </w:rPr>
              <w:t>3</w:t>
            </w:r>
            <w:r>
              <w:rPr>
                <w:color w:val="auto"/>
                <w:highlight w:val="none"/>
              </w:rPr>
              <w:t>)</w:t>
            </w:r>
          </w:p>
        </w:tc>
        <w:tc>
          <w:tcPr>
            <w:tcW w:w="899" w:type="pct"/>
            <w:vAlign w:val="center"/>
          </w:tcPr>
          <w:p>
            <w:pPr>
              <w:pStyle w:val="21"/>
              <w:bidi w:val="0"/>
              <w:ind w:left="0" w:leftChars="0" w:firstLine="0" w:firstLineChars="0"/>
              <w:rPr>
                <w:rFonts w:ascii="Times New Roman" w:hAnsi="Times New Roman" w:eastAsia="宋体" w:cs="Times New Roman"/>
                <w:color w:val="auto"/>
                <w:sz w:val="21"/>
                <w:highlight w:val="none"/>
              </w:rPr>
            </w:pPr>
            <w:r>
              <w:rPr>
                <w:color w:val="auto"/>
                <w:highlight w:val="none"/>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1</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897" w:type="pct"/>
            <w:vAlign w:val="center"/>
          </w:tcPr>
          <w:p>
            <w:pPr>
              <w:pStyle w:val="21"/>
              <w:bidi w:val="0"/>
              <w:rPr>
                <w:color w:val="auto"/>
              </w:rPr>
            </w:pPr>
            <w:r>
              <w:rPr>
                <w:rFonts w:hint="eastAsia"/>
                <w:color w:val="auto"/>
              </w:rPr>
              <w:t>1.86E-02</w:t>
            </w:r>
          </w:p>
        </w:tc>
        <w:tc>
          <w:tcPr>
            <w:tcW w:w="896" w:type="pct"/>
            <w:vAlign w:val="center"/>
          </w:tcPr>
          <w:p>
            <w:pPr>
              <w:pStyle w:val="21"/>
              <w:bidi w:val="0"/>
              <w:rPr>
                <w:color w:val="auto"/>
              </w:rPr>
            </w:pPr>
            <w:r>
              <w:rPr>
                <w:rFonts w:hint="eastAsia"/>
                <w:color w:val="auto"/>
              </w:rPr>
              <w:t>0.93</w:t>
            </w:r>
          </w:p>
        </w:tc>
        <w:tc>
          <w:tcPr>
            <w:tcW w:w="897" w:type="pct"/>
            <w:vAlign w:val="center"/>
          </w:tcPr>
          <w:p>
            <w:pPr>
              <w:pStyle w:val="21"/>
              <w:bidi w:val="0"/>
              <w:rPr>
                <w:rFonts w:hint="eastAsia"/>
                <w:color w:val="auto"/>
              </w:rPr>
            </w:pPr>
            <w:r>
              <w:rPr>
                <w:rFonts w:hint="eastAsia"/>
                <w:color w:val="auto"/>
              </w:rPr>
              <w:t>7.38E-02</w:t>
            </w:r>
          </w:p>
        </w:tc>
        <w:tc>
          <w:tcPr>
            <w:tcW w:w="899" w:type="pct"/>
            <w:vAlign w:val="center"/>
          </w:tcPr>
          <w:p>
            <w:pPr>
              <w:pStyle w:val="21"/>
              <w:bidi w:val="0"/>
              <w:rPr>
                <w:rFonts w:hint="eastAsia"/>
                <w:color w:val="auto"/>
              </w:rPr>
            </w:pPr>
            <w:r>
              <w:rPr>
                <w:rFonts w:hint="eastAsia"/>
                <w:color w:val="auto"/>
              </w:rPr>
              <w:t>16.39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2</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897" w:type="pct"/>
            <w:vAlign w:val="center"/>
          </w:tcPr>
          <w:p>
            <w:pPr>
              <w:pStyle w:val="21"/>
              <w:bidi w:val="0"/>
              <w:rPr>
                <w:color w:val="auto"/>
              </w:rPr>
            </w:pPr>
            <w:r>
              <w:rPr>
                <w:rFonts w:hint="eastAsia"/>
                <w:color w:val="auto"/>
              </w:rPr>
              <w:t>1.47E-02</w:t>
            </w:r>
          </w:p>
        </w:tc>
        <w:tc>
          <w:tcPr>
            <w:tcW w:w="896" w:type="pct"/>
            <w:vAlign w:val="center"/>
          </w:tcPr>
          <w:p>
            <w:pPr>
              <w:pStyle w:val="21"/>
              <w:bidi w:val="0"/>
              <w:rPr>
                <w:color w:val="auto"/>
              </w:rPr>
            </w:pPr>
            <w:r>
              <w:rPr>
                <w:rFonts w:hint="eastAsia"/>
                <w:color w:val="auto"/>
              </w:rPr>
              <w:t>0.73</w:t>
            </w:r>
          </w:p>
        </w:tc>
        <w:tc>
          <w:tcPr>
            <w:tcW w:w="897" w:type="pct"/>
            <w:vAlign w:val="center"/>
          </w:tcPr>
          <w:p>
            <w:pPr>
              <w:pStyle w:val="21"/>
              <w:bidi w:val="0"/>
              <w:rPr>
                <w:rFonts w:hint="eastAsia"/>
                <w:color w:val="auto"/>
              </w:rPr>
            </w:pPr>
            <w:r>
              <w:rPr>
                <w:rFonts w:hint="eastAsia"/>
                <w:color w:val="auto"/>
              </w:rPr>
              <w:t>5.81E-02</w:t>
            </w:r>
          </w:p>
        </w:tc>
        <w:tc>
          <w:tcPr>
            <w:tcW w:w="899" w:type="pct"/>
            <w:vAlign w:val="center"/>
          </w:tcPr>
          <w:p>
            <w:pPr>
              <w:pStyle w:val="21"/>
              <w:bidi w:val="0"/>
              <w:rPr>
                <w:rFonts w:hint="eastAsia"/>
                <w:color w:val="auto"/>
              </w:rPr>
            </w:pPr>
            <w:r>
              <w:rPr>
                <w:rFonts w:hint="eastAsia"/>
                <w:color w:val="auto"/>
              </w:rPr>
              <w:t>12.91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3</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897" w:type="pct"/>
            <w:vAlign w:val="center"/>
          </w:tcPr>
          <w:p>
            <w:pPr>
              <w:pStyle w:val="21"/>
              <w:bidi w:val="0"/>
              <w:rPr>
                <w:color w:val="auto"/>
              </w:rPr>
            </w:pPr>
            <w:r>
              <w:rPr>
                <w:rFonts w:hint="eastAsia"/>
                <w:color w:val="auto"/>
              </w:rPr>
              <w:t>3.10E-02</w:t>
            </w:r>
          </w:p>
        </w:tc>
        <w:tc>
          <w:tcPr>
            <w:tcW w:w="896" w:type="pct"/>
            <w:vAlign w:val="center"/>
          </w:tcPr>
          <w:p>
            <w:pPr>
              <w:pStyle w:val="21"/>
              <w:bidi w:val="0"/>
              <w:rPr>
                <w:color w:val="auto"/>
              </w:rPr>
            </w:pPr>
            <w:r>
              <w:rPr>
                <w:rFonts w:hint="eastAsia"/>
                <w:color w:val="auto"/>
              </w:rPr>
              <w:t>1.55</w:t>
            </w:r>
          </w:p>
        </w:tc>
        <w:tc>
          <w:tcPr>
            <w:tcW w:w="897" w:type="pct"/>
            <w:vAlign w:val="center"/>
          </w:tcPr>
          <w:p>
            <w:pPr>
              <w:pStyle w:val="21"/>
              <w:bidi w:val="0"/>
              <w:rPr>
                <w:rFonts w:hint="eastAsia"/>
                <w:color w:val="auto"/>
              </w:rPr>
            </w:pPr>
            <w:r>
              <w:rPr>
                <w:rFonts w:hint="eastAsia"/>
                <w:color w:val="auto"/>
              </w:rPr>
              <w:t>1.23E-01</w:t>
            </w:r>
          </w:p>
        </w:tc>
        <w:tc>
          <w:tcPr>
            <w:tcW w:w="899" w:type="pct"/>
            <w:vAlign w:val="center"/>
          </w:tcPr>
          <w:p>
            <w:pPr>
              <w:pStyle w:val="21"/>
              <w:bidi w:val="0"/>
              <w:rPr>
                <w:rFonts w:hint="eastAsia"/>
                <w:color w:val="auto"/>
              </w:rPr>
            </w:pPr>
            <w:r>
              <w:rPr>
                <w:rFonts w:hint="eastAsia"/>
                <w:color w:val="auto"/>
              </w:rPr>
              <w:t>27.30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4</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897" w:type="pct"/>
            <w:vAlign w:val="center"/>
          </w:tcPr>
          <w:p>
            <w:pPr>
              <w:pStyle w:val="21"/>
              <w:bidi w:val="0"/>
              <w:rPr>
                <w:color w:val="auto"/>
              </w:rPr>
            </w:pPr>
            <w:r>
              <w:rPr>
                <w:rFonts w:hint="eastAsia"/>
                <w:color w:val="auto"/>
              </w:rPr>
              <w:t>2.73E-02</w:t>
            </w:r>
          </w:p>
        </w:tc>
        <w:tc>
          <w:tcPr>
            <w:tcW w:w="896" w:type="pct"/>
            <w:vAlign w:val="center"/>
          </w:tcPr>
          <w:p>
            <w:pPr>
              <w:pStyle w:val="21"/>
              <w:bidi w:val="0"/>
              <w:rPr>
                <w:color w:val="auto"/>
              </w:rPr>
            </w:pPr>
            <w:r>
              <w:rPr>
                <w:rFonts w:hint="eastAsia"/>
                <w:color w:val="auto"/>
              </w:rPr>
              <w:t>1.37</w:t>
            </w:r>
          </w:p>
        </w:tc>
        <w:tc>
          <w:tcPr>
            <w:tcW w:w="897" w:type="pct"/>
            <w:vAlign w:val="center"/>
          </w:tcPr>
          <w:p>
            <w:pPr>
              <w:pStyle w:val="21"/>
              <w:bidi w:val="0"/>
              <w:rPr>
                <w:rFonts w:hint="eastAsia"/>
                <w:color w:val="auto"/>
              </w:rPr>
            </w:pPr>
            <w:r>
              <w:rPr>
                <w:rFonts w:hint="eastAsia"/>
                <w:color w:val="auto"/>
              </w:rPr>
              <w:t>1.08E-01</w:t>
            </w:r>
          </w:p>
        </w:tc>
        <w:tc>
          <w:tcPr>
            <w:tcW w:w="899" w:type="pct"/>
            <w:vAlign w:val="center"/>
          </w:tcPr>
          <w:p>
            <w:pPr>
              <w:pStyle w:val="21"/>
              <w:bidi w:val="0"/>
              <w:rPr>
                <w:rFonts w:hint="eastAsia"/>
                <w:color w:val="auto"/>
              </w:rPr>
            </w:pPr>
            <w:r>
              <w:rPr>
                <w:rFonts w:hint="eastAsia"/>
                <w:color w:val="auto"/>
              </w:rPr>
              <w:t>24.07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5</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897" w:type="pct"/>
            <w:vAlign w:val="center"/>
          </w:tcPr>
          <w:p>
            <w:pPr>
              <w:pStyle w:val="21"/>
              <w:bidi w:val="0"/>
              <w:rPr>
                <w:color w:val="auto"/>
              </w:rPr>
            </w:pPr>
            <w:r>
              <w:rPr>
                <w:rFonts w:hint="eastAsia"/>
                <w:color w:val="auto"/>
              </w:rPr>
              <w:t>7.79E-03</w:t>
            </w:r>
          </w:p>
        </w:tc>
        <w:tc>
          <w:tcPr>
            <w:tcW w:w="896" w:type="pct"/>
            <w:vAlign w:val="center"/>
          </w:tcPr>
          <w:p>
            <w:pPr>
              <w:pStyle w:val="21"/>
              <w:bidi w:val="0"/>
              <w:rPr>
                <w:color w:val="auto"/>
              </w:rPr>
            </w:pPr>
            <w:r>
              <w:rPr>
                <w:rFonts w:hint="eastAsia"/>
                <w:color w:val="auto"/>
              </w:rPr>
              <w:t>0.39</w:t>
            </w:r>
          </w:p>
        </w:tc>
        <w:tc>
          <w:tcPr>
            <w:tcW w:w="897" w:type="pct"/>
            <w:vAlign w:val="center"/>
          </w:tcPr>
          <w:p>
            <w:pPr>
              <w:pStyle w:val="21"/>
              <w:bidi w:val="0"/>
              <w:rPr>
                <w:rFonts w:hint="eastAsia"/>
                <w:color w:val="auto"/>
              </w:rPr>
            </w:pPr>
            <w:r>
              <w:rPr>
                <w:rFonts w:hint="eastAsia"/>
                <w:color w:val="auto"/>
              </w:rPr>
              <w:t>3.09E-02</w:t>
            </w:r>
          </w:p>
        </w:tc>
        <w:tc>
          <w:tcPr>
            <w:tcW w:w="899" w:type="pct"/>
            <w:vAlign w:val="center"/>
          </w:tcPr>
          <w:p>
            <w:pPr>
              <w:pStyle w:val="21"/>
              <w:bidi w:val="0"/>
              <w:rPr>
                <w:rFonts w:hint="eastAsia"/>
                <w:color w:val="auto"/>
              </w:rPr>
            </w:pPr>
            <w:r>
              <w:rPr>
                <w:rFonts w:hint="eastAsia"/>
                <w:color w:val="auto"/>
              </w:rPr>
              <w:t>6.86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6</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897" w:type="pct"/>
            <w:vAlign w:val="center"/>
          </w:tcPr>
          <w:p>
            <w:pPr>
              <w:pStyle w:val="21"/>
              <w:bidi w:val="0"/>
              <w:rPr>
                <w:color w:val="auto"/>
              </w:rPr>
            </w:pPr>
            <w:r>
              <w:rPr>
                <w:rFonts w:hint="eastAsia"/>
                <w:color w:val="auto"/>
              </w:rPr>
              <w:t>4.72E-03</w:t>
            </w:r>
          </w:p>
        </w:tc>
        <w:tc>
          <w:tcPr>
            <w:tcW w:w="896" w:type="pct"/>
            <w:vAlign w:val="center"/>
          </w:tcPr>
          <w:p>
            <w:pPr>
              <w:pStyle w:val="21"/>
              <w:bidi w:val="0"/>
              <w:rPr>
                <w:color w:val="auto"/>
              </w:rPr>
            </w:pPr>
            <w:r>
              <w:rPr>
                <w:rFonts w:hint="eastAsia"/>
                <w:color w:val="auto"/>
              </w:rPr>
              <w:t>0.24</w:t>
            </w:r>
          </w:p>
        </w:tc>
        <w:tc>
          <w:tcPr>
            <w:tcW w:w="897" w:type="pct"/>
            <w:vAlign w:val="center"/>
          </w:tcPr>
          <w:p>
            <w:pPr>
              <w:pStyle w:val="21"/>
              <w:bidi w:val="0"/>
              <w:rPr>
                <w:rFonts w:hint="eastAsia"/>
                <w:color w:val="auto"/>
              </w:rPr>
            </w:pPr>
            <w:r>
              <w:rPr>
                <w:rFonts w:hint="eastAsia"/>
                <w:color w:val="auto"/>
              </w:rPr>
              <w:t>1.87E-02</w:t>
            </w:r>
          </w:p>
        </w:tc>
        <w:tc>
          <w:tcPr>
            <w:tcW w:w="899" w:type="pct"/>
            <w:vAlign w:val="center"/>
          </w:tcPr>
          <w:p>
            <w:pPr>
              <w:pStyle w:val="21"/>
              <w:bidi w:val="0"/>
              <w:rPr>
                <w:rFonts w:hint="eastAsia"/>
                <w:color w:val="auto"/>
              </w:rPr>
            </w:pPr>
            <w:r>
              <w:rPr>
                <w:rFonts w:hint="eastAsia"/>
                <w:color w:val="auto"/>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7</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897" w:type="pct"/>
            <w:vAlign w:val="center"/>
          </w:tcPr>
          <w:p>
            <w:pPr>
              <w:pStyle w:val="21"/>
              <w:bidi w:val="0"/>
              <w:rPr>
                <w:color w:val="auto"/>
              </w:rPr>
            </w:pPr>
            <w:r>
              <w:rPr>
                <w:rFonts w:hint="eastAsia"/>
                <w:color w:val="auto"/>
              </w:rPr>
              <w:t>1.14E-02</w:t>
            </w:r>
          </w:p>
        </w:tc>
        <w:tc>
          <w:tcPr>
            <w:tcW w:w="896" w:type="pct"/>
            <w:vAlign w:val="center"/>
          </w:tcPr>
          <w:p>
            <w:pPr>
              <w:pStyle w:val="21"/>
              <w:bidi w:val="0"/>
              <w:rPr>
                <w:color w:val="auto"/>
              </w:rPr>
            </w:pPr>
            <w:r>
              <w:rPr>
                <w:rFonts w:hint="eastAsia"/>
                <w:color w:val="auto"/>
              </w:rPr>
              <w:t>0.57</w:t>
            </w:r>
          </w:p>
        </w:tc>
        <w:tc>
          <w:tcPr>
            <w:tcW w:w="897" w:type="pct"/>
            <w:vAlign w:val="center"/>
          </w:tcPr>
          <w:p>
            <w:pPr>
              <w:pStyle w:val="21"/>
              <w:bidi w:val="0"/>
              <w:rPr>
                <w:rFonts w:hint="eastAsia"/>
                <w:color w:val="auto"/>
              </w:rPr>
            </w:pPr>
            <w:r>
              <w:rPr>
                <w:rFonts w:hint="eastAsia"/>
                <w:color w:val="auto"/>
              </w:rPr>
              <w:t>4.51E-02</w:t>
            </w:r>
          </w:p>
        </w:tc>
        <w:tc>
          <w:tcPr>
            <w:tcW w:w="899" w:type="pct"/>
            <w:vAlign w:val="center"/>
          </w:tcPr>
          <w:p>
            <w:pPr>
              <w:pStyle w:val="21"/>
              <w:bidi w:val="0"/>
              <w:rPr>
                <w:rFonts w:hint="eastAsia"/>
                <w:color w:val="auto"/>
              </w:rPr>
            </w:pPr>
            <w:r>
              <w:rPr>
                <w:rFonts w:hint="eastAsia"/>
                <w:color w:val="auto"/>
              </w:rPr>
              <w:t>10.01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color w:val="auto"/>
                <w:highlight w:val="none"/>
              </w:rPr>
            </w:pPr>
            <w:r>
              <w:rPr>
                <w:color w:val="auto"/>
                <w:highlight w:val="none"/>
              </w:rPr>
              <w:t>8</w:t>
            </w:r>
          </w:p>
        </w:tc>
        <w:tc>
          <w:tcPr>
            <w:tcW w:w="1773"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897" w:type="pct"/>
            <w:vAlign w:val="center"/>
          </w:tcPr>
          <w:p>
            <w:pPr>
              <w:pStyle w:val="21"/>
              <w:bidi w:val="0"/>
              <w:rPr>
                <w:color w:val="auto"/>
              </w:rPr>
            </w:pPr>
            <w:r>
              <w:rPr>
                <w:rFonts w:hint="eastAsia"/>
                <w:color w:val="auto"/>
              </w:rPr>
              <w:t>1.93E-02</w:t>
            </w:r>
          </w:p>
        </w:tc>
        <w:tc>
          <w:tcPr>
            <w:tcW w:w="896" w:type="pct"/>
            <w:vAlign w:val="center"/>
          </w:tcPr>
          <w:p>
            <w:pPr>
              <w:pStyle w:val="21"/>
              <w:bidi w:val="0"/>
              <w:rPr>
                <w:rFonts w:hint="default"/>
                <w:color w:val="auto"/>
                <w:lang w:val="en-US" w:eastAsia="zh-CN"/>
              </w:rPr>
            </w:pPr>
            <w:r>
              <w:rPr>
                <w:rFonts w:hint="eastAsia"/>
                <w:color w:val="auto"/>
              </w:rPr>
              <w:t>0.96</w:t>
            </w:r>
          </w:p>
        </w:tc>
        <w:tc>
          <w:tcPr>
            <w:tcW w:w="897" w:type="pct"/>
            <w:vAlign w:val="center"/>
          </w:tcPr>
          <w:p>
            <w:pPr>
              <w:pStyle w:val="21"/>
              <w:bidi w:val="0"/>
              <w:rPr>
                <w:rFonts w:hint="eastAsia"/>
                <w:color w:val="auto"/>
              </w:rPr>
            </w:pPr>
            <w:r>
              <w:rPr>
                <w:rFonts w:hint="eastAsia"/>
                <w:color w:val="auto"/>
              </w:rPr>
              <w:t>7.63E-02</w:t>
            </w:r>
          </w:p>
        </w:tc>
        <w:tc>
          <w:tcPr>
            <w:tcW w:w="899" w:type="pct"/>
            <w:vAlign w:val="center"/>
          </w:tcPr>
          <w:p>
            <w:pPr>
              <w:pStyle w:val="21"/>
              <w:bidi w:val="0"/>
              <w:rPr>
                <w:rFonts w:hint="eastAsia"/>
                <w:color w:val="auto"/>
              </w:rPr>
            </w:pPr>
            <w:r>
              <w:rPr>
                <w:rFonts w:hint="eastAsia"/>
                <w:color w:val="auto"/>
              </w:rPr>
              <w:t>16.96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eastAsia" w:eastAsia="宋体"/>
                <w:color w:val="auto"/>
                <w:highlight w:val="none"/>
                <w:lang w:val="en-US" w:eastAsia="zh-CN"/>
              </w:rPr>
            </w:pPr>
            <w:r>
              <w:rPr>
                <w:rFonts w:hint="eastAsia"/>
                <w:color w:val="auto"/>
                <w:highlight w:val="none"/>
                <w:lang w:val="en-US" w:eastAsia="zh-CN"/>
              </w:rPr>
              <w:t>9</w:t>
            </w:r>
          </w:p>
        </w:tc>
        <w:tc>
          <w:tcPr>
            <w:tcW w:w="1773"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小洋</w:t>
            </w:r>
          </w:p>
        </w:tc>
        <w:tc>
          <w:tcPr>
            <w:tcW w:w="897" w:type="pct"/>
            <w:vAlign w:val="center"/>
          </w:tcPr>
          <w:p>
            <w:pPr>
              <w:pStyle w:val="21"/>
              <w:bidi w:val="0"/>
              <w:rPr>
                <w:rFonts w:hint="eastAsia"/>
                <w:color w:val="auto"/>
              </w:rPr>
            </w:pPr>
            <w:r>
              <w:rPr>
                <w:rFonts w:hint="eastAsia"/>
                <w:color w:val="auto"/>
              </w:rPr>
              <w:t>3.62E-03</w:t>
            </w:r>
          </w:p>
        </w:tc>
        <w:tc>
          <w:tcPr>
            <w:tcW w:w="896" w:type="pct"/>
            <w:vAlign w:val="center"/>
          </w:tcPr>
          <w:p>
            <w:pPr>
              <w:pStyle w:val="21"/>
              <w:bidi w:val="0"/>
              <w:rPr>
                <w:rFonts w:hint="default"/>
                <w:color w:val="auto"/>
                <w:lang w:val="en-US" w:eastAsia="zh-CN"/>
              </w:rPr>
            </w:pPr>
            <w:r>
              <w:rPr>
                <w:rFonts w:hint="eastAsia"/>
                <w:color w:val="auto"/>
              </w:rPr>
              <w:t>0.18</w:t>
            </w:r>
          </w:p>
        </w:tc>
        <w:tc>
          <w:tcPr>
            <w:tcW w:w="897" w:type="pct"/>
            <w:vAlign w:val="center"/>
          </w:tcPr>
          <w:p>
            <w:pPr>
              <w:pStyle w:val="21"/>
              <w:bidi w:val="0"/>
              <w:rPr>
                <w:rFonts w:hint="eastAsia"/>
                <w:color w:val="auto"/>
              </w:rPr>
            </w:pPr>
            <w:r>
              <w:rPr>
                <w:rFonts w:hint="eastAsia"/>
                <w:color w:val="auto"/>
              </w:rPr>
              <w:t>1.44E-02</w:t>
            </w:r>
          </w:p>
        </w:tc>
        <w:tc>
          <w:tcPr>
            <w:tcW w:w="899" w:type="pct"/>
            <w:vAlign w:val="center"/>
          </w:tcPr>
          <w:p>
            <w:pPr>
              <w:pStyle w:val="21"/>
              <w:bidi w:val="0"/>
              <w:rPr>
                <w:rFonts w:hint="eastAsia"/>
                <w:color w:val="auto"/>
              </w:rPr>
            </w:pPr>
            <w:r>
              <w:rPr>
                <w:rFonts w:hint="eastAsia"/>
                <w:color w:val="auto"/>
              </w:rPr>
              <w:t>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10</w:t>
            </w:r>
          </w:p>
        </w:tc>
        <w:tc>
          <w:tcPr>
            <w:tcW w:w="1773"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竹栏头</w:t>
            </w:r>
          </w:p>
        </w:tc>
        <w:tc>
          <w:tcPr>
            <w:tcW w:w="897" w:type="pct"/>
            <w:vAlign w:val="center"/>
          </w:tcPr>
          <w:p>
            <w:pPr>
              <w:pStyle w:val="21"/>
              <w:bidi w:val="0"/>
              <w:rPr>
                <w:rFonts w:hint="eastAsia"/>
                <w:color w:val="auto"/>
              </w:rPr>
            </w:pPr>
            <w:r>
              <w:rPr>
                <w:rFonts w:hint="eastAsia"/>
                <w:color w:val="auto"/>
              </w:rPr>
              <w:t>4.69E-03</w:t>
            </w:r>
          </w:p>
        </w:tc>
        <w:tc>
          <w:tcPr>
            <w:tcW w:w="896" w:type="pct"/>
            <w:vAlign w:val="center"/>
          </w:tcPr>
          <w:p>
            <w:pPr>
              <w:pStyle w:val="21"/>
              <w:bidi w:val="0"/>
              <w:rPr>
                <w:rFonts w:hint="default"/>
                <w:color w:val="auto"/>
                <w:lang w:val="en-US" w:eastAsia="zh-CN"/>
              </w:rPr>
            </w:pPr>
            <w:r>
              <w:rPr>
                <w:rFonts w:hint="eastAsia"/>
                <w:color w:val="auto"/>
              </w:rPr>
              <w:t>0.23</w:t>
            </w:r>
          </w:p>
        </w:tc>
        <w:tc>
          <w:tcPr>
            <w:tcW w:w="897" w:type="pct"/>
            <w:vAlign w:val="center"/>
          </w:tcPr>
          <w:p>
            <w:pPr>
              <w:pStyle w:val="21"/>
              <w:bidi w:val="0"/>
              <w:rPr>
                <w:rFonts w:hint="eastAsia"/>
                <w:color w:val="auto"/>
              </w:rPr>
            </w:pPr>
            <w:r>
              <w:rPr>
                <w:rFonts w:hint="eastAsia"/>
                <w:color w:val="auto"/>
              </w:rPr>
              <w:t>1.86E-02</w:t>
            </w:r>
          </w:p>
        </w:tc>
        <w:tc>
          <w:tcPr>
            <w:tcW w:w="899" w:type="pct"/>
            <w:vAlign w:val="center"/>
          </w:tcPr>
          <w:p>
            <w:pPr>
              <w:pStyle w:val="21"/>
              <w:bidi w:val="0"/>
              <w:rPr>
                <w:rFonts w:hint="eastAsia"/>
                <w:color w:val="auto"/>
              </w:rPr>
            </w:pPr>
            <w:r>
              <w:rPr>
                <w:rFonts w:hint="eastAsia"/>
                <w:color w:val="auto"/>
              </w:rPr>
              <w:t>4.13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11</w:t>
            </w:r>
          </w:p>
        </w:tc>
        <w:tc>
          <w:tcPr>
            <w:tcW w:w="1773"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东岭头</w:t>
            </w:r>
          </w:p>
        </w:tc>
        <w:tc>
          <w:tcPr>
            <w:tcW w:w="897" w:type="pct"/>
            <w:vAlign w:val="center"/>
          </w:tcPr>
          <w:p>
            <w:pPr>
              <w:pStyle w:val="21"/>
              <w:bidi w:val="0"/>
              <w:rPr>
                <w:rFonts w:hint="eastAsia"/>
                <w:color w:val="auto"/>
              </w:rPr>
            </w:pPr>
            <w:r>
              <w:rPr>
                <w:rFonts w:hint="eastAsia"/>
                <w:color w:val="auto"/>
              </w:rPr>
              <w:t>5.08E-03</w:t>
            </w:r>
          </w:p>
        </w:tc>
        <w:tc>
          <w:tcPr>
            <w:tcW w:w="896" w:type="pct"/>
            <w:vAlign w:val="center"/>
          </w:tcPr>
          <w:p>
            <w:pPr>
              <w:pStyle w:val="21"/>
              <w:bidi w:val="0"/>
              <w:rPr>
                <w:rFonts w:hint="default"/>
                <w:color w:val="auto"/>
                <w:lang w:val="en-US" w:eastAsia="zh-CN"/>
              </w:rPr>
            </w:pPr>
            <w:r>
              <w:rPr>
                <w:rFonts w:hint="eastAsia"/>
                <w:color w:val="auto"/>
              </w:rPr>
              <w:t>0.25</w:t>
            </w:r>
          </w:p>
        </w:tc>
        <w:tc>
          <w:tcPr>
            <w:tcW w:w="897" w:type="pct"/>
            <w:vAlign w:val="center"/>
          </w:tcPr>
          <w:p>
            <w:pPr>
              <w:pStyle w:val="21"/>
              <w:bidi w:val="0"/>
              <w:rPr>
                <w:rFonts w:hint="eastAsia"/>
                <w:color w:val="auto"/>
              </w:rPr>
            </w:pPr>
            <w:r>
              <w:rPr>
                <w:rFonts w:hint="eastAsia"/>
                <w:color w:val="auto"/>
              </w:rPr>
              <w:t>2.01E-02</w:t>
            </w:r>
          </w:p>
        </w:tc>
        <w:tc>
          <w:tcPr>
            <w:tcW w:w="899" w:type="pct"/>
            <w:vAlign w:val="center"/>
          </w:tcPr>
          <w:p>
            <w:pPr>
              <w:pStyle w:val="21"/>
              <w:bidi w:val="0"/>
              <w:rPr>
                <w:rFonts w:hint="eastAsia"/>
                <w:color w:val="auto"/>
              </w:rPr>
            </w:pPr>
            <w:r>
              <w:rPr>
                <w:rFonts w:hint="eastAsia"/>
                <w:color w:val="auto"/>
              </w:rPr>
              <w:t>4.47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12</w:t>
            </w:r>
          </w:p>
        </w:tc>
        <w:tc>
          <w:tcPr>
            <w:tcW w:w="1773"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秦家洋</w:t>
            </w:r>
          </w:p>
        </w:tc>
        <w:tc>
          <w:tcPr>
            <w:tcW w:w="897" w:type="pct"/>
            <w:vAlign w:val="center"/>
          </w:tcPr>
          <w:p>
            <w:pPr>
              <w:pStyle w:val="21"/>
              <w:bidi w:val="0"/>
              <w:rPr>
                <w:rFonts w:hint="eastAsia"/>
                <w:color w:val="auto"/>
              </w:rPr>
            </w:pPr>
            <w:r>
              <w:rPr>
                <w:rFonts w:hint="eastAsia"/>
                <w:color w:val="auto"/>
              </w:rPr>
              <w:t>1.62E-03</w:t>
            </w:r>
          </w:p>
        </w:tc>
        <w:tc>
          <w:tcPr>
            <w:tcW w:w="896" w:type="pct"/>
            <w:vAlign w:val="center"/>
          </w:tcPr>
          <w:p>
            <w:pPr>
              <w:pStyle w:val="21"/>
              <w:bidi w:val="0"/>
              <w:rPr>
                <w:rFonts w:hint="default"/>
                <w:color w:val="auto"/>
                <w:lang w:val="en-US" w:eastAsia="zh-CN"/>
              </w:rPr>
            </w:pPr>
            <w:r>
              <w:rPr>
                <w:rFonts w:hint="eastAsia"/>
                <w:color w:val="auto"/>
              </w:rPr>
              <w:t>0.08</w:t>
            </w:r>
          </w:p>
        </w:tc>
        <w:tc>
          <w:tcPr>
            <w:tcW w:w="897" w:type="pct"/>
            <w:vAlign w:val="center"/>
          </w:tcPr>
          <w:p>
            <w:pPr>
              <w:pStyle w:val="21"/>
              <w:bidi w:val="0"/>
              <w:rPr>
                <w:rFonts w:hint="eastAsia"/>
                <w:color w:val="auto"/>
              </w:rPr>
            </w:pPr>
            <w:r>
              <w:rPr>
                <w:rFonts w:hint="eastAsia"/>
                <w:color w:val="auto"/>
              </w:rPr>
              <w:t>6.41E-03</w:t>
            </w:r>
          </w:p>
        </w:tc>
        <w:tc>
          <w:tcPr>
            <w:tcW w:w="899" w:type="pct"/>
            <w:vAlign w:val="center"/>
          </w:tcPr>
          <w:p>
            <w:pPr>
              <w:pStyle w:val="21"/>
              <w:bidi w:val="0"/>
              <w:rPr>
                <w:rFonts w:hint="eastAsia"/>
                <w:color w:val="auto"/>
              </w:rPr>
            </w:pPr>
            <w:r>
              <w:rPr>
                <w:rFonts w:hint="eastAsia"/>
                <w:color w:val="auto"/>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13</w:t>
            </w:r>
          </w:p>
        </w:tc>
        <w:tc>
          <w:tcPr>
            <w:tcW w:w="1773"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山后</w:t>
            </w:r>
          </w:p>
        </w:tc>
        <w:tc>
          <w:tcPr>
            <w:tcW w:w="897" w:type="pct"/>
            <w:vAlign w:val="center"/>
          </w:tcPr>
          <w:p>
            <w:pPr>
              <w:pStyle w:val="21"/>
              <w:bidi w:val="0"/>
              <w:rPr>
                <w:rFonts w:hint="eastAsia"/>
                <w:color w:val="auto"/>
              </w:rPr>
            </w:pPr>
            <w:r>
              <w:rPr>
                <w:rFonts w:hint="eastAsia"/>
                <w:color w:val="auto"/>
              </w:rPr>
              <w:t>4.45E-03</w:t>
            </w:r>
          </w:p>
        </w:tc>
        <w:tc>
          <w:tcPr>
            <w:tcW w:w="896" w:type="pct"/>
            <w:vAlign w:val="center"/>
          </w:tcPr>
          <w:p>
            <w:pPr>
              <w:pStyle w:val="21"/>
              <w:bidi w:val="0"/>
              <w:rPr>
                <w:rFonts w:hint="default"/>
                <w:color w:val="auto"/>
                <w:lang w:val="en-US" w:eastAsia="zh-CN"/>
              </w:rPr>
            </w:pPr>
            <w:r>
              <w:rPr>
                <w:rFonts w:hint="eastAsia"/>
                <w:color w:val="auto"/>
              </w:rPr>
              <w:t>0.22</w:t>
            </w:r>
          </w:p>
        </w:tc>
        <w:tc>
          <w:tcPr>
            <w:tcW w:w="897" w:type="pct"/>
            <w:vAlign w:val="center"/>
          </w:tcPr>
          <w:p>
            <w:pPr>
              <w:pStyle w:val="21"/>
              <w:bidi w:val="0"/>
              <w:rPr>
                <w:rFonts w:hint="eastAsia"/>
                <w:color w:val="auto"/>
              </w:rPr>
            </w:pPr>
            <w:r>
              <w:rPr>
                <w:rFonts w:hint="eastAsia"/>
                <w:color w:val="auto"/>
              </w:rPr>
              <w:t>1.76E-02</w:t>
            </w:r>
          </w:p>
        </w:tc>
        <w:tc>
          <w:tcPr>
            <w:tcW w:w="899" w:type="pct"/>
            <w:vAlign w:val="center"/>
          </w:tcPr>
          <w:p>
            <w:pPr>
              <w:pStyle w:val="21"/>
              <w:bidi w:val="0"/>
              <w:rPr>
                <w:rFonts w:hint="eastAsia"/>
                <w:color w:val="auto"/>
              </w:rPr>
            </w:pPr>
            <w:r>
              <w:rPr>
                <w:rFonts w:hint="eastAsia"/>
                <w:color w:val="auto"/>
              </w:rPr>
              <w:t>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21"/>
              <w:bidi w:val="0"/>
              <w:rPr>
                <w:rFonts w:hint="default"/>
                <w:color w:val="auto"/>
                <w:highlight w:val="none"/>
                <w:lang w:val="en-US" w:eastAsia="zh-CN"/>
              </w:rPr>
            </w:pPr>
            <w:r>
              <w:rPr>
                <w:rFonts w:hint="eastAsia"/>
                <w:color w:val="auto"/>
                <w:highlight w:val="none"/>
                <w:lang w:val="en-US" w:eastAsia="zh-CN"/>
              </w:rPr>
              <w:t>14</w:t>
            </w:r>
          </w:p>
        </w:tc>
        <w:tc>
          <w:tcPr>
            <w:tcW w:w="1773"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网格</w:t>
            </w:r>
          </w:p>
        </w:tc>
        <w:tc>
          <w:tcPr>
            <w:tcW w:w="897" w:type="pct"/>
            <w:vAlign w:val="center"/>
          </w:tcPr>
          <w:p>
            <w:pPr>
              <w:pStyle w:val="21"/>
              <w:bidi w:val="0"/>
              <w:rPr>
                <w:rFonts w:hint="eastAsia"/>
                <w:color w:val="auto"/>
              </w:rPr>
            </w:pPr>
            <w:r>
              <w:rPr>
                <w:rFonts w:hint="eastAsia"/>
                <w:color w:val="auto"/>
              </w:rPr>
              <w:t>4.16E-01</w:t>
            </w:r>
          </w:p>
        </w:tc>
        <w:tc>
          <w:tcPr>
            <w:tcW w:w="896" w:type="pct"/>
            <w:vAlign w:val="center"/>
          </w:tcPr>
          <w:p>
            <w:pPr>
              <w:pStyle w:val="21"/>
              <w:bidi w:val="0"/>
              <w:rPr>
                <w:rFonts w:hint="default"/>
                <w:color w:val="auto"/>
                <w:lang w:val="en-US" w:eastAsia="zh-CN"/>
              </w:rPr>
            </w:pPr>
            <w:r>
              <w:rPr>
                <w:rFonts w:hint="default"/>
                <w:color w:val="auto"/>
                <w:lang w:val="en-US" w:eastAsia="zh-CN"/>
              </w:rPr>
              <w:t>20.81</w:t>
            </w:r>
          </w:p>
        </w:tc>
        <w:tc>
          <w:tcPr>
            <w:tcW w:w="897" w:type="pct"/>
            <w:vAlign w:val="center"/>
          </w:tcPr>
          <w:p>
            <w:pPr>
              <w:pStyle w:val="21"/>
              <w:bidi w:val="0"/>
              <w:rPr>
                <w:rFonts w:hint="default"/>
                <w:color w:val="auto"/>
                <w:lang w:val="en-US" w:eastAsia="zh-CN"/>
              </w:rPr>
            </w:pPr>
            <w:r>
              <w:rPr>
                <w:rFonts w:hint="default"/>
                <w:color w:val="auto"/>
                <w:lang w:val="en-US" w:eastAsia="zh-CN"/>
              </w:rPr>
              <w:t>1.65E+00</w:t>
            </w:r>
          </w:p>
        </w:tc>
        <w:tc>
          <w:tcPr>
            <w:tcW w:w="899" w:type="pct"/>
            <w:vAlign w:val="center"/>
          </w:tcPr>
          <w:p>
            <w:pPr>
              <w:pStyle w:val="21"/>
              <w:bidi w:val="0"/>
              <w:rPr>
                <w:rFonts w:hint="default"/>
                <w:color w:val="auto"/>
                <w:lang w:val="en-US" w:eastAsia="zh-CN"/>
              </w:rPr>
            </w:pPr>
            <w:r>
              <w:rPr>
                <w:rFonts w:hint="default"/>
                <w:color w:val="auto"/>
                <w:lang w:val="en-US" w:eastAsia="zh-CN"/>
              </w:rPr>
              <w:t>366.52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9" w:type="pct"/>
            <w:gridSpan w:val="2"/>
            <w:vAlign w:val="center"/>
          </w:tcPr>
          <w:p>
            <w:pPr>
              <w:pStyle w:val="21"/>
              <w:bidi w:val="0"/>
              <w:rPr>
                <w:color w:val="auto"/>
                <w:highlight w:val="none"/>
              </w:rPr>
            </w:pPr>
            <w:r>
              <w:rPr>
                <w:color w:val="auto"/>
                <w:highlight w:val="none"/>
              </w:rPr>
              <w:t>超标范围</w:t>
            </w:r>
          </w:p>
        </w:tc>
        <w:tc>
          <w:tcPr>
            <w:tcW w:w="1793" w:type="pct"/>
            <w:gridSpan w:val="2"/>
            <w:vAlign w:val="center"/>
          </w:tcPr>
          <w:p>
            <w:pPr>
              <w:pStyle w:val="21"/>
              <w:bidi w:val="0"/>
              <w:rPr>
                <w:color w:val="auto"/>
                <w:highlight w:val="none"/>
              </w:rPr>
            </w:pPr>
            <w:r>
              <w:rPr>
                <w:color w:val="auto"/>
                <w:highlight w:val="none"/>
              </w:rPr>
              <w:t>/</w:t>
            </w:r>
          </w:p>
        </w:tc>
        <w:tc>
          <w:tcPr>
            <w:tcW w:w="1796" w:type="pct"/>
            <w:gridSpan w:val="2"/>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64.1公顷</w:t>
            </w:r>
          </w:p>
        </w:tc>
      </w:tr>
    </w:tbl>
    <w:p>
      <w:pPr>
        <w:pStyle w:val="24"/>
        <w:numPr>
          <w:ilvl w:val="6"/>
          <w:numId w:val="3"/>
        </w:numPr>
        <w:tabs>
          <w:tab w:val="left" w:pos="420"/>
        </w:tabs>
        <w:bidi w:val="0"/>
        <w:rPr>
          <w:rFonts w:hint="default"/>
          <w:color w:val="auto"/>
          <w:highlight w:val="none"/>
          <w:lang w:val="en-US" w:eastAsia="zh-CN"/>
        </w:rPr>
      </w:pPr>
      <w:bookmarkStart w:id="560" w:name="_Ref12236"/>
      <w:r>
        <w:rPr>
          <w:rFonts w:hint="eastAsia"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8</w:t>
      </w:r>
      <w:r>
        <w:rPr>
          <w:rFonts w:hint="eastAsia" w:ascii="Times New Roman" w:hAnsi="Times New Roman" w:cs="Times New Roman"/>
          <w:color w:val="auto"/>
          <w:szCs w:val="20"/>
          <w:highlight w:val="none"/>
          <w:lang w:val="en-US" w:eastAsia="zh-CN"/>
        </w:rPr>
        <w:t>排气筒</w:t>
      </w:r>
      <w:r>
        <w:rPr>
          <w:rFonts w:hint="eastAsia" w:cs="Times New Roman"/>
          <w:color w:val="auto"/>
          <w:szCs w:val="20"/>
          <w:highlight w:val="none"/>
          <w:lang w:val="en-US" w:eastAsia="zh-CN"/>
        </w:rPr>
        <w:t>废气处理设施故障</w:t>
      </w:r>
      <w:r>
        <w:rPr>
          <w:rFonts w:hint="eastAsia" w:ascii="Times New Roman" w:hAnsi="Times New Roman" w:cs="Times New Roman"/>
          <w:color w:val="auto"/>
          <w:szCs w:val="20"/>
          <w:highlight w:val="none"/>
          <w:lang w:val="en-US" w:eastAsia="zh-CN"/>
        </w:rPr>
        <w:t>最大影响浓度情况</w:t>
      </w:r>
      <w:bookmarkEnd w:id="560"/>
    </w:p>
    <w:tbl>
      <w:tblPr>
        <w:tblStyle w:val="17"/>
        <w:tblW w:w="92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3255"/>
        <w:gridCol w:w="2453"/>
        <w:gridCol w:w="23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75" w:type="dxa"/>
            <w:vMerge w:val="restart"/>
            <w:vAlign w:val="center"/>
          </w:tcPr>
          <w:p>
            <w:pPr>
              <w:pStyle w:val="21"/>
              <w:bidi w:val="0"/>
              <w:rPr>
                <w:color w:val="auto"/>
                <w:highlight w:val="none"/>
              </w:rPr>
            </w:pPr>
            <w:r>
              <w:rPr>
                <w:color w:val="auto"/>
                <w:highlight w:val="none"/>
              </w:rPr>
              <w:t>序号</w:t>
            </w:r>
          </w:p>
        </w:tc>
        <w:tc>
          <w:tcPr>
            <w:tcW w:w="3255" w:type="dxa"/>
            <w:vMerge w:val="restart"/>
            <w:vAlign w:val="center"/>
          </w:tcPr>
          <w:p>
            <w:pPr>
              <w:pStyle w:val="21"/>
              <w:bidi w:val="0"/>
              <w:rPr>
                <w:color w:val="auto"/>
                <w:highlight w:val="none"/>
              </w:rPr>
            </w:pPr>
            <w:r>
              <w:rPr>
                <w:color w:val="auto"/>
                <w:highlight w:val="none"/>
              </w:rPr>
              <w:t>名称</w:t>
            </w:r>
          </w:p>
        </w:tc>
        <w:tc>
          <w:tcPr>
            <w:tcW w:w="4852" w:type="dxa"/>
            <w:gridSpan w:val="2"/>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75" w:type="dxa"/>
            <w:vMerge w:val="continue"/>
            <w:vAlign w:val="center"/>
          </w:tcPr>
          <w:p>
            <w:pPr>
              <w:pStyle w:val="21"/>
              <w:bidi w:val="0"/>
              <w:rPr>
                <w:color w:val="auto"/>
                <w:highlight w:val="none"/>
              </w:rPr>
            </w:pPr>
          </w:p>
        </w:tc>
        <w:tc>
          <w:tcPr>
            <w:tcW w:w="3255" w:type="dxa"/>
            <w:vMerge w:val="continue"/>
            <w:vAlign w:val="center"/>
          </w:tcPr>
          <w:p>
            <w:pPr>
              <w:pStyle w:val="21"/>
              <w:bidi w:val="0"/>
              <w:rPr>
                <w:color w:val="auto"/>
                <w:highlight w:val="none"/>
              </w:rPr>
            </w:pPr>
          </w:p>
        </w:tc>
        <w:tc>
          <w:tcPr>
            <w:tcW w:w="2453" w:type="dxa"/>
            <w:vAlign w:val="center"/>
          </w:tcPr>
          <w:p>
            <w:pPr>
              <w:pStyle w:val="21"/>
              <w:bidi w:val="0"/>
              <w:rPr>
                <w:color w:val="auto"/>
                <w:highlight w:val="none"/>
              </w:rPr>
            </w:pPr>
            <w:r>
              <w:rPr>
                <w:color w:val="auto"/>
                <w:highlight w:val="none"/>
              </w:rPr>
              <w:t>浓度(mg/m</w:t>
            </w:r>
            <w:r>
              <w:rPr>
                <w:color w:val="auto"/>
                <w:highlight w:val="none"/>
                <w:vertAlign w:val="superscript"/>
              </w:rPr>
              <w:t>3</w:t>
            </w:r>
            <w:r>
              <w:rPr>
                <w:color w:val="auto"/>
                <w:highlight w:val="none"/>
              </w:rPr>
              <w:t>)</w:t>
            </w:r>
          </w:p>
        </w:tc>
        <w:tc>
          <w:tcPr>
            <w:tcW w:w="2399" w:type="dxa"/>
            <w:vAlign w:val="center"/>
          </w:tcPr>
          <w:p>
            <w:pPr>
              <w:pStyle w:val="21"/>
              <w:bidi w:val="0"/>
              <w:rPr>
                <w:color w:val="auto"/>
                <w:highlight w:val="none"/>
              </w:rPr>
            </w:pPr>
            <w:r>
              <w:rPr>
                <w:color w:val="auto"/>
                <w:highlight w:val="none"/>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1</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一层村</w:t>
            </w:r>
          </w:p>
        </w:tc>
        <w:tc>
          <w:tcPr>
            <w:tcW w:w="2453" w:type="dxa"/>
            <w:vAlign w:val="center"/>
          </w:tcPr>
          <w:p>
            <w:pPr>
              <w:pStyle w:val="21"/>
              <w:bidi w:val="0"/>
              <w:rPr>
                <w:color w:val="auto"/>
              </w:rPr>
            </w:pPr>
            <w:r>
              <w:rPr>
                <w:rFonts w:hint="eastAsia"/>
                <w:color w:val="auto"/>
              </w:rPr>
              <w:t>2.07E-02</w:t>
            </w:r>
          </w:p>
        </w:tc>
        <w:tc>
          <w:tcPr>
            <w:tcW w:w="2399" w:type="dxa"/>
            <w:vAlign w:val="center"/>
          </w:tcPr>
          <w:p>
            <w:pPr>
              <w:pStyle w:val="21"/>
              <w:bidi w:val="0"/>
              <w:rPr>
                <w:color w:val="auto"/>
              </w:rPr>
            </w:pPr>
            <w:r>
              <w:rPr>
                <w:rFonts w:hint="eastAsia"/>
                <w:color w:val="auto"/>
              </w:rPr>
              <w:t>1.03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2</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塘古头</w:t>
            </w:r>
          </w:p>
        </w:tc>
        <w:tc>
          <w:tcPr>
            <w:tcW w:w="2453" w:type="dxa"/>
            <w:vAlign w:val="center"/>
          </w:tcPr>
          <w:p>
            <w:pPr>
              <w:pStyle w:val="21"/>
              <w:bidi w:val="0"/>
              <w:rPr>
                <w:color w:val="auto"/>
              </w:rPr>
            </w:pPr>
            <w:r>
              <w:rPr>
                <w:rFonts w:hint="eastAsia"/>
                <w:color w:val="auto"/>
              </w:rPr>
              <w:t>1.87E-02</w:t>
            </w:r>
          </w:p>
        </w:tc>
        <w:tc>
          <w:tcPr>
            <w:tcW w:w="2399" w:type="dxa"/>
            <w:vAlign w:val="center"/>
          </w:tcPr>
          <w:p>
            <w:pPr>
              <w:pStyle w:val="21"/>
              <w:bidi w:val="0"/>
              <w:rPr>
                <w:color w:val="auto"/>
              </w:rPr>
            </w:pPr>
            <w:r>
              <w:rPr>
                <w:rFonts w:hint="eastAsia"/>
                <w:color w:val="auto"/>
              </w:rPr>
              <w:t>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3</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前街村</w:t>
            </w:r>
          </w:p>
        </w:tc>
        <w:tc>
          <w:tcPr>
            <w:tcW w:w="2453" w:type="dxa"/>
            <w:vAlign w:val="center"/>
          </w:tcPr>
          <w:p>
            <w:pPr>
              <w:pStyle w:val="21"/>
              <w:bidi w:val="0"/>
              <w:rPr>
                <w:color w:val="auto"/>
              </w:rPr>
            </w:pPr>
            <w:r>
              <w:rPr>
                <w:rFonts w:hint="eastAsia"/>
                <w:color w:val="auto"/>
              </w:rPr>
              <w:t>3.07E-02</w:t>
            </w:r>
          </w:p>
        </w:tc>
        <w:tc>
          <w:tcPr>
            <w:tcW w:w="2399" w:type="dxa"/>
            <w:vAlign w:val="center"/>
          </w:tcPr>
          <w:p>
            <w:pPr>
              <w:pStyle w:val="21"/>
              <w:bidi w:val="0"/>
              <w:rPr>
                <w:color w:val="auto"/>
              </w:rPr>
            </w:pPr>
            <w:r>
              <w:rPr>
                <w:rFonts w:hint="eastAsia"/>
                <w:color w:val="auto"/>
              </w:rPr>
              <w:t>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4</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凤江新村</w:t>
            </w:r>
          </w:p>
        </w:tc>
        <w:tc>
          <w:tcPr>
            <w:tcW w:w="2453" w:type="dxa"/>
            <w:vAlign w:val="center"/>
          </w:tcPr>
          <w:p>
            <w:pPr>
              <w:pStyle w:val="21"/>
              <w:bidi w:val="0"/>
              <w:rPr>
                <w:color w:val="auto"/>
              </w:rPr>
            </w:pPr>
            <w:r>
              <w:rPr>
                <w:rFonts w:hint="eastAsia"/>
                <w:color w:val="auto"/>
              </w:rPr>
              <w:t>5.58E-02</w:t>
            </w:r>
          </w:p>
        </w:tc>
        <w:tc>
          <w:tcPr>
            <w:tcW w:w="2399" w:type="dxa"/>
            <w:vAlign w:val="center"/>
          </w:tcPr>
          <w:p>
            <w:pPr>
              <w:pStyle w:val="21"/>
              <w:bidi w:val="0"/>
              <w:rPr>
                <w:color w:val="auto"/>
              </w:rPr>
            </w:pPr>
            <w:r>
              <w:rPr>
                <w:rFonts w:hint="eastAsia"/>
                <w:color w:val="auto"/>
              </w:rPr>
              <w:t>2.79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5</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牙城镇</w:t>
            </w:r>
            <w:r>
              <w:rPr>
                <w:rFonts w:hint="eastAsia" w:cs="Times New Roman"/>
                <w:color w:val="auto"/>
                <w:highlight w:val="none"/>
                <w:lang w:val="en-US" w:eastAsia="zh-CN"/>
              </w:rPr>
              <w:t>中心</w:t>
            </w:r>
          </w:p>
        </w:tc>
        <w:tc>
          <w:tcPr>
            <w:tcW w:w="2453" w:type="dxa"/>
            <w:vAlign w:val="center"/>
          </w:tcPr>
          <w:p>
            <w:pPr>
              <w:pStyle w:val="21"/>
              <w:bidi w:val="0"/>
              <w:rPr>
                <w:color w:val="auto"/>
              </w:rPr>
            </w:pPr>
            <w:r>
              <w:rPr>
                <w:rFonts w:hint="eastAsia"/>
                <w:color w:val="auto"/>
              </w:rPr>
              <w:t>8.89E-03</w:t>
            </w:r>
          </w:p>
        </w:tc>
        <w:tc>
          <w:tcPr>
            <w:tcW w:w="2399" w:type="dxa"/>
            <w:vAlign w:val="center"/>
          </w:tcPr>
          <w:p>
            <w:pPr>
              <w:pStyle w:val="21"/>
              <w:bidi w:val="0"/>
              <w:rPr>
                <w:color w:val="auto"/>
              </w:rPr>
            </w:pPr>
            <w:r>
              <w:rPr>
                <w:rFonts w:hint="eastAsia"/>
                <w:color w:val="auto"/>
              </w:rPr>
              <w:t>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6</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西门村</w:t>
            </w:r>
          </w:p>
        </w:tc>
        <w:tc>
          <w:tcPr>
            <w:tcW w:w="2453" w:type="dxa"/>
            <w:vAlign w:val="center"/>
          </w:tcPr>
          <w:p>
            <w:pPr>
              <w:pStyle w:val="21"/>
              <w:bidi w:val="0"/>
              <w:rPr>
                <w:color w:val="auto"/>
              </w:rPr>
            </w:pPr>
            <w:r>
              <w:rPr>
                <w:rFonts w:hint="eastAsia"/>
                <w:color w:val="auto"/>
              </w:rPr>
              <w:t>9.12E-03</w:t>
            </w:r>
          </w:p>
        </w:tc>
        <w:tc>
          <w:tcPr>
            <w:tcW w:w="2399" w:type="dxa"/>
            <w:vAlign w:val="center"/>
          </w:tcPr>
          <w:p>
            <w:pPr>
              <w:pStyle w:val="21"/>
              <w:bidi w:val="0"/>
              <w:rPr>
                <w:color w:val="auto"/>
              </w:rPr>
            </w:pPr>
            <w:r>
              <w:rPr>
                <w:rFonts w:hint="eastAsia"/>
                <w:color w:val="auto"/>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7</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斗门村</w:t>
            </w:r>
          </w:p>
        </w:tc>
        <w:tc>
          <w:tcPr>
            <w:tcW w:w="2453" w:type="dxa"/>
            <w:vAlign w:val="center"/>
          </w:tcPr>
          <w:p>
            <w:pPr>
              <w:pStyle w:val="21"/>
              <w:bidi w:val="0"/>
              <w:rPr>
                <w:color w:val="auto"/>
              </w:rPr>
            </w:pPr>
            <w:r>
              <w:rPr>
                <w:rFonts w:hint="eastAsia"/>
                <w:color w:val="auto"/>
              </w:rPr>
              <w:t>1.27E-02</w:t>
            </w:r>
          </w:p>
        </w:tc>
        <w:tc>
          <w:tcPr>
            <w:tcW w:w="2399" w:type="dxa"/>
            <w:vAlign w:val="center"/>
          </w:tcPr>
          <w:p>
            <w:pPr>
              <w:pStyle w:val="21"/>
              <w:bidi w:val="0"/>
              <w:rPr>
                <w:color w:val="auto"/>
              </w:rPr>
            </w:pPr>
            <w:r>
              <w:rPr>
                <w:rFonts w:hint="eastAsia"/>
                <w:color w:val="auto"/>
              </w:rPr>
              <w:t>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color w:val="auto"/>
                <w:highlight w:val="none"/>
              </w:rPr>
            </w:pPr>
            <w:r>
              <w:rPr>
                <w:color w:val="auto"/>
                <w:highlight w:val="none"/>
              </w:rPr>
              <w:t>8</w:t>
            </w:r>
          </w:p>
        </w:tc>
        <w:tc>
          <w:tcPr>
            <w:tcW w:w="3255" w:type="dxa"/>
            <w:vAlign w:val="center"/>
          </w:tcPr>
          <w:p>
            <w:pPr>
              <w:pStyle w:val="2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福建闽客工贸有限公司</w:t>
            </w:r>
          </w:p>
        </w:tc>
        <w:tc>
          <w:tcPr>
            <w:tcW w:w="2453" w:type="dxa"/>
            <w:vAlign w:val="center"/>
          </w:tcPr>
          <w:p>
            <w:pPr>
              <w:pStyle w:val="21"/>
              <w:bidi w:val="0"/>
              <w:rPr>
                <w:color w:val="auto"/>
              </w:rPr>
            </w:pPr>
            <w:r>
              <w:rPr>
                <w:rFonts w:hint="eastAsia"/>
                <w:color w:val="auto"/>
              </w:rPr>
              <w:t>5.29E-02</w:t>
            </w:r>
          </w:p>
        </w:tc>
        <w:tc>
          <w:tcPr>
            <w:tcW w:w="2399" w:type="dxa"/>
            <w:vAlign w:val="center"/>
          </w:tcPr>
          <w:p>
            <w:pPr>
              <w:pStyle w:val="21"/>
              <w:bidi w:val="0"/>
              <w:rPr>
                <w:rFonts w:hint="default"/>
                <w:color w:val="auto"/>
                <w:lang w:val="en-US" w:eastAsia="zh-CN"/>
              </w:rPr>
            </w:pPr>
            <w:r>
              <w:rPr>
                <w:rFonts w:hint="eastAsia"/>
                <w:color w:val="auto"/>
              </w:rPr>
              <w:t>2.65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rFonts w:hint="eastAsia" w:eastAsia="宋体"/>
                <w:color w:val="auto"/>
                <w:highlight w:val="none"/>
                <w:lang w:val="en-US" w:eastAsia="zh-CN"/>
              </w:rPr>
            </w:pPr>
            <w:r>
              <w:rPr>
                <w:rFonts w:hint="eastAsia"/>
                <w:color w:val="auto"/>
                <w:highlight w:val="none"/>
                <w:lang w:val="en-US" w:eastAsia="zh-CN"/>
              </w:rPr>
              <w:t>9</w:t>
            </w:r>
          </w:p>
        </w:tc>
        <w:tc>
          <w:tcPr>
            <w:tcW w:w="3255"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小洋</w:t>
            </w:r>
          </w:p>
        </w:tc>
        <w:tc>
          <w:tcPr>
            <w:tcW w:w="2453" w:type="dxa"/>
            <w:vAlign w:val="center"/>
          </w:tcPr>
          <w:p>
            <w:pPr>
              <w:pStyle w:val="21"/>
              <w:bidi w:val="0"/>
              <w:rPr>
                <w:rFonts w:hint="eastAsia"/>
                <w:color w:val="auto"/>
              </w:rPr>
            </w:pPr>
            <w:r>
              <w:rPr>
                <w:rFonts w:hint="eastAsia"/>
                <w:color w:val="auto"/>
              </w:rPr>
              <w:t>7.42E-03</w:t>
            </w:r>
          </w:p>
        </w:tc>
        <w:tc>
          <w:tcPr>
            <w:tcW w:w="2399" w:type="dxa"/>
            <w:vAlign w:val="center"/>
          </w:tcPr>
          <w:p>
            <w:pPr>
              <w:pStyle w:val="21"/>
              <w:bidi w:val="0"/>
              <w:rPr>
                <w:rFonts w:hint="default"/>
                <w:color w:val="auto"/>
                <w:lang w:val="en-US" w:eastAsia="zh-CN"/>
              </w:rPr>
            </w:pPr>
            <w:r>
              <w:rPr>
                <w:rFonts w:hint="eastAsia"/>
                <w:color w:val="auto"/>
              </w:rPr>
              <w:t>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10</w:t>
            </w:r>
          </w:p>
        </w:tc>
        <w:tc>
          <w:tcPr>
            <w:tcW w:w="3255"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竹栏头</w:t>
            </w:r>
          </w:p>
        </w:tc>
        <w:tc>
          <w:tcPr>
            <w:tcW w:w="2453" w:type="dxa"/>
            <w:vAlign w:val="center"/>
          </w:tcPr>
          <w:p>
            <w:pPr>
              <w:pStyle w:val="21"/>
              <w:bidi w:val="0"/>
              <w:rPr>
                <w:rFonts w:hint="eastAsia"/>
                <w:color w:val="auto"/>
              </w:rPr>
            </w:pPr>
            <w:r>
              <w:rPr>
                <w:rFonts w:hint="eastAsia"/>
                <w:color w:val="auto"/>
              </w:rPr>
              <w:t>9.19E-03</w:t>
            </w:r>
          </w:p>
        </w:tc>
        <w:tc>
          <w:tcPr>
            <w:tcW w:w="2399" w:type="dxa"/>
            <w:vAlign w:val="center"/>
          </w:tcPr>
          <w:p>
            <w:pPr>
              <w:pStyle w:val="21"/>
              <w:bidi w:val="0"/>
              <w:rPr>
                <w:rFonts w:hint="default"/>
                <w:color w:val="auto"/>
                <w:lang w:val="en-US" w:eastAsia="zh-CN"/>
              </w:rPr>
            </w:pPr>
            <w:r>
              <w:rPr>
                <w:rFonts w:hint="eastAsia"/>
                <w:color w:val="auto"/>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11</w:t>
            </w:r>
          </w:p>
        </w:tc>
        <w:tc>
          <w:tcPr>
            <w:tcW w:w="3255"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东岭头</w:t>
            </w:r>
          </w:p>
        </w:tc>
        <w:tc>
          <w:tcPr>
            <w:tcW w:w="2453" w:type="dxa"/>
            <w:vAlign w:val="center"/>
          </w:tcPr>
          <w:p>
            <w:pPr>
              <w:pStyle w:val="21"/>
              <w:bidi w:val="0"/>
              <w:rPr>
                <w:rFonts w:hint="eastAsia"/>
                <w:color w:val="auto"/>
              </w:rPr>
            </w:pPr>
            <w:r>
              <w:rPr>
                <w:rFonts w:hint="eastAsia"/>
                <w:color w:val="auto"/>
              </w:rPr>
              <w:t>5.66E-03</w:t>
            </w:r>
          </w:p>
        </w:tc>
        <w:tc>
          <w:tcPr>
            <w:tcW w:w="2399" w:type="dxa"/>
            <w:vAlign w:val="center"/>
          </w:tcPr>
          <w:p>
            <w:pPr>
              <w:pStyle w:val="21"/>
              <w:bidi w:val="0"/>
              <w:rPr>
                <w:rFonts w:hint="default"/>
                <w:color w:val="auto"/>
                <w:lang w:val="en-US" w:eastAsia="zh-CN"/>
              </w:rPr>
            </w:pPr>
            <w:r>
              <w:rPr>
                <w:rFonts w:hint="eastAsia"/>
                <w:color w:val="auto"/>
              </w:rPr>
              <w:t>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12</w:t>
            </w:r>
          </w:p>
        </w:tc>
        <w:tc>
          <w:tcPr>
            <w:tcW w:w="3255"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秦家洋</w:t>
            </w:r>
          </w:p>
        </w:tc>
        <w:tc>
          <w:tcPr>
            <w:tcW w:w="2453" w:type="dxa"/>
            <w:vAlign w:val="center"/>
          </w:tcPr>
          <w:p>
            <w:pPr>
              <w:pStyle w:val="21"/>
              <w:bidi w:val="0"/>
              <w:rPr>
                <w:rFonts w:hint="eastAsia"/>
                <w:color w:val="auto"/>
              </w:rPr>
            </w:pPr>
            <w:r>
              <w:rPr>
                <w:rFonts w:hint="eastAsia"/>
                <w:color w:val="auto"/>
              </w:rPr>
              <w:t>1.42E-03</w:t>
            </w:r>
          </w:p>
        </w:tc>
        <w:tc>
          <w:tcPr>
            <w:tcW w:w="2399" w:type="dxa"/>
            <w:vAlign w:val="center"/>
          </w:tcPr>
          <w:p>
            <w:pPr>
              <w:pStyle w:val="21"/>
              <w:bidi w:val="0"/>
              <w:rPr>
                <w:rFonts w:hint="default"/>
                <w:color w:val="auto"/>
                <w:lang w:val="en-US" w:eastAsia="zh-CN"/>
              </w:rPr>
            </w:pPr>
            <w:r>
              <w:rPr>
                <w:rFonts w:hint="eastAsia"/>
                <w:color w:val="auto"/>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13</w:t>
            </w:r>
          </w:p>
        </w:tc>
        <w:tc>
          <w:tcPr>
            <w:tcW w:w="3255"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s="Times New Roman"/>
                <w:color w:val="auto"/>
                <w:highlight w:val="none"/>
                <w:lang w:val="en-US" w:eastAsia="zh-CN"/>
              </w:rPr>
              <w:t>山后</w:t>
            </w:r>
          </w:p>
        </w:tc>
        <w:tc>
          <w:tcPr>
            <w:tcW w:w="2453" w:type="dxa"/>
            <w:vAlign w:val="center"/>
          </w:tcPr>
          <w:p>
            <w:pPr>
              <w:pStyle w:val="21"/>
              <w:bidi w:val="0"/>
              <w:rPr>
                <w:rFonts w:hint="eastAsia"/>
                <w:color w:val="auto"/>
              </w:rPr>
            </w:pPr>
            <w:r>
              <w:rPr>
                <w:rFonts w:hint="eastAsia"/>
                <w:color w:val="auto"/>
              </w:rPr>
              <w:t>3.49E-03</w:t>
            </w:r>
          </w:p>
        </w:tc>
        <w:tc>
          <w:tcPr>
            <w:tcW w:w="2399" w:type="dxa"/>
            <w:vAlign w:val="center"/>
          </w:tcPr>
          <w:p>
            <w:pPr>
              <w:pStyle w:val="21"/>
              <w:bidi w:val="0"/>
              <w:rPr>
                <w:rFonts w:hint="default"/>
                <w:color w:val="auto"/>
                <w:lang w:val="en-US" w:eastAsia="zh-CN"/>
              </w:rPr>
            </w:pPr>
            <w:r>
              <w:rPr>
                <w:rFonts w:hint="eastAsia"/>
                <w:color w:val="auto"/>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14</w:t>
            </w:r>
          </w:p>
        </w:tc>
        <w:tc>
          <w:tcPr>
            <w:tcW w:w="3255" w:type="dxa"/>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网格</w:t>
            </w:r>
          </w:p>
        </w:tc>
        <w:tc>
          <w:tcPr>
            <w:tcW w:w="2453" w:type="dxa"/>
            <w:vAlign w:val="center"/>
          </w:tcPr>
          <w:p>
            <w:pPr>
              <w:pStyle w:val="21"/>
              <w:bidi w:val="0"/>
              <w:rPr>
                <w:rFonts w:hint="eastAsia"/>
                <w:color w:val="auto"/>
              </w:rPr>
            </w:pPr>
            <w:r>
              <w:rPr>
                <w:rFonts w:hint="eastAsia"/>
                <w:color w:val="auto"/>
              </w:rPr>
              <w:t>7.21E-01</w:t>
            </w:r>
          </w:p>
        </w:tc>
        <w:tc>
          <w:tcPr>
            <w:tcW w:w="2399" w:type="dxa"/>
            <w:vAlign w:val="center"/>
          </w:tcPr>
          <w:p>
            <w:pPr>
              <w:pStyle w:val="21"/>
              <w:bidi w:val="0"/>
              <w:rPr>
                <w:rFonts w:hint="default"/>
                <w:color w:val="auto"/>
                <w:lang w:val="en-US" w:eastAsia="zh-CN"/>
              </w:rPr>
            </w:pPr>
            <w:r>
              <w:rPr>
                <w:rFonts w:hint="eastAsia"/>
                <w:color w:val="auto"/>
              </w:rPr>
              <w:t>36.07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0" w:type="dxa"/>
            <w:gridSpan w:val="2"/>
            <w:vAlign w:val="center"/>
          </w:tcPr>
          <w:p>
            <w:pPr>
              <w:pStyle w:val="21"/>
              <w:bidi w:val="0"/>
              <w:rPr>
                <w:color w:val="auto"/>
                <w:highlight w:val="none"/>
              </w:rPr>
            </w:pPr>
            <w:r>
              <w:rPr>
                <w:color w:val="auto"/>
                <w:highlight w:val="none"/>
              </w:rPr>
              <w:t>超标范围</w:t>
            </w:r>
          </w:p>
        </w:tc>
        <w:tc>
          <w:tcPr>
            <w:tcW w:w="4852" w:type="dxa"/>
            <w:gridSpan w:val="2"/>
            <w:vAlign w:val="center"/>
          </w:tcPr>
          <w:p>
            <w:pPr>
              <w:pStyle w:val="21"/>
              <w:bidi w:val="0"/>
              <w:rPr>
                <w:color w:val="auto"/>
                <w:highlight w:val="none"/>
              </w:rPr>
            </w:pPr>
            <w:r>
              <w:rPr>
                <w:color w:val="auto"/>
                <w:highlight w:val="none"/>
              </w:rPr>
              <w:t>/</w:t>
            </w:r>
          </w:p>
        </w:tc>
      </w:tr>
    </w:tbl>
    <w:p>
      <w:pPr>
        <w:rPr>
          <w:rFonts w:hint="eastAsia"/>
          <w:color w:val="auto"/>
          <w:highlight w:val="none"/>
          <w:lang w:val="en-US" w:eastAsia="zh-CN"/>
        </w:rPr>
      </w:pPr>
      <w:r>
        <w:rPr>
          <w:rFonts w:hint="eastAsia"/>
          <w:color w:val="auto"/>
          <w:highlight w:val="none"/>
          <w:lang w:val="en-US" w:eastAsia="zh-CN"/>
        </w:rPr>
        <w:t>由</w:t>
      </w:r>
      <w:r>
        <w:rPr>
          <w:rFonts w:hint="eastAsia"/>
          <w:color w:val="auto"/>
          <w:highlight w:val="none"/>
          <w:lang w:val="en-US" w:eastAsia="zh-CN"/>
        </w:rPr>
        <w:fldChar w:fldCharType="begin"/>
      </w:r>
      <w:r>
        <w:rPr>
          <w:rFonts w:hint="eastAsia"/>
          <w:color w:val="auto"/>
          <w:highlight w:val="none"/>
          <w:lang w:val="en-US" w:eastAsia="zh-CN"/>
        </w:rPr>
        <w:instrText xml:space="preserve"> REF _Ref13224 \n \h </w:instrText>
      </w:r>
      <w:r>
        <w:rPr>
          <w:rFonts w:hint="eastAsia"/>
          <w:color w:val="auto"/>
          <w:highlight w:val="none"/>
          <w:lang w:val="en-US" w:eastAsia="zh-CN"/>
        </w:rPr>
        <w:fldChar w:fldCharType="separate"/>
      </w:r>
      <w:r>
        <w:rPr>
          <w:rFonts w:hint="eastAsia"/>
          <w:color w:val="auto"/>
          <w:highlight w:val="none"/>
          <w:lang w:val="en-US" w:eastAsia="zh-CN"/>
        </w:rPr>
        <w:t>表5.2-39</w:t>
      </w:r>
      <w:r>
        <w:rPr>
          <w:rFonts w:hint="eastAsia"/>
          <w:color w:val="auto"/>
          <w:highlight w:val="none"/>
          <w:lang w:val="en-US" w:eastAsia="zh-CN"/>
        </w:rPr>
        <w:fldChar w:fldCharType="end"/>
      </w:r>
      <w:r>
        <w:rPr>
          <w:rFonts w:hint="eastAsia"/>
          <w:color w:val="auto"/>
          <w:highlight w:val="none"/>
          <w:lang w:val="en-US" w:eastAsia="zh-CN"/>
        </w:rPr>
        <w:t>~</w:t>
      </w:r>
      <w:r>
        <w:rPr>
          <w:rFonts w:hint="eastAsia"/>
          <w:color w:val="auto"/>
          <w:highlight w:val="none"/>
          <w:lang w:val="en-US" w:eastAsia="zh-CN"/>
        </w:rPr>
        <w:fldChar w:fldCharType="begin"/>
      </w:r>
      <w:r>
        <w:rPr>
          <w:rFonts w:hint="eastAsia"/>
          <w:color w:val="auto"/>
          <w:highlight w:val="none"/>
          <w:lang w:val="en-US" w:eastAsia="zh-CN"/>
        </w:rPr>
        <w:instrText xml:space="preserve"> REF _Ref12236 \n \h </w:instrText>
      </w:r>
      <w:r>
        <w:rPr>
          <w:rFonts w:hint="eastAsia"/>
          <w:color w:val="auto"/>
          <w:highlight w:val="none"/>
          <w:lang w:val="en-US" w:eastAsia="zh-CN"/>
        </w:rPr>
        <w:fldChar w:fldCharType="separate"/>
      </w:r>
      <w:r>
        <w:rPr>
          <w:rFonts w:hint="eastAsia"/>
          <w:color w:val="auto"/>
          <w:highlight w:val="none"/>
          <w:lang w:val="en-US" w:eastAsia="zh-CN"/>
        </w:rPr>
        <w:t>表5.2-40</w:t>
      </w:r>
      <w:r>
        <w:rPr>
          <w:rFonts w:hint="eastAsia"/>
          <w:color w:val="auto"/>
          <w:highlight w:val="none"/>
          <w:lang w:val="en-US" w:eastAsia="zh-CN"/>
        </w:rPr>
        <w:fldChar w:fldCharType="end"/>
      </w:r>
      <w:r>
        <w:rPr>
          <w:rFonts w:hint="eastAsia"/>
          <w:color w:val="auto"/>
          <w:highlight w:val="none"/>
          <w:lang w:val="en-US" w:eastAsia="zh-CN"/>
        </w:rPr>
        <w:t>可见，废气治理设施出现故障，污染物未经废气治理设施处理后排放，对周边大气环境会产生一定影响，主要影响是周边村庄的落地浓度有略有增加，但未造成敏感目标的影响浓度超标；网格点颗粒物最大占标率达366.52%，超标范围达64.1公顷，影响范围较广。因此，企业应加强对污染防治设施日常管理，确保各废气治理设施正常运行，杜绝非正常排放和事故排放。</w:t>
      </w:r>
    </w:p>
    <w:p>
      <w:pPr>
        <w:rPr>
          <w:rFonts w:hint="default"/>
          <w:color w:val="auto"/>
          <w:highlight w:val="none"/>
          <w:lang w:val="en-US" w:eastAsia="zh-CN"/>
        </w:rPr>
      </w:pPr>
      <w:r>
        <w:rPr>
          <w:rFonts w:hint="eastAsia"/>
          <w:color w:val="auto"/>
          <w:highlight w:val="none"/>
          <w:lang w:val="en-US" w:eastAsia="zh-CN"/>
        </w:rPr>
        <w:t>（4）</w:t>
      </w:r>
      <w:r>
        <w:rPr>
          <w:rFonts w:hint="default" w:ascii="Times New Roman" w:hAnsi="Times New Roman" w:cs="Times New Roman"/>
          <w:color w:val="auto"/>
          <w:szCs w:val="22"/>
          <w:highlight w:val="none"/>
          <w:u w:val="none" w:color="auto"/>
          <w:lang w:val="en-US" w:eastAsia="zh-CN"/>
        </w:rPr>
        <w:t>项目正常排放时废气污染物厂界最大浓度贡献值预测结果</w:t>
      </w:r>
    </w:p>
    <w:p>
      <w:pPr>
        <w:rPr>
          <w:rFonts w:hint="default" w:ascii="Times New Roman" w:hAnsi="Times New Roman" w:eastAsia="宋体" w:cs="Times New Roman"/>
          <w:color w:val="auto"/>
          <w:szCs w:val="22"/>
          <w:highlight w:val="none"/>
          <w:u w:val="none" w:color="auto"/>
          <w:lang w:val="en-US" w:eastAsia="zh-CN"/>
        </w:rPr>
      </w:pPr>
      <w:r>
        <w:rPr>
          <w:rFonts w:hint="default" w:ascii="Times New Roman" w:hAnsi="Times New Roman" w:eastAsia="宋体" w:cs="Times New Roman"/>
          <w:color w:val="auto"/>
          <w:szCs w:val="22"/>
          <w:highlight w:val="none"/>
          <w:u w:val="none" w:color="auto"/>
          <w:lang w:val="en-US" w:eastAsia="zh-CN"/>
        </w:rPr>
        <w:t>本项目废气正常排放条件下，项目厂界各污染物最大落地浓度及其占标率预测结果见</w:t>
      </w:r>
      <w:r>
        <w:rPr>
          <w:rFonts w:hint="default" w:ascii="Times New Roman" w:hAnsi="Times New Roman" w:eastAsia="宋体" w:cs="Times New Roman"/>
          <w:color w:val="auto"/>
          <w:szCs w:val="22"/>
          <w:highlight w:val="none"/>
          <w:u w:val="none" w:color="auto"/>
          <w:lang w:val="en-US" w:eastAsia="zh-CN"/>
        </w:rPr>
        <w:fldChar w:fldCharType="begin"/>
      </w:r>
      <w:r>
        <w:rPr>
          <w:rFonts w:hint="default" w:ascii="Times New Roman" w:hAnsi="Times New Roman" w:eastAsia="宋体" w:cs="Times New Roman"/>
          <w:color w:val="auto"/>
          <w:szCs w:val="22"/>
          <w:highlight w:val="none"/>
          <w:u w:val="none" w:color="auto"/>
          <w:lang w:val="en-US" w:eastAsia="zh-CN"/>
        </w:rPr>
        <w:instrText xml:space="preserve"> REF _Ref14563 \n \h </w:instrText>
      </w:r>
      <w:r>
        <w:rPr>
          <w:rFonts w:hint="default" w:ascii="Times New Roman" w:hAnsi="Times New Roman" w:eastAsia="宋体" w:cs="Times New Roman"/>
          <w:color w:val="auto"/>
          <w:szCs w:val="22"/>
          <w:highlight w:val="none"/>
          <w:u w:val="none" w:color="auto"/>
          <w:lang w:val="en-US" w:eastAsia="zh-CN"/>
        </w:rPr>
        <w:fldChar w:fldCharType="separate"/>
      </w:r>
      <w:r>
        <w:rPr>
          <w:rFonts w:hint="default" w:ascii="Times New Roman" w:hAnsi="Times New Roman" w:eastAsia="宋体" w:cs="Times New Roman"/>
          <w:color w:val="auto"/>
          <w:szCs w:val="22"/>
          <w:highlight w:val="none"/>
          <w:u w:val="none" w:color="auto"/>
          <w:lang w:val="en-US" w:eastAsia="zh-CN"/>
        </w:rPr>
        <w:t>表5.2-41</w:t>
      </w:r>
      <w:r>
        <w:rPr>
          <w:rFonts w:hint="default" w:ascii="Times New Roman" w:hAnsi="Times New Roman" w:eastAsia="宋体" w:cs="Times New Roman"/>
          <w:color w:val="auto"/>
          <w:szCs w:val="22"/>
          <w:highlight w:val="none"/>
          <w:u w:val="none" w:color="auto"/>
          <w:lang w:val="en-US" w:eastAsia="zh-CN"/>
        </w:rPr>
        <w:fldChar w:fldCharType="end"/>
      </w:r>
      <w:r>
        <w:rPr>
          <w:rFonts w:hint="eastAsia" w:ascii="Times New Roman" w:hAnsi="Times New Roman" w:eastAsia="宋体" w:cs="Times New Roman"/>
          <w:color w:val="auto"/>
          <w:szCs w:val="22"/>
          <w:highlight w:val="none"/>
          <w:u w:val="none" w:color="auto"/>
          <w:lang w:val="en-US" w:eastAsia="zh-CN"/>
        </w:rPr>
        <w:t>。</w:t>
      </w:r>
    </w:p>
    <w:p>
      <w:pPr>
        <w:rPr>
          <w:rFonts w:hint="eastAsia" w:cs="Times New Roman"/>
          <w:color w:val="auto"/>
          <w:szCs w:val="22"/>
          <w:highlight w:val="none"/>
          <w:u w:val="none" w:color="auto"/>
          <w:lang w:val="en-US" w:eastAsia="zh-CN"/>
        </w:rPr>
      </w:pPr>
      <w:r>
        <w:rPr>
          <w:rFonts w:hint="default" w:ascii="Times New Roman" w:hAnsi="Times New Roman" w:eastAsia="宋体" w:cs="Times New Roman"/>
          <w:color w:val="auto"/>
          <w:szCs w:val="22"/>
          <w:highlight w:val="none"/>
          <w:u w:val="none" w:color="auto"/>
          <w:lang w:val="en-US" w:eastAsia="zh-CN"/>
        </w:rPr>
        <w:t>根据项目厂界线1小时贡献质量浓度预测结果，本项目厂界最大浓度可实现达标排放，同时也满足环境质量标准。本项目各大气特征因子对厂界环境影响不大</w:t>
      </w:r>
      <w:r>
        <w:rPr>
          <w:rFonts w:hint="eastAsia" w:cs="Times New Roman"/>
          <w:color w:val="auto"/>
          <w:szCs w:val="22"/>
          <w:highlight w:val="none"/>
          <w:u w:val="none" w:color="auto"/>
          <w:lang w:val="en-US" w:eastAsia="zh-CN"/>
        </w:rPr>
        <w:t>。</w:t>
      </w:r>
    </w:p>
    <w:p>
      <w:pPr>
        <w:pStyle w:val="24"/>
        <w:numPr>
          <w:ilvl w:val="6"/>
          <w:numId w:val="3"/>
        </w:numPr>
        <w:tabs>
          <w:tab w:val="left" w:pos="420"/>
        </w:tabs>
        <w:bidi w:val="0"/>
        <w:rPr>
          <w:rFonts w:hint="default"/>
          <w:color w:val="auto"/>
          <w:highlight w:val="none"/>
          <w:lang w:val="en-US" w:eastAsia="zh-CN"/>
        </w:rPr>
      </w:pPr>
      <w:bookmarkStart w:id="561" w:name="_Ref14563"/>
      <w:r>
        <w:rPr>
          <w:rFonts w:hint="eastAsia"/>
          <w:color w:val="auto"/>
          <w:highlight w:val="none"/>
          <w:lang w:val="en-US" w:eastAsia="zh-CN"/>
        </w:rPr>
        <w:t>厂界小时最大贡献质量浓度预测结果</w:t>
      </w:r>
      <w:bookmarkEnd w:id="561"/>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5"/>
        <w:gridCol w:w="1753"/>
        <w:gridCol w:w="1753"/>
        <w:gridCol w:w="1753"/>
        <w:gridCol w:w="17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2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污染物</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非甲烷总烃</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颗粒物</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氨</w:t>
            </w:r>
          </w:p>
        </w:tc>
        <w:tc>
          <w:tcPr>
            <w:tcW w:w="17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硫化氢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厂界浓度限值（mg/m</w:t>
            </w:r>
            <w:r>
              <w:rPr>
                <w:rFonts w:hint="eastAsia"/>
                <w:color w:val="auto"/>
                <w:szCs w:val="20"/>
                <w:highlight w:val="none"/>
                <w:vertAlign w:val="superscript"/>
                <w:lang w:val="en-US" w:eastAsia="zh-CN"/>
              </w:rPr>
              <w:t>3</w:t>
            </w:r>
            <w:r>
              <w:rPr>
                <w:rFonts w:hint="eastAsia"/>
                <w:color w:val="auto"/>
                <w:szCs w:val="20"/>
                <w:highlight w:val="none"/>
                <w:lang w:val="en-US" w:eastAsia="zh-CN"/>
              </w:rPr>
              <w:t>）</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4.0</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1.0</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1.5</w:t>
            </w:r>
          </w:p>
        </w:tc>
        <w:tc>
          <w:tcPr>
            <w:tcW w:w="17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预测最大浓度（mg/m</w:t>
            </w:r>
            <w:r>
              <w:rPr>
                <w:rFonts w:hint="eastAsia"/>
                <w:color w:val="auto"/>
                <w:szCs w:val="20"/>
                <w:highlight w:val="none"/>
                <w:vertAlign w:val="superscript"/>
                <w:lang w:val="en-US" w:eastAsia="zh-CN"/>
              </w:rPr>
              <w:t>3</w:t>
            </w:r>
            <w:r>
              <w:rPr>
                <w:rFonts w:hint="eastAsia"/>
                <w:color w:val="auto"/>
                <w:szCs w:val="20"/>
                <w:highlight w:val="none"/>
                <w:lang w:val="en-US" w:eastAsia="zh-CN"/>
              </w:rPr>
              <w:t>）</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0.111</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0.134</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0.0010</w:t>
            </w:r>
          </w:p>
        </w:tc>
        <w:tc>
          <w:tcPr>
            <w:tcW w:w="17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厂界达标排放情况</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达标</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达标</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达标</w:t>
            </w:r>
          </w:p>
        </w:tc>
        <w:tc>
          <w:tcPr>
            <w:tcW w:w="17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占标率（%）</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2.78</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13.40</w:t>
            </w:r>
          </w:p>
        </w:tc>
        <w:tc>
          <w:tcPr>
            <w:tcW w:w="17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0.07</w:t>
            </w:r>
          </w:p>
        </w:tc>
        <w:tc>
          <w:tcPr>
            <w:tcW w:w="175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0.07</w:t>
            </w:r>
          </w:p>
        </w:tc>
      </w:tr>
    </w:tbl>
    <w:p>
      <w:pPr>
        <w:bidi w:val="0"/>
        <w:rPr>
          <w:rFonts w:hint="default"/>
          <w:color w:val="auto"/>
          <w:lang w:val="en-US" w:eastAsia="zh-CN"/>
        </w:rPr>
      </w:pPr>
      <w:r>
        <w:rPr>
          <w:rFonts w:hint="eastAsia"/>
          <w:color w:val="auto"/>
          <w:lang w:val="en-US" w:eastAsia="zh-CN"/>
        </w:rPr>
        <w:t>（5）项目废气排放对敏感目标的影响分析</w:t>
      </w:r>
    </w:p>
    <w:p>
      <w:pPr>
        <w:bidi w:val="0"/>
        <w:rPr>
          <w:rFonts w:hint="default"/>
          <w:color w:val="auto"/>
          <w:lang w:val="en-US" w:eastAsia="zh-CN"/>
        </w:rPr>
      </w:pPr>
      <w:r>
        <w:rPr>
          <w:rFonts w:hint="eastAsia"/>
          <w:color w:val="auto"/>
          <w:lang w:val="en-US" w:eastAsia="zh-CN"/>
        </w:rPr>
        <w:t>本项目运营期排放的污染物主要有</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非甲烷总烃、氨、硫化氢</w:t>
      </w:r>
      <w:r>
        <w:rPr>
          <w:rFonts w:hint="eastAsia" w:cs="Times New Roman"/>
          <w:color w:val="auto"/>
          <w:highlight w:val="none"/>
          <w:lang w:val="en-US" w:eastAsia="zh-CN"/>
        </w:rPr>
        <w:t>，并可能伴随有少量的恶臭，距离本项目最近的敏感目标为一层村（相对厂界距离：南侧35 m）。</w:t>
      </w:r>
      <w:r>
        <w:rPr>
          <w:rFonts w:hint="default" w:ascii="Times New Roman" w:hAnsi="Times New Roman" w:cs="Times New Roman"/>
          <w:color w:val="auto"/>
          <w:highlight w:val="none"/>
          <w:lang w:val="en-US" w:eastAsia="zh-CN"/>
        </w:rPr>
        <w:t>一层村相对于本项目位于常年主导风向侧风向</w:t>
      </w:r>
      <w:r>
        <w:rPr>
          <w:rFonts w:hint="eastAsia" w:cs="Times New Roman"/>
          <w:color w:val="auto"/>
          <w:highlight w:val="none"/>
          <w:lang w:val="en-US" w:eastAsia="zh-CN"/>
        </w:rPr>
        <w:t>，根据前文预测结果，本项目正常情况下运营期对周边敏感目标的影响是可接受的，但考虑到项目离一层村较近，因此，本评价要求建设单位主要产污设施应布置在厂区北侧，生产车间应尽可能密闭，减少无组织废气排放，保证废气处理设施的收集效率，杜绝事故排放，并定期对周边敏感目标开展自行监测，对环境信息进行公开，一旦发现污染物监测浓度增大，应进行自身排查，必要时可加密进行监测，确保对一层村的影响降到最低。故建设单位在做好上述措施后，对周边环境影响较小</w:t>
      </w:r>
      <w:r>
        <w:rPr>
          <w:rFonts w:hint="default" w:ascii="Times New Roman" w:hAnsi="Times New Roman" w:cs="Times New Roman"/>
          <w:color w:val="auto"/>
          <w:highlight w:val="none"/>
          <w:lang w:val="en-US" w:eastAsia="zh-CN"/>
        </w:rPr>
        <w:t>。</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环境防护距离</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（1）大气环境防护距离</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 大气环境》(HJ2.2-2018)中8.7.5.1，“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本评价根据HJ 2.2-2018推荐的EIAProA-2018版中的AERMOD进一步预测结果，各污染物厂界线外部没有超标点，无需设</w:t>
      </w:r>
      <w:r>
        <w:rPr>
          <w:rFonts w:hint="eastAsia" w:cs="Times New Roman"/>
          <w:color w:val="auto"/>
          <w:highlight w:val="none"/>
          <w:lang w:val="en-US" w:eastAsia="zh-CN"/>
        </w:rPr>
        <w:t>大气</w:t>
      </w:r>
      <w:r>
        <w:rPr>
          <w:rFonts w:hint="default" w:ascii="Times New Roman" w:hAnsi="Times New Roman" w:cs="Times New Roman"/>
          <w:color w:val="auto"/>
          <w:highlight w:val="none"/>
          <w:lang w:val="en-US" w:eastAsia="zh-CN"/>
        </w:rPr>
        <w:t>环境防护</w:t>
      </w:r>
      <w:r>
        <w:rPr>
          <w:rFonts w:hint="eastAsia" w:cs="Times New Roman"/>
          <w:color w:val="auto"/>
          <w:highlight w:val="none"/>
          <w:lang w:val="en-US" w:eastAsia="zh-CN"/>
        </w:rPr>
        <w:t>区域</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（2）卫生防护距离</w:t>
      </w:r>
    </w:p>
    <w:p>
      <w:pPr>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w:t>
      </w:r>
      <w:r>
        <w:rPr>
          <w:rFonts w:hint="default" w:ascii="Times New Roman" w:hAnsi="Times New Roman" w:cs="Times New Roman"/>
          <w:color w:val="auto"/>
          <w:highlight w:val="none"/>
          <w:lang w:val="en-US" w:eastAsia="zh-CN"/>
        </w:rPr>
        <w:t>卫生</w:t>
      </w:r>
      <w:r>
        <w:rPr>
          <w:rFonts w:hint="default" w:ascii="Times New Roman" w:hAnsi="Times New Roman" w:cs="Times New Roman"/>
          <w:color w:val="auto"/>
          <w:highlight w:val="none"/>
        </w:rPr>
        <w:t>防护距离</w:t>
      </w:r>
      <w:r>
        <w:rPr>
          <w:rFonts w:hint="default" w:ascii="Times New Roman" w:hAnsi="Times New Roman" w:cs="Times New Roman"/>
          <w:color w:val="auto"/>
          <w:highlight w:val="none"/>
          <w:lang w:val="en-US" w:eastAsia="zh-CN"/>
        </w:rPr>
        <w:t>参照</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大气有害物质无组织排放卫生防护距离推导技术导则</w:t>
      </w:r>
      <w:r>
        <w:rPr>
          <w:rFonts w:hint="default" w:ascii="Times New Roman" w:hAnsi="Times New Roman" w:cs="Times New Roman"/>
          <w:color w:val="auto"/>
          <w:highlight w:val="none"/>
        </w:rPr>
        <w:t>》（GB/T</w:t>
      </w:r>
      <w:r>
        <w:rPr>
          <w:rFonts w:hint="default" w:ascii="Times New Roman" w:hAnsi="Times New Roman" w:cs="Times New Roman"/>
          <w:color w:val="auto"/>
          <w:highlight w:val="none"/>
          <w:lang w:val="en-US" w:eastAsia="zh-CN"/>
        </w:rPr>
        <w:t>39499</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2020</w:t>
      </w:r>
      <w:r>
        <w:rPr>
          <w:rFonts w:hint="default" w:ascii="Times New Roman" w:hAnsi="Times New Roman" w:cs="Times New Roman"/>
          <w:color w:val="auto"/>
          <w:highlight w:val="none"/>
        </w:rPr>
        <w:t>）中规定的方法及当地的污染气象条件来确定。计算公式如下：</w:t>
      </w:r>
    </w:p>
    <w:p>
      <w:pPr>
        <w:bidi w:val="0"/>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position w:val="-30"/>
          <w:highlight w:val="none"/>
          <w:lang w:eastAsia="zh-CN"/>
        </w:rPr>
        <w:object>
          <v:shape id="_x0000_i1075" o:spt="75" type="#_x0000_t75" style="height:34pt;width:135pt;" o:ole="t" filled="f" o:preferrelative="t" stroked="f" coordsize="21600,21600">
            <v:path/>
            <v:fill on="f" focussize="0,0"/>
            <v:stroke on="f"/>
            <v:imagedata r:id="rId133" o:title=""/>
            <o:lock v:ext="edit" aspectratio="t"/>
            <w10:wrap type="none"/>
            <w10:anchorlock/>
          </v:shape>
          <o:OLEObject Type="Embed" ProgID="Equation.KSEE3" ShapeID="_x0000_i1075" DrawAspect="Content" ObjectID="_1468075764" r:id="rId132">
            <o:LockedField>false</o:LockedField>
          </o:OLEObject>
        </w:objec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式中：Q</w:t>
      </w:r>
      <w:r>
        <w:rPr>
          <w:rFonts w:hint="default" w:ascii="Times New Roman" w:hAnsi="Times New Roman" w:eastAsia="宋体" w:cs="Times New Roman"/>
          <w:color w:val="auto"/>
          <w:highlight w:val="none"/>
          <w:vertAlign w:val="subscript"/>
        </w:rPr>
        <w:t>c</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大气中有害物质的无组织排放量，单位未千克每小时（</w:t>
      </w:r>
      <w:r>
        <w:rPr>
          <w:rFonts w:hint="default" w:ascii="Times New Roman" w:hAnsi="Times New Roman" w:eastAsia="宋体" w:cs="Times New Roman"/>
          <w:color w:val="auto"/>
          <w:highlight w:val="none"/>
        </w:rPr>
        <w:t>kg/h</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m</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大气中有害物质环境空气质量的</w:t>
      </w:r>
      <w:r>
        <w:rPr>
          <w:rFonts w:hint="default" w:ascii="Times New Roman" w:hAnsi="Times New Roman" w:eastAsia="宋体" w:cs="Times New Roman"/>
          <w:color w:val="auto"/>
          <w:highlight w:val="none"/>
        </w:rPr>
        <w:t>标准限值，</w:t>
      </w:r>
      <w:r>
        <w:rPr>
          <w:rFonts w:hint="default" w:ascii="Times New Roman" w:hAnsi="Times New Roman" w:cs="Times New Roman"/>
          <w:color w:val="auto"/>
          <w:highlight w:val="none"/>
          <w:lang w:val="en-US" w:eastAsia="zh-CN"/>
        </w:rPr>
        <w:t>单位未毫克每立方米</w:t>
      </w:r>
      <w:r>
        <w:rPr>
          <w:rFonts w:hint="default" w:ascii="Times New Roman" w:hAnsi="Times New Roman" w:eastAsia="宋体" w:cs="Times New Roman"/>
          <w:color w:val="auto"/>
          <w:highlight w:val="none"/>
        </w:rPr>
        <w:t>mg/m³；</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cs="Times New Roman"/>
          <w:color w:val="auto"/>
          <w:highlight w:val="none"/>
          <w:lang w:val="en-US" w:eastAsia="zh-CN"/>
        </w:rPr>
        <w:t>大气中有害物质</w:t>
      </w:r>
      <w:r>
        <w:rPr>
          <w:rFonts w:hint="default" w:ascii="Times New Roman" w:hAnsi="Times New Roman" w:eastAsia="宋体" w:cs="Times New Roman"/>
          <w:color w:val="auto"/>
          <w:highlight w:val="none"/>
        </w:rPr>
        <w:t>卫生防护距离</w:t>
      </w:r>
      <w:r>
        <w:rPr>
          <w:rFonts w:hint="default" w:ascii="Times New Roman" w:hAnsi="Times New Roman" w:cs="Times New Roman"/>
          <w:color w:val="auto"/>
          <w:highlight w:val="none"/>
          <w:lang w:val="en-US" w:eastAsia="zh-CN"/>
        </w:rPr>
        <w:t>初值</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单位为米（</w:t>
      </w:r>
      <w:r>
        <w:rPr>
          <w:rFonts w:hint="default" w:ascii="Times New Roman" w:hAnsi="Times New Roman" w:eastAsia="宋体" w:cs="Times New Roman"/>
          <w:color w:val="auto"/>
          <w:highlight w:val="none"/>
        </w:rPr>
        <w:t>m</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r</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大气中有害物质</w:t>
      </w:r>
      <w:r>
        <w:rPr>
          <w:rFonts w:hint="default" w:ascii="Times New Roman" w:hAnsi="Times New Roman" w:eastAsia="宋体" w:cs="Times New Roman"/>
          <w:color w:val="auto"/>
          <w:highlight w:val="none"/>
        </w:rPr>
        <w:t>无组织排放源所在生产单元的等效半径，</w:t>
      </w:r>
      <w:r>
        <w:rPr>
          <w:rFonts w:hint="default" w:ascii="Times New Roman" w:hAnsi="Times New Roman" w:cs="Times New Roman"/>
          <w:color w:val="auto"/>
          <w:highlight w:val="none"/>
          <w:lang w:val="en-US" w:eastAsia="zh-CN"/>
        </w:rPr>
        <w:t>单位为米（</w:t>
      </w:r>
      <w:r>
        <w:rPr>
          <w:rFonts w:hint="default" w:ascii="Times New Roman" w:hAnsi="Times New Roman" w:eastAsia="宋体" w:cs="Times New Roman"/>
          <w:color w:val="auto"/>
          <w:highlight w:val="none"/>
        </w:rPr>
        <w:t>m</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720" w:leftChars="3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A、B、C、D</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卫生防护距离</w:t>
      </w:r>
      <w:r>
        <w:rPr>
          <w:rFonts w:hint="default" w:ascii="Times New Roman" w:hAnsi="Times New Roman" w:cs="Times New Roman"/>
          <w:color w:val="auto"/>
          <w:highlight w:val="none"/>
          <w:lang w:val="en-US" w:eastAsia="zh-CN"/>
        </w:rPr>
        <w:t>初值</w:t>
      </w:r>
      <w:r>
        <w:rPr>
          <w:rFonts w:hint="default" w:ascii="Times New Roman" w:hAnsi="Times New Roman" w:eastAsia="宋体" w:cs="Times New Roman"/>
          <w:color w:val="auto"/>
          <w:highlight w:val="none"/>
        </w:rPr>
        <w:t>计算系数，无因次，根据工业企业所在地区近</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年平均风速及大气污染源构成类别</w:t>
      </w:r>
      <w:r>
        <w:rPr>
          <w:rFonts w:hint="default" w:ascii="Times New Roman" w:hAnsi="Times New Roman" w:eastAsia="宋体" w:cs="Times New Roman"/>
          <w:color w:val="auto"/>
          <w:highlight w:val="none"/>
          <w:lang w:eastAsia="zh-CN"/>
        </w:rPr>
        <w:t>从</w:t>
      </w:r>
      <w:r>
        <w:rPr>
          <w:rFonts w:hint="default" w:ascii="Times New Roman" w:hAnsi="Times New Roman" w:eastAsia="宋体" w:cs="Times New Roman"/>
          <w:color w:val="auto"/>
          <w:highlight w:val="none"/>
          <w:lang w:eastAsia="zh-CN"/>
        </w:rPr>
        <w:fldChar w:fldCharType="begin"/>
      </w:r>
      <w:r>
        <w:rPr>
          <w:rFonts w:hint="default" w:ascii="Times New Roman" w:hAnsi="Times New Roman" w:eastAsia="宋体" w:cs="Times New Roman"/>
          <w:color w:val="auto"/>
          <w:highlight w:val="none"/>
          <w:lang w:eastAsia="zh-CN"/>
        </w:rPr>
        <w:instrText xml:space="preserve"> REF _Ref23109 \n \h </w:instrText>
      </w:r>
      <w:r>
        <w:rPr>
          <w:rFonts w:hint="default" w:ascii="Times New Roman" w:hAnsi="Times New Roman" w:eastAsia="宋体" w:cs="Times New Roman"/>
          <w:color w:val="auto"/>
          <w:highlight w:val="none"/>
          <w:lang w:eastAsia="zh-CN"/>
        </w:rPr>
        <w:fldChar w:fldCharType="separate"/>
      </w:r>
      <w:r>
        <w:rPr>
          <w:rFonts w:hint="default" w:ascii="Times New Roman" w:hAnsi="Times New Roman" w:eastAsia="宋体" w:cs="Times New Roman"/>
          <w:color w:val="auto"/>
          <w:highlight w:val="none"/>
          <w:lang w:eastAsia="zh-CN"/>
        </w:rPr>
        <w:t>表5.2-42</w:t>
      </w:r>
      <w:r>
        <w:rPr>
          <w:rFonts w:hint="default" w:ascii="Times New Roman" w:hAnsi="Times New Roman" w:eastAsia="宋体" w:cs="Times New Roman"/>
          <w:color w:val="auto"/>
          <w:highlight w:val="none"/>
          <w:lang w:eastAsia="zh-CN"/>
        </w:rPr>
        <w:fldChar w:fldCharType="end"/>
      </w:r>
      <w:r>
        <w:rPr>
          <w:rFonts w:hint="default" w:ascii="Times New Roman" w:hAnsi="Times New Roman" w:eastAsia="宋体" w:cs="Times New Roman"/>
          <w:color w:val="auto"/>
          <w:highlight w:val="none"/>
          <w:lang w:val="en-US" w:eastAsia="zh-CN"/>
        </w:rPr>
        <w:t>查取</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720" w:leftChars="300"/>
        <w:jc w:val="both"/>
        <w:textAlignment w:val="auto"/>
        <w:rPr>
          <w:rFonts w:hint="default" w:ascii="Times New Roman" w:hAnsi="Times New Roman" w:eastAsia="宋体" w:cs="Times New Roman"/>
          <w:color w:val="auto"/>
          <w:szCs w:val="22"/>
          <w:highlight w:val="none"/>
        </w:rPr>
      </w:pPr>
      <w:r>
        <w:rPr>
          <w:rFonts w:hint="default" w:ascii="Times New Roman" w:hAnsi="Times New Roman" w:eastAsia="宋体" w:cs="Times New Roman"/>
          <w:color w:val="auto"/>
          <w:szCs w:val="22"/>
          <w:highlight w:val="none"/>
        </w:rPr>
        <w:t>Q——工业企业有害气体无组织排放量可以达到的控制水平，kg/h。</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62" w:name="_Ref23109"/>
      <w:r>
        <w:rPr>
          <w:rFonts w:hint="default" w:ascii="Times New Roman" w:hAnsi="Times New Roman" w:cs="Times New Roman"/>
          <w:color w:val="auto"/>
          <w:highlight w:val="none"/>
          <w:lang w:val="en-US" w:eastAsia="zh-CN"/>
        </w:rPr>
        <w:t>卫生防护距离计算系数</w:t>
      </w:r>
      <w:bookmarkEnd w:id="562"/>
    </w:p>
    <w:tbl>
      <w:tblPr>
        <w:tblStyle w:val="18"/>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9"/>
        <w:gridCol w:w="2250"/>
        <w:gridCol w:w="617"/>
        <w:gridCol w:w="617"/>
        <w:gridCol w:w="620"/>
        <w:gridCol w:w="4"/>
        <w:gridCol w:w="613"/>
        <w:gridCol w:w="617"/>
        <w:gridCol w:w="622"/>
        <w:gridCol w:w="617"/>
        <w:gridCol w:w="617"/>
        <w:gridCol w:w="6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5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计算系数</w:t>
            </w:r>
          </w:p>
        </w:tc>
        <w:tc>
          <w:tcPr>
            <w:tcW w:w="2250"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工业企业所在地区五年平均风速（m/s）</w:t>
            </w:r>
          </w:p>
        </w:tc>
        <w:tc>
          <w:tcPr>
            <w:tcW w:w="5577" w:type="dxa"/>
            <w:gridSpan w:val="10"/>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卫生防护距离L/m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858"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L≤1000</w:t>
            </w:r>
          </w:p>
        </w:tc>
        <w:tc>
          <w:tcPr>
            <w:tcW w:w="1852"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1000＜L≤2000</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L＞2000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5577" w:type="dxa"/>
            <w:gridSpan w:val="10"/>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工业企业大气污染源构成类型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Ⅰ</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Ⅱ</w:t>
            </w:r>
          </w:p>
        </w:tc>
        <w:tc>
          <w:tcPr>
            <w:tcW w:w="6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w:t>
            </w:r>
          </w:p>
        </w:tc>
        <w:tc>
          <w:tcPr>
            <w:tcW w:w="61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Ⅰ</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Ⅱ</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Ⅰ</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Ⅱ</w:t>
            </w:r>
          </w:p>
        </w:tc>
        <w:tc>
          <w:tcPr>
            <w:tcW w:w="6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A</w:t>
            </w: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6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61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6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2~4</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470</w:t>
            </w:r>
          </w:p>
        </w:tc>
        <w:tc>
          <w:tcPr>
            <w:tcW w:w="6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61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470</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380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250</w:t>
            </w:r>
          </w:p>
        </w:tc>
        <w:tc>
          <w:tcPr>
            <w:tcW w:w="6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530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6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260</w:t>
            </w:r>
          </w:p>
        </w:tc>
        <w:tc>
          <w:tcPr>
            <w:tcW w:w="61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530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260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290</w:t>
            </w:r>
          </w:p>
        </w:tc>
        <w:tc>
          <w:tcPr>
            <w:tcW w:w="6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190</w:t>
            </w:r>
          </w:p>
        </w:tc>
        <w:tc>
          <w:tcPr>
            <w:tcW w:w="63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B</w:t>
            </w: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54"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w:t>
            </w:r>
          </w:p>
        </w:tc>
        <w:tc>
          <w:tcPr>
            <w:tcW w:w="185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0.015</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54"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0.021</w:t>
            </w:r>
          </w:p>
        </w:tc>
        <w:tc>
          <w:tcPr>
            <w:tcW w:w="185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0.036</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w:t>
            </w: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54"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1.85</w:t>
            </w:r>
          </w:p>
        </w:tc>
        <w:tc>
          <w:tcPr>
            <w:tcW w:w="185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1.79</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54"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1.85</w:t>
            </w:r>
          </w:p>
        </w:tc>
        <w:tc>
          <w:tcPr>
            <w:tcW w:w="185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1.77</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D</w:t>
            </w: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54"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0.78</w:t>
            </w:r>
          </w:p>
        </w:tc>
        <w:tc>
          <w:tcPr>
            <w:tcW w:w="185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0.78</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225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1854"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0.84</w:t>
            </w:r>
          </w:p>
        </w:tc>
        <w:tc>
          <w:tcPr>
            <w:tcW w:w="1856"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0.84</w:t>
            </w:r>
          </w:p>
        </w:tc>
        <w:tc>
          <w:tcPr>
            <w:tcW w:w="1867"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6" w:type="dxa"/>
            <w:gridSpan w:val="1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注：Ⅰ类：与无组织排放源共存的排放同种有害气体的排气筒的排放量，大于或等于标准规定的允许排放量的1/3者；</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right="0" w:firstLine="360" w:firstLineChars="200"/>
              <w:jc w:val="lef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Ⅱ类：与无组织排放源共存的排放同种有害气体的排气筒的排放量，小于标准规定的允许排放量的1/3，或虽无排放同种大气污染物之排气筒共存，但无组织排放的有害物质的容许浓度指标是按急性反应指标确定者；</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right="0" w:firstLine="360" w:firstLineChars="200"/>
              <w:jc w:val="left"/>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 w:val="18"/>
                <w:szCs w:val="18"/>
                <w:highlight w:val="none"/>
                <w:lang w:val="en-US" w:eastAsia="zh-CN"/>
              </w:rPr>
              <w:t>Ⅲ类：无排放同种有害物质的排气筒与无组织排放源共存，且无组织排放的有害物质的容许浓度是按慢性反应指标确定者。</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根据本项目无组织排放源特点和霞浦县多年平均风速（2.</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 xml:space="preserve"> m/s），选取卫生防护距离参数进行计算，本项目所需的卫生防护距离见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_Ref23265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表5.2-43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63" w:name="_Ref23265"/>
      <w:r>
        <w:rPr>
          <w:rFonts w:hint="default" w:ascii="Times New Roman" w:hAnsi="Times New Roman" w:cs="Times New Roman"/>
          <w:color w:val="auto"/>
          <w:highlight w:val="none"/>
          <w:lang w:val="en-US" w:eastAsia="zh-CN"/>
        </w:rPr>
        <w:t>项目卫生防护距离计算结果</w:t>
      </w:r>
      <w:bookmarkEnd w:id="563"/>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3"/>
        <w:gridCol w:w="1340"/>
        <w:gridCol w:w="1305"/>
        <w:gridCol w:w="622"/>
        <w:gridCol w:w="693"/>
        <w:gridCol w:w="630"/>
        <w:gridCol w:w="615"/>
        <w:gridCol w:w="840"/>
        <w:gridCol w:w="1065"/>
        <w:gridCol w:w="12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面源名称</w:t>
            </w: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污染物名称</w:t>
            </w:r>
          </w:p>
        </w:tc>
        <w:tc>
          <w:tcPr>
            <w:tcW w:w="1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污染物排放速率（kg/h）</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A</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L（m）</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卫生防护距离（m）</w:t>
            </w:r>
          </w:p>
        </w:tc>
        <w:tc>
          <w:tcPr>
            <w:tcW w:w="12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提级后防护距离（m）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0"/>
                <w:highlight w:val="none"/>
                <w:lang w:val="en-US" w:eastAsia="zh-CN"/>
              </w:rPr>
              <w:t>前纺楼</w:t>
            </w: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1305" w:type="dxa"/>
            <w:tcBorders>
              <w:tl2br w:val="nil"/>
              <w:tr2bl w:val="nil"/>
            </w:tcBorders>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0" w:firstLineChars="0"/>
              <w:rPr>
                <w:rFonts w:hint="default" w:ascii="Times New Roman" w:hAnsi="Times New Roman" w:cs="Times New Roman"/>
                <w:color w:val="auto"/>
                <w:sz w:val="21"/>
                <w:szCs w:val="21"/>
                <w:highlight w:val="none"/>
                <w:lang w:val="en-US" w:eastAsia="zh-CN"/>
              </w:rPr>
            </w:pPr>
            <w:r>
              <w:rPr>
                <w:rFonts w:hint="eastAsia" w:cs="Times New Roman"/>
                <w:color w:val="auto"/>
                <w:szCs w:val="20"/>
                <w:highlight w:val="none"/>
                <w:lang w:val="en-US" w:eastAsia="zh-CN"/>
              </w:rPr>
              <w:t>0.9048</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470</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0.021</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1.85</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0.84</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64.798</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100</w:t>
            </w:r>
          </w:p>
        </w:tc>
        <w:tc>
          <w:tcPr>
            <w:tcW w:w="125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305" w:type="dxa"/>
            <w:tcBorders>
              <w:tl2br w:val="nil"/>
              <w:tr2bl w:val="nil"/>
            </w:tcBorders>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0"/>
                <w:highlight w:val="none"/>
                <w:lang w:val="en-US" w:eastAsia="zh-CN"/>
              </w:rPr>
              <w:t>0.</w:t>
            </w:r>
            <w:r>
              <w:rPr>
                <w:rFonts w:hint="eastAsia" w:cs="Times New Roman"/>
                <w:color w:val="auto"/>
                <w:szCs w:val="20"/>
                <w:highlight w:val="none"/>
                <w:lang w:val="en-US" w:eastAsia="zh-CN"/>
              </w:rPr>
              <w:t>4154</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470</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0.021</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1.85</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0.84</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11.528</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50</w:t>
            </w:r>
          </w:p>
        </w:tc>
        <w:tc>
          <w:tcPr>
            <w:tcW w:w="125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后纺楼</w:t>
            </w: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30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0.0202</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470</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0.021</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1.85</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0.84</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0.246</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50</w:t>
            </w:r>
          </w:p>
        </w:tc>
        <w:tc>
          <w:tcPr>
            <w:tcW w:w="125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0"/>
                <w:highlight w:val="none"/>
                <w:lang w:val="en-US" w:eastAsia="zh-CN"/>
              </w:rPr>
              <w:t>污水站</w:t>
            </w: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30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0.0012</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470</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0.021</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1.85</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0.84</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11.528</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50</w:t>
            </w:r>
          </w:p>
        </w:tc>
        <w:tc>
          <w:tcPr>
            <w:tcW w:w="125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w:t>
            </w:r>
          </w:p>
        </w:tc>
        <w:tc>
          <w:tcPr>
            <w:tcW w:w="130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2.</w:t>
            </w:r>
            <w:r>
              <w:rPr>
                <w:rFonts w:hint="eastAsia" w:cs="Times New Roman"/>
                <w:color w:val="auto"/>
                <w:szCs w:val="20"/>
                <w:highlight w:val="none"/>
                <w:lang w:val="en-US" w:eastAsia="zh-CN"/>
              </w:rPr>
              <w:t>58</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-4</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470</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0.021</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1.85</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0.84</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eastAsia="宋体"/>
                <w:color w:val="auto"/>
                <w:szCs w:val="20"/>
                <w:highlight w:val="none"/>
                <w:lang w:val="en-US" w:eastAsia="zh-CN"/>
              </w:rPr>
            </w:pPr>
            <w:r>
              <w:rPr>
                <w:rFonts w:hint="eastAsia"/>
                <w:color w:val="auto"/>
                <w:szCs w:val="20"/>
                <w:highlight w:val="none"/>
                <w:lang w:val="en-US" w:eastAsia="zh-CN"/>
              </w:rPr>
              <w:t>0.171</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50</w:t>
            </w:r>
          </w:p>
        </w:tc>
        <w:tc>
          <w:tcPr>
            <w:tcW w:w="125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3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硫化氢</w:t>
            </w:r>
          </w:p>
        </w:tc>
        <w:tc>
          <w:tcPr>
            <w:tcW w:w="1305" w:type="dxa"/>
            <w:tcBorders>
              <w:tl2br w:val="nil"/>
              <w:tr2bl w:val="nil"/>
            </w:tcBorders>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0"/>
                <w:highlight w:val="none"/>
                <w:lang w:val="en-US" w:eastAsia="zh-CN"/>
              </w:rPr>
              <w:t>9.97</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-6</w:t>
            </w:r>
          </w:p>
        </w:tc>
        <w:tc>
          <w:tcPr>
            <w:tcW w:w="62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470</w:t>
            </w:r>
          </w:p>
        </w:tc>
        <w:tc>
          <w:tcPr>
            <w:tcW w:w="69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0.021</w:t>
            </w:r>
          </w:p>
        </w:tc>
        <w:tc>
          <w:tcPr>
            <w:tcW w:w="63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1.85</w:t>
            </w:r>
          </w:p>
        </w:tc>
        <w:tc>
          <w:tcPr>
            <w:tcW w:w="6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rPr>
            </w:pPr>
            <w:r>
              <w:rPr>
                <w:rFonts w:hint="eastAsia"/>
                <w:color w:val="auto"/>
                <w:szCs w:val="20"/>
                <w:highlight w:val="none"/>
              </w:rPr>
              <w:t>0.84</w:t>
            </w:r>
          </w:p>
        </w:tc>
        <w:tc>
          <w:tcPr>
            <w:tcW w:w="84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eastAsia" w:eastAsia="宋体"/>
                <w:color w:val="auto"/>
                <w:szCs w:val="20"/>
                <w:highlight w:val="none"/>
                <w:lang w:eastAsia="zh-CN"/>
              </w:rPr>
            </w:pPr>
            <w:r>
              <w:rPr>
                <w:rFonts w:hint="eastAsia"/>
                <w:color w:val="auto"/>
                <w:szCs w:val="20"/>
                <w:highlight w:val="none"/>
              </w:rPr>
              <w:t>0.12</w:t>
            </w:r>
            <w:r>
              <w:rPr>
                <w:rFonts w:hint="eastAsia"/>
                <w:color w:val="auto"/>
                <w:szCs w:val="20"/>
                <w:highlight w:val="none"/>
                <w:lang w:val="en-US" w:eastAsia="zh-CN"/>
              </w:rPr>
              <w:t>6</w:t>
            </w:r>
          </w:p>
        </w:tc>
        <w:tc>
          <w:tcPr>
            <w:tcW w:w="10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highlight w:val="none"/>
                <w:lang w:val="en-US" w:eastAsia="zh-CN"/>
              </w:rPr>
            </w:pPr>
            <w:r>
              <w:rPr>
                <w:rFonts w:hint="eastAsia"/>
                <w:color w:val="auto"/>
                <w:szCs w:val="20"/>
                <w:highlight w:val="none"/>
              </w:rPr>
              <w:t>50</w:t>
            </w:r>
          </w:p>
        </w:tc>
        <w:tc>
          <w:tcPr>
            <w:tcW w:w="125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r>
    </w:tbl>
    <w:p>
      <w:pPr>
        <w:rPr>
          <w:rFonts w:hint="eastAsia" w:cs="Times New Roman"/>
          <w:color w:val="auto"/>
          <w:highlight w:val="none"/>
          <w:lang w:val="en-US" w:eastAsia="zh-CN"/>
        </w:rPr>
      </w:pPr>
      <w:r>
        <w:rPr>
          <w:rFonts w:hint="default" w:ascii="Times New Roman" w:hAnsi="Times New Roman" w:cs="Times New Roman"/>
          <w:color w:val="auto"/>
          <w:highlight w:val="none"/>
        </w:rPr>
        <w:t>综上，根据《</w:t>
      </w:r>
      <w:r>
        <w:rPr>
          <w:rFonts w:hint="default" w:ascii="Times New Roman" w:hAnsi="Times New Roman" w:cs="Times New Roman"/>
          <w:color w:val="auto"/>
          <w:highlight w:val="none"/>
          <w:lang w:val="en-US" w:eastAsia="zh-CN"/>
        </w:rPr>
        <w:t>大气有害物质无组织排放卫生防护距离推导技术导则</w:t>
      </w:r>
      <w:r>
        <w:rPr>
          <w:rFonts w:hint="default" w:ascii="Times New Roman" w:hAnsi="Times New Roman" w:cs="Times New Roman"/>
          <w:color w:val="auto"/>
          <w:highlight w:val="none"/>
        </w:rPr>
        <w:t>》（GB/T</w:t>
      </w:r>
      <w:r>
        <w:rPr>
          <w:rFonts w:hint="default" w:ascii="Times New Roman" w:hAnsi="Times New Roman" w:cs="Times New Roman"/>
          <w:color w:val="auto"/>
          <w:highlight w:val="none"/>
          <w:lang w:val="en-US" w:eastAsia="zh-CN"/>
        </w:rPr>
        <w:t>39499</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2020</w:t>
      </w:r>
      <w:r>
        <w:rPr>
          <w:rFonts w:hint="default" w:ascii="Times New Roman" w:hAnsi="Times New Roman" w:cs="Times New Roman"/>
          <w:color w:val="auto"/>
          <w:highlight w:val="none"/>
        </w:rPr>
        <w:t>）中</w:t>
      </w:r>
      <w:r>
        <w:rPr>
          <w:rFonts w:hint="eastAsia" w:cs="Times New Roman"/>
          <w:color w:val="auto"/>
          <w:highlight w:val="none"/>
          <w:lang w:val="en-US" w:eastAsia="zh-CN"/>
        </w:rPr>
        <w:t>6.2</w:t>
      </w:r>
      <w:r>
        <w:rPr>
          <w:rFonts w:hint="default" w:ascii="Times New Roman" w:hAnsi="Times New Roman" w:cs="Times New Roman"/>
          <w:color w:val="auto"/>
          <w:highlight w:val="none"/>
        </w:rPr>
        <w:t>规定：“</w:t>
      </w:r>
      <w:r>
        <w:rPr>
          <w:rFonts w:ascii="宋体" w:hAnsi="宋体" w:eastAsia="宋体" w:cs="宋体"/>
          <w:color w:val="auto"/>
          <w:sz w:val="24"/>
          <w:szCs w:val="24"/>
          <w:highlight w:val="none"/>
        </w:rPr>
        <w:t>当企业某生产单元的无组织排放存在多种特征大气有害物质时，如果分别推导出的卫生防护距离初值在同一级别时，则该企业的卫生防护距离终值应提高一级</w:t>
      </w:r>
      <w:r>
        <w:rPr>
          <w:rFonts w:hint="eastAsia" w:ascii="宋体" w:hAnsi="宋体" w:eastAsia="宋体" w:cs="宋体"/>
          <w:color w:val="auto"/>
          <w:sz w:val="24"/>
          <w:szCs w:val="24"/>
          <w:highlight w:val="none"/>
          <w:lang w:eastAsia="zh-CN"/>
        </w:rPr>
        <w:t>；</w:t>
      </w:r>
      <w:r>
        <w:rPr>
          <w:rFonts w:ascii="宋体" w:hAnsi="宋体" w:eastAsia="宋体" w:cs="宋体"/>
          <w:color w:val="auto"/>
          <w:sz w:val="24"/>
          <w:szCs w:val="24"/>
          <w:highlight w:val="none"/>
        </w:rPr>
        <w:t>卫生防护距离初值不在同一级别的，以卫生防护距离终值较大者为准。</w:t>
      </w:r>
      <w:r>
        <w:rPr>
          <w:rFonts w:hint="default" w:ascii="Times New Roman" w:hAnsi="Times New Roman" w:cs="Times New Roman"/>
          <w:color w:val="auto"/>
          <w:highlight w:val="none"/>
        </w:rPr>
        <w:t>”因此，本项目卫生防护距离为</w:t>
      </w:r>
      <w:r>
        <w:rPr>
          <w:rFonts w:hint="eastAsia" w:cs="Times New Roman"/>
          <w:color w:val="auto"/>
          <w:highlight w:val="none"/>
          <w:lang w:val="en-US" w:eastAsia="zh-CN"/>
        </w:rPr>
        <w:t>前纺楼向外延伸形成100 m的包络线区域；后纺楼向外延伸形成50 m的包络线区域（其中，污水处理站位于前纺楼1 F内，卫生防护距离按前纺楼计）</w:t>
      </w:r>
      <w:r>
        <w:rPr>
          <w:rFonts w:hint="eastAsia" w:cs="Times New Roman"/>
          <w:color w:val="auto"/>
          <w:highlight w:val="none"/>
          <w:lang w:eastAsia="zh-CN"/>
        </w:rPr>
        <w:t>，</w:t>
      </w:r>
      <w:r>
        <w:rPr>
          <w:rFonts w:hint="default" w:ascii="Times New Roman" w:hAnsi="Times New Roman" w:cs="Times New Roman"/>
          <w:color w:val="auto"/>
          <w:highlight w:val="none"/>
        </w:rPr>
        <w:t>具体见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_Ref1884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图5.2-32</w:t>
      </w:r>
      <w:r>
        <w:rPr>
          <w:rFonts w:hint="default" w:ascii="Times New Roman" w:hAnsi="Times New Roman" w:cs="Times New Roman"/>
          <w:color w:val="auto"/>
          <w:highlight w:val="none"/>
          <w:lang w:val="en-US"/>
        </w:rPr>
        <w:fldChar w:fldCharType="end"/>
      </w:r>
      <w:r>
        <w:rPr>
          <w:rFonts w:hint="eastAsia" w:cs="Times New Roman"/>
          <w:color w:val="auto"/>
          <w:highlight w:val="none"/>
          <w:lang w:val="en-US" w:eastAsia="zh-CN"/>
        </w:rPr>
        <w:t>。</w:t>
      </w:r>
    </w:p>
    <w:p>
      <w:pPr>
        <w:rPr>
          <w:rFonts w:hint="eastAsia"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jc w:val="center"/>
        <w:rPr>
          <w:rFonts w:hint="eastAsia" w:cs="Times New Roman"/>
          <w:color w:val="auto"/>
          <w:highlight w:val="none"/>
          <w:lang w:val="en-US" w:eastAsia="zh-CN"/>
        </w:rPr>
      </w:pPr>
      <w:r>
        <w:rPr>
          <w:rFonts w:hint="eastAsia" w:cs="Times New Roman"/>
          <w:color w:val="auto"/>
          <w:highlight w:val="none"/>
          <w:lang w:val="en-US" w:eastAsia="zh-CN"/>
        </w:rPr>
        <w:drawing>
          <wp:inline distT="0" distB="0" distL="114300" distR="114300">
            <wp:extent cx="7948930" cy="5299710"/>
            <wp:effectExtent l="0" t="0" r="13970" b="15240"/>
            <wp:docPr id="1" name="图片 1" descr="卫生防护距离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卫生防护距离PS"/>
                    <pic:cNvPicPr>
                      <a:picLocks noChangeAspect="1"/>
                    </pic:cNvPicPr>
                  </pic:nvPicPr>
                  <pic:blipFill>
                    <a:blip r:embed="rId134"/>
                    <a:stretch>
                      <a:fillRect/>
                    </a:stretch>
                  </pic:blipFill>
                  <pic:spPr>
                    <a:xfrm>
                      <a:off x="0" y="0"/>
                      <a:ext cx="7948930" cy="5299710"/>
                    </a:xfrm>
                    <a:prstGeom prst="rect">
                      <a:avLst/>
                    </a:prstGeom>
                  </pic:spPr>
                </pic:pic>
              </a:graphicData>
            </a:graphic>
          </wp:inline>
        </w:drawing>
      </w:r>
    </w:p>
    <w:p>
      <w:pPr>
        <w:pStyle w:val="22"/>
        <w:numPr>
          <w:ilvl w:val="7"/>
          <w:numId w:val="3"/>
        </w:numPr>
        <w:bidi w:val="0"/>
        <w:rPr>
          <w:rFonts w:hint="eastAsia"/>
          <w:color w:val="auto"/>
          <w:highlight w:val="none"/>
          <w:lang w:val="en-US" w:eastAsia="zh-CN"/>
        </w:rPr>
      </w:pPr>
      <w:bookmarkStart w:id="564" w:name="_Ref1884"/>
      <w:r>
        <w:rPr>
          <w:rFonts w:hint="eastAsia"/>
          <w:color w:val="auto"/>
          <w:highlight w:val="none"/>
          <w:lang w:val="en-US" w:eastAsia="zh-CN"/>
        </w:rPr>
        <w:t>扩建工程卫生防护距离图</w:t>
      </w:r>
      <w:bookmarkEnd w:id="564"/>
    </w:p>
    <w:p>
      <w:pPr>
        <w:rPr>
          <w:rFonts w:hint="eastAsia"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小结</w:t>
      </w:r>
    </w:p>
    <w:p>
      <w:pPr>
        <w:ind w:firstLine="480"/>
        <w:rPr>
          <w:color w:val="auto"/>
          <w:highlight w:val="none"/>
        </w:rPr>
      </w:pPr>
      <w:r>
        <w:rPr>
          <w:color w:val="auto"/>
          <w:highlight w:val="none"/>
        </w:rPr>
        <w:t>（1）本工程预测因子为</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非甲烷总烃、氨、硫化氢</w:t>
      </w:r>
      <w:r>
        <w:rPr>
          <w:color w:val="auto"/>
          <w:highlight w:val="none"/>
        </w:rPr>
        <w:t>。</w:t>
      </w:r>
    </w:p>
    <w:p>
      <w:pPr>
        <w:ind w:firstLine="480"/>
        <w:rPr>
          <w:rFonts w:ascii="Times New Roman" w:hAnsi="Times New Roman"/>
          <w:color w:val="auto"/>
          <w:highlight w:val="none"/>
        </w:rPr>
      </w:pPr>
      <w:r>
        <w:rPr>
          <w:rFonts w:ascii="Times New Roman" w:hAnsi="Times New Roman"/>
          <w:color w:val="auto"/>
          <w:highlight w:val="none"/>
        </w:rPr>
        <w:t>（2）大气预测结果</w:t>
      </w:r>
    </w:p>
    <w:p>
      <w:pPr>
        <w:ind w:firstLine="480"/>
        <w:rPr>
          <w:rFonts w:ascii="Times New Roman" w:hAnsi="Times New Roman"/>
          <w:color w:val="auto"/>
          <w:kern w:val="0"/>
          <w:szCs w:val="22"/>
          <w:highlight w:val="none"/>
        </w:rPr>
      </w:pPr>
      <w:r>
        <w:rPr>
          <w:rFonts w:ascii="Times New Roman" w:hAnsi="Times New Roman"/>
          <w:color w:val="auto"/>
          <w:kern w:val="0"/>
          <w:szCs w:val="22"/>
          <w:highlight w:val="none"/>
        </w:rPr>
        <w:t>①本项目位于</w:t>
      </w:r>
      <w:r>
        <w:rPr>
          <w:rFonts w:hint="eastAsia" w:ascii="Times New Roman" w:hAnsi="Times New Roman"/>
          <w:color w:val="auto"/>
          <w:highlight w:val="none"/>
          <w:lang w:val="en-US" w:eastAsia="zh-CN"/>
        </w:rPr>
        <w:t>宁德市霞浦县牙城镇工业园</w:t>
      </w:r>
      <w:r>
        <w:rPr>
          <w:rFonts w:ascii="Times New Roman" w:hAnsi="Times New Roman"/>
          <w:color w:val="auto"/>
          <w:kern w:val="0"/>
          <w:szCs w:val="22"/>
          <w:highlight w:val="none"/>
        </w:rPr>
        <w:t>，项目所在区域为大气环境达标区域。</w:t>
      </w:r>
    </w:p>
    <w:p>
      <w:pPr>
        <w:bidi w:val="0"/>
        <w:rPr>
          <w:color w:val="auto"/>
          <w:highlight w:val="none"/>
        </w:rPr>
      </w:pPr>
      <w:r>
        <w:rPr>
          <w:color w:val="auto"/>
          <w:highlight w:val="none"/>
        </w:rPr>
        <w:t>②本评价选用2019年作为预测基准年，项目选址位于环境空气质量现状达标区。</w:t>
      </w:r>
      <w:r>
        <w:rPr>
          <w:rFonts w:hint="default"/>
          <w:color w:val="auto"/>
          <w:highlight w:val="none"/>
        </w:rPr>
        <w:t>本项目排放的</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非甲烷总烃、氨、硫化氢</w:t>
      </w:r>
      <w:r>
        <w:rPr>
          <w:rFonts w:hint="default"/>
          <w:color w:val="auto"/>
          <w:highlight w:val="none"/>
        </w:rPr>
        <w:t>预测短期浓度贡献值最大浓</w:t>
      </w:r>
      <w:r>
        <w:rPr>
          <w:rFonts w:hint="default"/>
          <w:color w:val="auto"/>
          <w:highlight w:val="none"/>
        </w:rPr>
        <w:t>度占标率为</w:t>
      </w:r>
      <w:r>
        <w:rPr>
          <w:rFonts w:hint="eastAsia"/>
          <w:color w:val="auto"/>
          <w:highlight w:val="none"/>
          <w:lang w:val="en-US" w:eastAsia="zh-CN"/>
        </w:rPr>
        <w:t>18.29</w:t>
      </w:r>
      <w:r>
        <w:rPr>
          <w:rFonts w:hint="default"/>
          <w:color w:val="auto"/>
          <w:highlight w:val="none"/>
        </w:rPr>
        <w:t>%（NO</w:t>
      </w:r>
      <w:r>
        <w:rPr>
          <w:rFonts w:hint="default"/>
          <w:color w:val="auto"/>
          <w:highlight w:val="none"/>
          <w:vertAlign w:val="subscript"/>
        </w:rPr>
        <w:t>2</w:t>
      </w:r>
      <w:r>
        <w:rPr>
          <w:rFonts w:hint="default"/>
          <w:color w:val="auto"/>
          <w:highlight w:val="none"/>
        </w:rPr>
        <w:t>小时浓度）</w:t>
      </w:r>
      <w:r>
        <w:rPr>
          <w:rFonts w:hint="default"/>
          <w:color w:val="auto"/>
          <w:highlight w:val="none"/>
        </w:rPr>
        <w:t>，小于100%，</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default"/>
          <w:color w:val="auto"/>
          <w:highlight w:val="none"/>
        </w:rPr>
        <w:t>年均浓度最大贡献值占标率为</w:t>
      </w:r>
      <w:r>
        <w:rPr>
          <w:rFonts w:hint="eastAsia"/>
          <w:color w:val="auto"/>
          <w:highlight w:val="none"/>
          <w:lang w:val="en-US" w:eastAsia="zh-CN"/>
        </w:rPr>
        <w:t>2.37</w:t>
      </w:r>
      <w:r>
        <w:rPr>
          <w:rFonts w:hint="default"/>
          <w:color w:val="auto"/>
          <w:highlight w:val="none"/>
        </w:rPr>
        <w:t>%（</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color w:val="auto"/>
          <w:highlight w:val="none"/>
        </w:rPr>
        <w:t>年平均浓度），小于30%。本项目新增污染源对周边环境影响可接受</w:t>
      </w:r>
      <w:r>
        <w:rPr>
          <w:color w:val="auto"/>
          <w:highlight w:val="none"/>
        </w:rPr>
        <w:t>。</w:t>
      </w:r>
    </w:p>
    <w:p>
      <w:pPr>
        <w:ind w:firstLine="480"/>
        <w:rPr>
          <w:rFonts w:hint="eastAsia" w:ascii="Times New Roman" w:hAnsi="Times New Roman"/>
          <w:color w:val="auto"/>
          <w:kern w:val="0"/>
          <w:szCs w:val="22"/>
          <w:highlight w:val="none"/>
        </w:rPr>
      </w:pPr>
      <w:r>
        <w:rPr>
          <w:rFonts w:ascii="Times New Roman" w:hAnsi="Times New Roman"/>
          <w:color w:val="auto"/>
          <w:kern w:val="0"/>
          <w:szCs w:val="22"/>
          <w:highlight w:val="none"/>
        </w:rPr>
        <w:t>③</w:t>
      </w:r>
      <w:r>
        <w:rPr>
          <w:rFonts w:hint="eastAsia" w:ascii="Times New Roman" w:hAnsi="Times New Roman"/>
          <w:color w:val="auto"/>
          <w:kern w:val="0"/>
          <w:szCs w:val="22"/>
          <w:highlight w:val="none"/>
        </w:rPr>
        <w:t>本项目新增污染源叠加现状浓度、周边已批在建</w:t>
      </w:r>
      <w:r>
        <w:rPr>
          <w:rFonts w:hint="eastAsia" w:ascii="Times New Roman" w:hAnsi="Times New Roman"/>
          <w:color w:val="auto"/>
          <w:kern w:val="0"/>
          <w:szCs w:val="22"/>
          <w:highlight w:val="none"/>
          <w:lang w:eastAsia="zh-CN"/>
        </w:rPr>
        <w:t>、</w:t>
      </w:r>
      <w:r>
        <w:rPr>
          <w:rFonts w:hint="eastAsia" w:ascii="Times New Roman" w:hAnsi="Times New Roman"/>
          <w:color w:val="auto"/>
          <w:kern w:val="0"/>
          <w:szCs w:val="22"/>
          <w:highlight w:val="none"/>
        </w:rPr>
        <w:t>拟建项目污染物的影响后，SO</w:t>
      </w:r>
      <w:r>
        <w:rPr>
          <w:rFonts w:hint="eastAsia" w:ascii="Times New Roman" w:hAnsi="Times New Roman"/>
          <w:color w:val="auto"/>
          <w:kern w:val="0"/>
          <w:szCs w:val="22"/>
          <w:highlight w:val="none"/>
          <w:vertAlign w:val="subscript"/>
        </w:rPr>
        <w:t>2</w:t>
      </w:r>
      <w:r>
        <w:rPr>
          <w:rFonts w:hint="eastAsia" w:ascii="Times New Roman" w:hAnsi="Times New Roman"/>
          <w:color w:val="auto"/>
          <w:kern w:val="0"/>
          <w:szCs w:val="22"/>
          <w:highlight w:val="none"/>
        </w:rPr>
        <w:t>、NO</w:t>
      </w:r>
      <w:r>
        <w:rPr>
          <w:rFonts w:hint="eastAsia" w:ascii="Times New Roman" w:hAnsi="Times New Roman"/>
          <w:color w:val="auto"/>
          <w:kern w:val="0"/>
          <w:szCs w:val="22"/>
          <w:highlight w:val="none"/>
          <w:vertAlign w:val="subscript"/>
        </w:rPr>
        <w:t>2</w:t>
      </w:r>
      <w:r>
        <w:rPr>
          <w:rFonts w:hint="eastAsia" w:ascii="Times New Roman" w:hAnsi="Times New Roman"/>
          <w:color w:val="auto"/>
          <w:kern w:val="0"/>
          <w:szCs w:val="22"/>
          <w:highlight w:val="none"/>
        </w:rPr>
        <w:t>、PM</w:t>
      </w:r>
      <w:r>
        <w:rPr>
          <w:rFonts w:hint="eastAsia" w:ascii="Times New Roman" w:hAnsi="Times New Roman"/>
          <w:color w:val="auto"/>
          <w:kern w:val="0"/>
          <w:szCs w:val="22"/>
          <w:highlight w:val="none"/>
          <w:vertAlign w:val="subscript"/>
        </w:rPr>
        <w:t>10</w:t>
      </w:r>
      <w:r>
        <w:rPr>
          <w:rFonts w:hint="eastAsia" w:ascii="Times New Roman" w:hAnsi="Times New Roman"/>
          <w:color w:val="auto"/>
          <w:kern w:val="0"/>
          <w:szCs w:val="22"/>
          <w:highlight w:val="none"/>
        </w:rPr>
        <w:t>保证率日平均质量浓度和年平均质量浓度均符合《环境空气质量标准》（GB3095-2012）中的二级标准。非甲烷总烃</w:t>
      </w:r>
      <w:r>
        <w:rPr>
          <w:rFonts w:hint="eastAsia" w:ascii="Times New Roman" w:hAnsi="Times New Roman"/>
          <w:color w:val="auto"/>
          <w:kern w:val="0"/>
          <w:szCs w:val="22"/>
          <w:highlight w:val="none"/>
        </w:rPr>
        <w:t>（占标率</w:t>
      </w:r>
      <w:r>
        <w:rPr>
          <w:rFonts w:hint="eastAsia" w:ascii="Times New Roman" w:hAnsi="Times New Roman"/>
          <w:color w:val="auto"/>
          <w:kern w:val="0"/>
          <w:szCs w:val="22"/>
          <w:highlight w:val="none"/>
          <w:lang w:val="en-US" w:eastAsia="zh-CN"/>
        </w:rPr>
        <w:t>48.</w:t>
      </w:r>
      <w:r>
        <w:rPr>
          <w:rFonts w:hint="eastAsia"/>
          <w:color w:val="auto"/>
          <w:kern w:val="0"/>
          <w:szCs w:val="22"/>
          <w:highlight w:val="none"/>
          <w:lang w:val="en-US" w:eastAsia="zh-CN"/>
        </w:rPr>
        <w:t>65</w:t>
      </w:r>
      <w:r>
        <w:rPr>
          <w:rFonts w:hint="eastAsia" w:ascii="Times New Roman" w:hAnsi="Times New Roman"/>
          <w:color w:val="auto"/>
          <w:kern w:val="0"/>
          <w:szCs w:val="22"/>
          <w:highlight w:val="none"/>
        </w:rPr>
        <w:t>%）</w:t>
      </w:r>
      <w:r>
        <w:rPr>
          <w:rFonts w:hint="eastAsia" w:ascii="Times New Roman" w:hAnsi="Times New Roman"/>
          <w:color w:val="auto"/>
          <w:kern w:val="0"/>
          <w:szCs w:val="22"/>
          <w:highlight w:val="none"/>
          <w:lang w:eastAsia="zh-CN"/>
        </w:rPr>
        <w:t>，</w:t>
      </w:r>
      <w:r>
        <w:rPr>
          <w:rFonts w:hint="eastAsia" w:ascii="Times New Roman" w:hAnsi="Times New Roman"/>
          <w:color w:val="auto"/>
          <w:kern w:val="0"/>
          <w:szCs w:val="22"/>
          <w:highlight w:val="none"/>
        </w:rPr>
        <w:t>小时平均浓度符合《大气污染物综合排放标准详解》</w:t>
      </w:r>
      <w:r>
        <w:rPr>
          <w:rFonts w:hint="eastAsia" w:ascii="Times New Roman" w:hAnsi="Times New Roman"/>
          <w:color w:val="auto"/>
          <w:kern w:val="0"/>
          <w:szCs w:val="22"/>
          <w:highlight w:val="none"/>
          <w:lang w:eastAsia="zh-CN"/>
        </w:rPr>
        <w:t>；</w:t>
      </w:r>
      <w:r>
        <w:rPr>
          <w:rFonts w:hint="default" w:ascii="Times New Roman" w:hAnsi="Times New Roman" w:cs="Times New Roman"/>
          <w:color w:val="auto"/>
          <w:highlight w:val="none"/>
          <w:lang w:val="en-US" w:eastAsia="zh-CN"/>
        </w:rPr>
        <w:t>氨</w:t>
      </w:r>
      <w:r>
        <w:rPr>
          <w:rFonts w:hint="eastAsia" w:ascii="Times New Roman" w:hAnsi="Times New Roman" w:cs="Times New Roman"/>
          <w:color w:val="auto"/>
          <w:highlight w:val="none"/>
          <w:lang w:val="en-US" w:eastAsia="zh-CN"/>
        </w:rPr>
        <w:t>（占标率26.</w:t>
      </w:r>
      <w:r>
        <w:rPr>
          <w:rFonts w:hint="eastAsia" w:cs="Times New Roman"/>
          <w:color w:val="auto"/>
          <w:highlight w:val="none"/>
          <w:lang w:val="en-US" w:eastAsia="zh-CN"/>
        </w:rPr>
        <w:t>99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、硫化氢</w:t>
      </w:r>
      <w:r>
        <w:rPr>
          <w:rFonts w:hint="eastAsia" w:ascii="Times New Roman" w:hAnsi="Times New Roman" w:cs="Times New Roman"/>
          <w:color w:val="auto"/>
          <w:highlight w:val="none"/>
          <w:lang w:val="en-US" w:eastAsia="zh-CN"/>
        </w:rPr>
        <w:t>（占标率</w:t>
      </w:r>
      <w:r>
        <w:rPr>
          <w:rFonts w:hint="eastAsia" w:cs="Times New Roman"/>
          <w:color w:val="auto"/>
          <w:highlight w:val="none"/>
          <w:lang w:val="en-US" w:eastAsia="zh-CN"/>
        </w:rPr>
        <w:t>1.69</w:t>
      </w:r>
      <w:r>
        <w:rPr>
          <w:rFonts w:hint="eastAsia" w:ascii="Times New Roman" w:hAnsi="Times New Roman" w:cs="Times New Roman"/>
          <w:color w:val="auto"/>
          <w:highlight w:val="none"/>
          <w:lang w:val="en-US" w:eastAsia="zh-CN"/>
        </w:rPr>
        <w:t>%）小时平均浓度均符合</w:t>
      </w:r>
      <w:r>
        <w:rPr>
          <w:rFonts w:hint="default" w:ascii="Times New Roman" w:hAnsi="Times New Roman" w:cs="Times New Roman"/>
          <w:color w:val="auto"/>
          <w:highlight w:val="none"/>
        </w:rPr>
        <w:t>《环境影响评价技术导则 大气环境》(HJ2.2-2018）附录D其他污染物空气质量浓度参考限值</w:t>
      </w:r>
      <w:r>
        <w:rPr>
          <w:rFonts w:hint="eastAsia" w:ascii="Times New Roman" w:hAnsi="Times New Roman"/>
          <w:color w:val="auto"/>
          <w:kern w:val="0"/>
          <w:szCs w:val="22"/>
          <w:highlight w:val="none"/>
        </w:rPr>
        <w:t>。</w:t>
      </w:r>
    </w:p>
    <w:p>
      <w:pPr>
        <w:ind w:firstLine="480"/>
        <w:rPr>
          <w:rFonts w:ascii="Times New Roman" w:hAnsi="Times New Roman"/>
          <w:color w:val="auto"/>
          <w:highlight w:val="none"/>
        </w:rPr>
      </w:pPr>
      <w:r>
        <w:rPr>
          <w:rFonts w:hint="eastAsia" w:ascii="Times New Roman" w:hAnsi="Times New Roman"/>
          <w:color w:val="auto"/>
          <w:kern w:val="0"/>
          <w:szCs w:val="22"/>
          <w:highlight w:val="none"/>
        </w:rPr>
        <w:t>综上，各污染因子叠加现状浓度与在建、拟建项目的环境影响后，各网格点主要污染物的短期浓度、保证率日平均质量浓度和年平均质量浓度均能达到评价提出的环境质量标准要求（即符合环境质量标准）</w:t>
      </w:r>
      <w:r>
        <w:rPr>
          <w:rFonts w:ascii="Times New Roman" w:hAnsi="Times New Roman"/>
          <w:color w:val="auto"/>
          <w:kern w:val="0"/>
          <w:szCs w:val="22"/>
          <w:highlight w:val="none"/>
        </w:rPr>
        <w:t>。</w:t>
      </w:r>
    </w:p>
    <w:p>
      <w:pPr>
        <w:ind w:firstLine="480"/>
        <w:rPr>
          <w:rFonts w:ascii="Times New Roman" w:hAnsi="Times New Roman"/>
          <w:color w:val="auto"/>
          <w:highlight w:val="none"/>
        </w:rPr>
      </w:pPr>
      <w:r>
        <w:rPr>
          <w:rFonts w:ascii="Times New Roman" w:hAnsi="Times New Roman"/>
          <w:color w:val="auto"/>
          <w:highlight w:val="none"/>
        </w:rPr>
        <w:t>④根据预测结果，本项目非正常排放下，</w:t>
      </w:r>
      <w:r>
        <w:rPr>
          <w:rFonts w:hint="eastAsia"/>
          <w:color w:val="auto"/>
          <w:highlight w:val="none"/>
          <w:lang w:val="en-US" w:eastAsia="zh-CN"/>
        </w:rPr>
        <w:t>污染物未经废气治理设施处理后排放，对周边大气环境会产生一定影响，主要影响是周边村庄的落地浓度略有增加，但未造成敏感目标的影响浓度超标</w:t>
      </w:r>
      <w:r>
        <w:rPr>
          <w:rFonts w:hint="eastAsia"/>
          <w:color w:val="auto"/>
          <w:highlight w:val="none"/>
          <w:lang w:eastAsia="zh-CN"/>
        </w:rPr>
        <w:t>；</w:t>
      </w:r>
      <w:r>
        <w:rPr>
          <w:rFonts w:hint="eastAsia"/>
          <w:color w:val="auto"/>
          <w:highlight w:val="none"/>
          <w:lang w:val="en-US" w:eastAsia="zh-CN"/>
        </w:rPr>
        <w:t>网格点颗粒物最大占标率</w:t>
      </w:r>
      <w:r>
        <w:rPr>
          <w:rFonts w:hint="eastAsia"/>
          <w:color w:val="auto"/>
          <w:highlight w:val="none"/>
          <w:lang w:val="en-US" w:eastAsia="zh-CN"/>
        </w:rPr>
        <w:t>达366.52%，超标范围达64.1公顷，</w:t>
      </w:r>
      <w:r>
        <w:rPr>
          <w:rFonts w:hint="eastAsia"/>
          <w:color w:val="auto"/>
          <w:highlight w:val="none"/>
          <w:lang w:val="en-US" w:eastAsia="zh-CN"/>
        </w:rPr>
        <w:t>影响范围较广。因此，</w:t>
      </w:r>
      <w:r>
        <w:rPr>
          <w:rFonts w:ascii="Times New Roman" w:hAnsi="Times New Roman"/>
          <w:color w:val="auto"/>
          <w:highlight w:val="none"/>
        </w:rPr>
        <w:t>建设单位应加强对污染防治设施的日常管理，严格操作规程，对生产设备进行定期检修</w:t>
      </w:r>
      <w:r>
        <w:rPr>
          <w:rFonts w:hint="eastAsia"/>
          <w:color w:val="auto"/>
          <w:highlight w:val="none"/>
          <w:lang w:eastAsia="zh-CN"/>
        </w:rPr>
        <w:t>，</w:t>
      </w:r>
      <w:r>
        <w:rPr>
          <w:rFonts w:ascii="Times New Roman" w:hAnsi="Times New Roman"/>
          <w:color w:val="auto"/>
          <w:highlight w:val="none"/>
        </w:rPr>
        <w:t>减少非正常工况的发生几率，杜绝事故性排放。</w:t>
      </w:r>
    </w:p>
    <w:p>
      <w:pPr>
        <w:ind w:firstLine="480"/>
        <w:rPr>
          <w:rFonts w:ascii="Times New Roman" w:hAnsi="Times New Roman"/>
          <w:color w:val="auto"/>
          <w:highlight w:val="none"/>
        </w:rPr>
      </w:pPr>
      <w:r>
        <w:rPr>
          <w:rFonts w:ascii="Times New Roman" w:hAnsi="Times New Roman"/>
          <w:color w:val="auto"/>
          <w:highlight w:val="none"/>
        </w:rPr>
        <w:t>⑤项目厂界浓度预测结果表明，项目厂界线无超标点，厂界浓度均满足厂界排标准要求。</w:t>
      </w:r>
    </w:p>
    <w:p>
      <w:pPr>
        <w:ind w:firstLine="480"/>
        <w:rPr>
          <w:rFonts w:hint="default" w:ascii="Times New Roman" w:hAnsi="Times New Roman" w:eastAsia="宋体"/>
          <w:color w:val="auto"/>
          <w:highlight w:val="none"/>
          <w:lang w:val="en-US" w:eastAsia="zh-CN"/>
        </w:rPr>
      </w:pPr>
      <w:r>
        <w:rPr>
          <w:rFonts w:hint="eastAsia"/>
          <w:color w:val="auto"/>
          <w:highlight w:val="none"/>
          <w:lang w:val="en-US" w:eastAsia="zh-CN"/>
        </w:rPr>
        <w:t>⑦距离本项目最近的敏感目标为厂界南侧的一层村（相对厂界距离35 m），</w:t>
      </w:r>
      <w:r>
        <w:rPr>
          <w:rFonts w:hint="default" w:ascii="Times New Roman" w:hAnsi="Times New Roman" w:cs="Times New Roman"/>
          <w:color w:val="auto"/>
          <w:highlight w:val="none"/>
          <w:lang w:val="en-US" w:eastAsia="zh-CN"/>
        </w:rPr>
        <w:t>一层村相对于本项目位于常年主导风向侧风向</w:t>
      </w:r>
      <w:r>
        <w:rPr>
          <w:rFonts w:hint="eastAsia" w:cs="Times New Roman"/>
          <w:color w:val="auto"/>
          <w:highlight w:val="none"/>
          <w:lang w:val="en-US" w:eastAsia="zh-CN"/>
        </w:rPr>
        <w:t>，建设单位在落实好本评价提出的措施后，项目运营期对一层村的影响较小。</w:t>
      </w:r>
    </w:p>
    <w:p>
      <w:pPr>
        <w:ind w:firstLine="480"/>
        <w:rPr>
          <w:rFonts w:ascii="Times New Roman" w:hAnsi="Times New Roman"/>
          <w:color w:val="auto"/>
          <w:highlight w:val="none"/>
        </w:rPr>
      </w:pPr>
      <w:r>
        <w:rPr>
          <w:rFonts w:hint="eastAsia"/>
          <w:color w:val="auto"/>
          <w:kern w:val="0"/>
          <w:szCs w:val="22"/>
          <w:highlight w:val="none"/>
          <w:lang w:val="en-US" w:eastAsia="zh-CN"/>
        </w:rPr>
        <w:t>⑧</w:t>
      </w:r>
      <w:r>
        <w:rPr>
          <w:rFonts w:ascii="Times New Roman" w:hAnsi="Times New Roman"/>
          <w:color w:val="auto"/>
          <w:kern w:val="0"/>
          <w:szCs w:val="22"/>
          <w:highlight w:val="none"/>
        </w:rPr>
        <w:t>项目环境防护距离</w:t>
      </w:r>
    </w:p>
    <w:p>
      <w:pPr>
        <w:ind w:firstLine="480"/>
        <w:rPr>
          <w:color w:val="auto"/>
          <w:highlight w:val="none"/>
        </w:rPr>
      </w:pPr>
      <w:r>
        <w:rPr>
          <w:rFonts w:ascii="Times New Roman" w:hAnsi="Times New Roman"/>
          <w:color w:val="auto"/>
          <w:highlight w:val="none"/>
        </w:rPr>
        <w:t>本项目大气环境防护距离为0；卫生防护距离为：</w:t>
      </w:r>
      <w:r>
        <w:rPr>
          <w:rFonts w:hint="eastAsia" w:cs="Times New Roman"/>
          <w:color w:val="auto"/>
          <w:highlight w:val="none"/>
          <w:lang w:val="en-US" w:eastAsia="zh-CN"/>
        </w:rPr>
        <w:t>前纺楼向外延伸形成100 m的包络线区域（其中，污水处理站位于前纺楼1 F，卫生防护距离按前纺楼计）；后纺楼向外延伸形成50 m的包络线区域</w:t>
      </w:r>
      <w:r>
        <w:rPr>
          <w:color w:val="auto"/>
          <w:highlight w:val="none"/>
        </w:rPr>
        <w:t>。</w:t>
      </w:r>
    </w:p>
    <w:p>
      <w:pPr>
        <w:ind w:firstLine="480"/>
        <w:rPr>
          <w:color w:val="auto"/>
          <w:highlight w:val="none"/>
        </w:rPr>
      </w:pPr>
      <w:r>
        <w:rPr>
          <w:color w:val="auto"/>
          <w:highlight w:val="none"/>
        </w:rPr>
        <w:t>（3）大气环境影响评价结论</w:t>
      </w:r>
    </w:p>
    <w:p>
      <w:pPr>
        <w:rPr>
          <w:rFonts w:hint="eastAsia"/>
          <w:color w:val="auto"/>
          <w:highlight w:val="none"/>
        </w:rPr>
      </w:pPr>
      <w:r>
        <w:rPr>
          <w:color w:val="auto"/>
          <w:highlight w:val="none"/>
        </w:rPr>
        <w:t>综上所述，本项目在落实各项环保措施的前提下，从大气环境影响角度分析，项目建设是可行的</w:t>
      </w:r>
      <w:r>
        <w:rPr>
          <w:rFonts w:hint="eastAsia"/>
          <w:color w:val="auto"/>
          <w:highlight w:val="none"/>
        </w:rPr>
        <w:t>。</w:t>
      </w:r>
    </w:p>
    <w:p>
      <w:pPr>
        <w:pStyle w:val="24"/>
        <w:numPr>
          <w:ilvl w:val="6"/>
          <w:numId w:val="3"/>
        </w:numPr>
        <w:tabs>
          <w:tab w:val="left" w:pos="420"/>
        </w:tabs>
        <w:bidi w:val="0"/>
        <w:rPr>
          <w:rFonts w:hint="default"/>
          <w:color w:val="auto"/>
          <w:highlight w:val="none"/>
          <w:lang w:val="en-US" w:eastAsia="zh-CN"/>
        </w:rPr>
      </w:pPr>
      <w:r>
        <w:rPr>
          <w:rFonts w:hint="default"/>
          <w:color w:val="auto"/>
          <w:highlight w:val="none"/>
          <w:lang w:val="en-US" w:eastAsia="zh-CN"/>
        </w:rPr>
        <w:t>建设项目大气环境影响评价自查表</w:t>
      </w:r>
    </w:p>
    <w:tbl>
      <w:tblPr>
        <w:tblStyle w:val="17"/>
        <w:tblW w:w="95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875"/>
        <w:gridCol w:w="756"/>
        <w:gridCol w:w="159"/>
        <w:gridCol w:w="158"/>
        <w:gridCol w:w="255"/>
        <w:gridCol w:w="377"/>
        <w:gridCol w:w="100"/>
        <w:gridCol w:w="301"/>
        <w:gridCol w:w="129"/>
        <w:gridCol w:w="892"/>
        <w:gridCol w:w="961"/>
        <w:gridCol w:w="382"/>
        <w:gridCol w:w="261"/>
        <w:gridCol w:w="396"/>
        <w:gridCol w:w="240"/>
        <w:gridCol w:w="169"/>
        <w:gridCol w:w="392"/>
        <w:gridCol w:w="7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65" w:type="dxa"/>
            <w:gridSpan w:val="2"/>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工作内容</w:t>
            </w:r>
          </w:p>
        </w:tc>
        <w:tc>
          <w:tcPr>
            <w:tcW w:w="6707" w:type="dxa"/>
            <w:gridSpan w:val="1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990"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评价等级与服务</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评价等级</w:t>
            </w:r>
          </w:p>
        </w:tc>
        <w:tc>
          <w:tcPr>
            <w:tcW w:w="2106" w:type="dxa"/>
            <w:gridSpan w:val="7"/>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一级</w:t>
            </w:r>
            <w:r>
              <w:rPr>
                <w:rFonts w:ascii="Times New Roman" w:hAnsi="Times New Roman"/>
                <w:color w:val="auto"/>
                <w:sz w:val="18"/>
                <w:szCs w:val="18"/>
                <w:highlight w:val="none"/>
              </w:rPr>
              <w:sym w:font="Wingdings 2" w:char="0052"/>
            </w:r>
          </w:p>
        </w:tc>
        <w:tc>
          <w:tcPr>
            <w:tcW w:w="3021"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二级</w:t>
            </w:r>
            <w:r>
              <w:rPr>
                <w:rFonts w:ascii="Times New Roman" w:hAnsi="Times New Roman"/>
                <w:color w:val="auto"/>
                <w:sz w:val="18"/>
                <w:szCs w:val="18"/>
                <w:highlight w:val="none"/>
              </w:rPr>
              <w:sym w:font="Wingdings 2" w:char="00A3"/>
            </w:r>
          </w:p>
        </w:tc>
        <w:tc>
          <w:tcPr>
            <w:tcW w:w="1580"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 xml:space="preserve">三级 </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评价范围</w:t>
            </w:r>
          </w:p>
        </w:tc>
        <w:tc>
          <w:tcPr>
            <w:tcW w:w="2106" w:type="dxa"/>
            <w:gridSpan w:val="7"/>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边长=50 km</w:t>
            </w:r>
            <w:r>
              <w:rPr>
                <w:rFonts w:ascii="Times New Roman" w:hAnsi="Times New Roman"/>
                <w:color w:val="auto"/>
                <w:sz w:val="18"/>
                <w:szCs w:val="18"/>
                <w:highlight w:val="none"/>
              </w:rPr>
              <w:sym w:font="Wingdings 2" w:char="00A3"/>
            </w:r>
          </w:p>
        </w:tc>
        <w:tc>
          <w:tcPr>
            <w:tcW w:w="3021"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边长5-50 km</w:t>
            </w:r>
            <w:r>
              <w:rPr>
                <w:rFonts w:ascii="Times New Roman" w:hAnsi="Times New Roman"/>
                <w:color w:val="auto"/>
                <w:sz w:val="18"/>
                <w:szCs w:val="18"/>
                <w:highlight w:val="none"/>
              </w:rPr>
              <w:sym w:font="Wingdings 2" w:char="0052"/>
            </w:r>
          </w:p>
        </w:tc>
        <w:tc>
          <w:tcPr>
            <w:tcW w:w="1580"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边长=5 km</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评价因子</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SO</w:t>
            </w:r>
            <w:r>
              <w:rPr>
                <w:rFonts w:ascii="Times New Roman" w:hAnsi="Times New Roman"/>
                <w:color w:val="auto"/>
                <w:sz w:val="18"/>
                <w:szCs w:val="18"/>
                <w:highlight w:val="none"/>
                <w:vertAlign w:val="subscript"/>
              </w:rPr>
              <w:t>2</w:t>
            </w:r>
            <w:r>
              <w:rPr>
                <w:rFonts w:ascii="Times New Roman" w:hAnsi="Times New Roman"/>
                <w:color w:val="auto"/>
                <w:sz w:val="18"/>
                <w:szCs w:val="18"/>
                <w:highlight w:val="none"/>
              </w:rPr>
              <w:t>+NOx排放量</w:t>
            </w:r>
          </w:p>
        </w:tc>
        <w:tc>
          <w:tcPr>
            <w:tcW w:w="1073" w:type="dxa"/>
            <w:gridSpan w:val="3"/>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≥2000 t/a</w:t>
            </w:r>
            <w:r>
              <w:rPr>
                <w:rFonts w:ascii="Times New Roman" w:hAnsi="Times New Roman"/>
                <w:color w:val="auto"/>
                <w:sz w:val="18"/>
                <w:szCs w:val="18"/>
                <w:highlight w:val="none"/>
              </w:rPr>
              <w:sym w:font="Wingdings 2" w:char="00A3"/>
            </w:r>
          </w:p>
        </w:tc>
        <w:tc>
          <w:tcPr>
            <w:tcW w:w="4054" w:type="dxa"/>
            <w:gridSpan w:val="10"/>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500-2000 t/a</w:t>
            </w:r>
            <w:r>
              <w:rPr>
                <w:rFonts w:ascii="Times New Roman" w:hAnsi="Times New Roman"/>
                <w:color w:val="auto"/>
                <w:sz w:val="18"/>
                <w:szCs w:val="18"/>
                <w:highlight w:val="none"/>
              </w:rPr>
              <w:sym w:font="Wingdings 2" w:char="00A3"/>
            </w:r>
          </w:p>
        </w:tc>
        <w:tc>
          <w:tcPr>
            <w:tcW w:w="1580"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＜500 t/a</w:t>
            </w:r>
            <w:r>
              <w:rPr>
                <w:rFonts w:ascii="Times New Roman" w:hAnsi="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评价因子</w:t>
            </w:r>
          </w:p>
        </w:tc>
        <w:tc>
          <w:tcPr>
            <w:tcW w:w="4088" w:type="dxa"/>
            <w:gridSpan w:val="10"/>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其他污染物（</w:t>
            </w:r>
            <w:r>
              <w:rPr>
                <w:rFonts w:hint="default" w:ascii="Times New Roman" w:hAnsi="Times New Roman" w:cs="Times New Roman"/>
                <w:color w:val="auto"/>
                <w:sz w:val="18"/>
                <w:szCs w:val="18"/>
                <w:highlight w:val="none"/>
                <w:lang w:val="en-US" w:eastAsia="zh-CN"/>
              </w:rPr>
              <w:t>PM</w:t>
            </w:r>
            <w:r>
              <w:rPr>
                <w:rFonts w:hint="default" w:ascii="Times New Roman" w:hAnsi="Times New Roman" w:cs="Times New Roman"/>
                <w:color w:val="auto"/>
                <w:sz w:val="18"/>
                <w:szCs w:val="18"/>
                <w:highlight w:val="none"/>
                <w:vertAlign w:val="subscript"/>
                <w:lang w:val="en-US" w:eastAsia="zh-CN"/>
              </w:rPr>
              <w:t>10</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NO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、SO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非甲烷总烃、氨、硫化氢</w:t>
            </w:r>
            <w:r>
              <w:rPr>
                <w:rFonts w:ascii="Times New Roman" w:hAnsi="Times New Roman"/>
                <w:color w:val="auto"/>
                <w:sz w:val="18"/>
                <w:szCs w:val="18"/>
                <w:highlight w:val="none"/>
              </w:rPr>
              <w:t>）</w:t>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包括二次PM</w:t>
            </w:r>
            <w:r>
              <w:rPr>
                <w:rFonts w:ascii="Times New Roman" w:hAnsi="Times New Roman"/>
                <w:color w:val="auto"/>
                <w:sz w:val="18"/>
                <w:szCs w:val="18"/>
                <w:highlight w:val="none"/>
                <w:vertAlign w:val="subscript"/>
              </w:rPr>
              <w:t>2.5</w:t>
            </w:r>
            <w:r>
              <w:rPr>
                <w:rFonts w:ascii="Times New Roman" w:hAnsi="Times New Roman"/>
                <w:color w:val="auto"/>
                <w:sz w:val="18"/>
                <w:szCs w:val="18"/>
                <w:highlight w:val="none"/>
              </w:rPr>
              <w:sym w:font="Wingdings 2" w:char="00A3"/>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不包括二次PM</w:t>
            </w:r>
            <w:r>
              <w:rPr>
                <w:rFonts w:ascii="Times New Roman" w:hAnsi="Times New Roman"/>
                <w:color w:val="auto"/>
                <w:sz w:val="18"/>
                <w:szCs w:val="18"/>
                <w:highlight w:val="none"/>
                <w:vertAlign w:val="subscript"/>
              </w:rPr>
              <w:t>2.5</w:t>
            </w:r>
            <w:r>
              <w:rPr>
                <w:rFonts w:ascii="Times New Roman" w:hAnsi="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评价标准</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评价标准</w:t>
            </w:r>
          </w:p>
        </w:tc>
        <w:tc>
          <w:tcPr>
            <w:tcW w:w="1705" w:type="dxa"/>
            <w:gridSpan w:val="5"/>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国家标准</w:t>
            </w:r>
            <w:r>
              <w:rPr>
                <w:rFonts w:ascii="Times New Roman" w:hAnsi="Times New Roman"/>
                <w:color w:val="auto"/>
                <w:sz w:val="18"/>
                <w:szCs w:val="18"/>
                <w:highlight w:val="none"/>
              </w:rPr>
              <w:sym w:font="Wingdings 2" w:char="0052"/>
            </w:r>
          </w:p>
        </w:tc>
        <w:tc>
          <w:tcPr>
            <w:tcW w:w="2383" w:type="dxa"/>
            <w:gridSpan w:val="5"/>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地方标准</w:t>
            </w:r>
            <w:r>
              <w:rPr>
                <w:rFonts w:ascii="Times New Roman" w:hAnsi="Times New Roman"/>
                <w:color w:val="auto"/>
                <w:sz w:val="18"/>
                <w:szCs w:val="18"/>
                <w:highlight w:val="none"/>
              </w:rPr>
              <w:sym w:font="Wingdings 2" w:char="00A3"/>
            </w:r>
          </w:p>
        </w:tc>
        <w:tc>
          <w:tcPr>
            <w:tcW w:w="1279"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附录D</w:t>
            </w:r>
            <w:r>
              <w:rPr>
                <w:rFonts w:ascii="Times New Roman" w:hAnsi="Times New Roman"/>
                <w:color w:val="auto"/>
                <w:sz w:val="18"/>
                <w:szCs w:val="18"/>
                <w:highlight w:val="none"/>
              </w:rPr>
              <w:sym w:font="Wingdings 2" w:char="0052"/>
            </w:r>
          </w:p>
        </w:tc>
        <w:tc>
          <w:tcPr>
            <w:tcW w:w="1340" w:type="dxa"/>
            <w:gridSpan w:val="3"/>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其他标准</w:t>
            </w:r>
            <w:r>
              <w:rPr>
                <w:rFonts w:ascii="Times New Roman" w:hAnsi="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现状评价</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环境功能区</w:t>
            </w:r>
          </w:p>
        </w:tc>
        <w:tc>
          <w:tcPr>
            <w:tcW w:w="1705" w:type="dxa"/>
            <w:gridSpan w:val="5"/>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一类区</w:t>
            </w:r>
            <w:r>
              <w:rPr>
                <w:rFonts w:ascii="Times New Roman" w:hAnsi="Times New Roman"/>
                <w:color w:val="auto"/>
                <w:sz w:val="18"/>
                <w:szCs w:val="18"/>
                <w:highlight w:val="none"/>
              </w:rPr>
              <w:sym w:font="Wingdings 2" w:char="00A3"/>
            </w:r>
          </w:p>
        </w:tc>
        <w:tc>
          <w:tcPr>
            <w:tcW w:w="3026"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二类区</w:t>
            </w:r>
            <w:r>
              <w:rPr>
                <w:rFonts w:ascii="Times New Roman" w:hAnsi="Times New Roman"/>
                <w:color w:val="auto"/>
                <w:sz w:val="18"/>
                <w:szCs w:val="18"/>
                <w:highlight w:val="none"/>
              </w:rPr>
              <w:sym w:font="Wingdings 2" w:char="0052"/>
            </w:r>
          </w:p>
        </w:tc>
        <w:tc>
          <w:tcPr>
            <w:tcW w:w="1976" w:type="dxa"/>
            <w:gridSpan w:val="5"/>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一类区和二类区</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评价基准年</w:t>
            </w:r>
          </w:p>
        </w:tc>
        <w:tc>
          <w:tcPr>
            <w:tcW w:w="6707" w:type="dxa"/>
            <w:gridSpan w:val="17"/>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2019</w:t>
            </w:r>
            <w:r>
              <w:rPr>
                <w:rFonts w:ascii="Times New Roman" w:hAnsi="Times New Roman"/>
                <w:color w:val="auto"/>
                <w:sz w:val="18"/>
                <w:szCs w:val="18"/>
                <w:highlight w:val="none"/>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环境空气质量现状调查数据来源</w:t>
            </w:r>
          </w:p>
        </w:tc>
        <w:tc>
          <w:tcPr>
            <w:tcW w:w="1705" w:type="dxa"/>
            <w:gridSpan w:val="5"/>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长期例行监测数据</w:t>
            </w:r>
            <w:r>
              <w:rPr>
                <w:rFonts w:ascii="Times New Roman" w:hAnsi="Times New Roman"/>
                <w:color w:val="auto"/>
                <w:sz w:val="18"/>
                <w:szCs w:val="18"/>
                <w:highlight w:val="none"/>
              </w:rPr>
              <w:sym w:font="Wingdings 2" w:char="00A3"/>
            </w:r>
          </w:p>
        </w:tc>
        <w:tc>
          <w:tcPr>
            <w:tcW w:w="3422" w:type="dxa"/>
            <w:gridSpan w:val="8"/>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主管部门发布的数据</w:t>
            </w:r>
            <w:r>
              <w:rPr>
                <w:rFonts w:ascii="Times New Roman" w:hAnsi="Times New Roman"/>
                <w:color w:val="auto"/>
                <w:sz w:val="18"/>
                <w:szCs w:val="18"/>
                <w:highlight w:val="none"/>
              </w:rPr>
              <w:sym w:font="Wingdings 2" w:char="0052"/>
            </w:r>
          </w:p>
        </w:tc>
        <w:tc>
          <w:tcPr>
            <w:tcW w:w="1580"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现状补充监测</w:t>
            </w:r>
            <w:r>
              <w:rPr>
                <w:rFonts w:ascii="Times New Roman" w:hAnsi="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现状评价</w:t>
            </w:r>
          </w:p>
        </w:tc>
        <w:tc>
          <w:tcPr>
            <w:tcW w:w="4088" w:type="dxa"/>
            <w:gridSpan w:val="10"/>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达标区</w:t>
            </w:r>
            <w:r>
              <w:rPr>
                <w:rFonts w:ascii="Times New Roman" w:hAnsi="Times New Roman"/>
                <w:color w:val="auto"/>
                <w:sz w:val="18"/>
                <w:szCs w:val="18"/>
                <w:highlight w:val="none"/>
              </w:rPr>
              <w:sym w:font="Wingdings 2" w:char="0052"/>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不达标区</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污染源调查</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调查内容</w:t>
            </w:r>
          </w:p>
        </w:tc>
        <w:tc>
          <w:tcPr>
            <w:tcW w:w="1805" w:type="dxa"/>
            <w:gridSpan w:val="6"/>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本项目正常排放源</w:t>
            </w:r>
            <w:r>
              <w:rPr>
                <w:rFonts w:ascii="Times New Roman" w:hAnsi="Times New Roman"/>
                <w:color w:val="auto"/>
                <w:sz w:val="18"/>
                <w:szCs w:val="18"/>
                <w:highlight w:val="none"/>
              </w:rPr>
              <w:sym w:font="Wingdings 2" w:char="0052"/>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本项目非正常排放源</w:t>
            </w:r>
            <w:r>
              <w:rPr>
                <w:rFonts w:ascii="Times New Roman" w:hAnsi="Times New Roman"/>
                <w:color w:val="auto"/>
                <w:sz w:val="18"/>
                <w:szCs w:val="18"/>
                <w:highlight w:val="none"/>
              </w:rPr>
              <w:sym w:font="Wingdings 2" w:char="0052"/>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现有污染源</w:t>
            </w:r>
            <w:r>
              <w:rPr>
                <w:rFonts w:ascii="Times New Roman" w:hAnsi="Times New Roman"/>
                <w:color w:val="auto"/>
                <w:sz w:val="18"/>
                <w:szCs w:val="18"/>
                <w:highlight w:val="none"/>
              </w:rPr>
              <w:sym w:font="Wingdings 2" w:char="0052"/>
            </w:r>
          </w:p>
        </w:tc>
        <w:tc>
          <w:tcPr>
            <w:tcW w:w="2283"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拟替代的污染源</w:t>
            </w:r>
            <w:r>
              <w:rPr>
                <w:rFonts w:ascii="Times New Roman" w:hAnsi="Times New Roman"/>
                <w:color w:val="auto"/>
                <w:sz w:val="18"/>
                <w:szCs w:val="18"/>
                <w:highlight w:val="none"/>
              </w:rPr>
              <w:sym w:font="Wingdings 2" w:char="00A3"/>
            </w:r>
          </w:p>
        </w:tc>
        <w:tc>
          <w:tcPr>
            <w:tcW w:w="1448" w:type="dxa"/>
            <w:gridSpan w:val="5"/>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其他在建、拟建项目污染源</w:t>
            </w:r>
            <w:r>
              <w:rPr>
                <w:rFonts w:ascii="Times New Roman" w:hAnsi="Times New Roman"/>
                <w:color w:val="auto"/>
                <w:sz w:val="18"/>
                <w:szCs w:val="18"/>
                <w:highlight w:val="none"/>
              </w:rPr>
              <w:sym w:font="Wingdings 2" w:char="0052"/>
            </w:r>
          </w:p>
        </w:tc>
        <w:tc>
          <w:tcPr>
            <w:tcW w:w="1171" w:type="dxa"/>
            <w:gridSpan w:val="2"/>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区域污染源</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大气环境影响预测与评价</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预测模型</w:t>
            </w:r>
          </w:p>
        </w:tc>
        <w:tc>
          <w:tcPr>
            <w:tcW w:w="756" w:type="dxa"/>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AERMOD</w:t>
            </w:r>
            <w:r>
              <w:rPr>
                <w:rFonts w:ascii="Times New Roman" w:hAnsi="Times New Roman"/>
                <w:color w:val="auto"/>
                <w:sz w:val="18"/>
                <w:szCs w:val="18"/>
                <w:highlight w:val="none"/>
              </w:rPr>
              <w:sym w:font="Wingdings 2" w:char="0052"/>
            </w:r>
          </w:p>
        </w:tc>
        <w:tc>
          <w:tcPr>
            <w:tcW w:w="1049" w:type="dxa"/>
            <w:gridSpan w:val="5"/>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ADMS</w:t>
            </w:r>
            <w:r>
              <w:rPr>
                <w:rFonts w:ascii="Times New Roman" w:hAnsi="Times New Roman"/>
                <w:color w:val="auto"/>
                <w:sz w:val="18"/>
                <w:szCs w:val="18"/>
                <w:highlight w:val="none"/>
              </w:rPr>
              <w:sym w:font="Wingdings 2" w:char="00A3"/>
            </w:r>
          </w:p>
        </w:tc>
        <w:tc>
          <w:tcPr>
            <w:tcW w:w="1322" w:type="dxa"/>
            <w:gridSpan w:val="3"/>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AUSTAL2000</w:t>
            </w:r>
            <w:r>
              <w:rPr>
                <w:rFonts w:ascii="Times New Roman" w:hAnsi="Times New Roman"/>
                <w:color w:val="auto"/>
                <w:sz w:val="18"/>
                <w:szCs w:val="18"/>
                <w:highlight w:val="none"/>
              </w:rPr>
              <w:sym w:font="Wingdings 2" w:char="00A3"/>
            </w:r>
          </w:p>
        </w:tc>
        <w:tc>
          <w:tcPr>
            <w:tcW w:w="961"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EDMS/AEDT</w:t>
            </w:r>
            <w:r>
              <w:rPr>
                <w:rFonts w:ascii="Times New Roman" w:hAnsi="Times New Roman"/>
                <w:color w:val="auto"/>
                <w:sz w:val="18"/>
                <w:szCs w:val="18"/>
                <w:highlight w:val="none"/>
              </w:rPr>
              <w:sym w:font="Wingdings 2" w:char="00A3"/>
            </w:r>
          </w:p>
        </w:tc>
        <w:tc>
          <w:tcPr>
            <w:tcW w:w="1039" w:type="dxa"/>
            <w:gridSpan w:val="3"/>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CALPUFF</w:t>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sym w:font="Wingdings 2" w:char="00A3"/>
            </w:r>
          </w:p>
        </w:tc>
        <w:tc>
          <w:tcPr>
            <w:tcW w:w="801" w:type="dxa"/>
            <w:gridSpan w:val="3"/>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网络模型</w:t>
            </w:r>
            <w:r>
              <w:rPr>
                <w:rFonts w:ascii="Times New Roman" w:hAnsi="Times New Roman"/>
                <w:color w:val="auto"/>
                <w:sz w:val="18"/>
                <w:szCs w:val="18"/>
                <w:highlight w:val="none"/>
              </w:rPr>
              <w:sym w:font="Wingdings 2" w:char="00A3"/>
            </w:r>
          </w:p>
        </w:tc>
        <w:tc>
          <w:tcPr>
            <w:tcW w:w="779"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其他</w:t>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预测范围</w:t>
            </w:r>
          </w:p>
        </w:tc>
        <w:tc>
          <w:tcPr>
            <w:tcW w:w="1805" w:type="dxa"/>
            <w:gridSpan w:val="6"/>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边长≥50 km</w:t>
            </w:r>
            <w:r>
              <w:rPr>
                <w:rFonts w:ascii="Times New Roman" w:hAnsi="Times New Roman"/>
                <w:color w:val="auto"/>
                <w:sz w:val="18"/>
                <w:szCs w:val="18"/>
                <w:highlight w:val="none"/>
              </w:rPr>
              <w:sym w:font="Wingdings 2" w:char="00A3"/>
            </w:r>
          </w:p>
        </w:tc>
        <w:tc>
          <w:tcPr>
            <w:tcW w:w="3322"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边长5-50 km</w:t>
            </w:r>
            <w:r>
              <w:rPr>
                <w:rFonts w:ascii="Times New Roman" w:hAnsi="Times New Roman"/>
                <w:color w:val="auto"/>
                <w:sz w:val="18"/>
                <w:szCs w:val="18"/>
                <w:highlight w:val="none"/>
              </w:rPr>
              <w:sym w:font="Wingdings 2" w:char="0052"/>
            </w:r>
          </w:p>
        </w:tc>
        <w:tc>
          <w:tcPr>
            <w:tcW w:w="1580" w:type="dxa"/>
            <w:gridSpan w:val="4"/>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边长=5 km</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预测因子</w:t>
            </w:r>
          </w:p>
        </w:tc>
        <w:tc>
          <w:tcPr>
            <w:tcW w:w="4088" w:type="dxa"/>
            <w:gridSpan w:val="10"/>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预测因子（</w:t>
            </w:r>
            <w:r>
              <w:rPr>
                <w:rFonts w:hint="default" w:ascii="Times New Roman" w:hAnsi="Times New Roman" w:cs="Times New Roman"/>
                <w:color w:val="auto"/>
                <w:sz w:val="18"/>
                <w:szCs w:val="18"/>
                <w:highlight w:val="none"/>
                <w:lang w:val="en-US" w:eastAsia="zh-CN"/>
              </w:rPr>
              <w:t>PM</w:t>
            </w:r>
            <w:r>
              <w:rPr>
                <w:rFonts w:hint="default" w:ascii="Times New Roman" w:hAnsi="Times New Roman" w:cs="Times New Roman"/>
                <w:color w:val="auto"/>
                <w:sz w:val="18"/>
                <w:szCs w:val="18"/>
                <w:highlight w:val="none"/>
                <w:vertAlign w:val="subscript"/>
                <w:lang w:val="en-US" w:eastAsia="zh-CN"/>
              </w:rPr>
              <w:t>10</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NO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、SO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非甲烷总烃、氨、硫化氢</w:t>
            </w:r>
            <w:r>
              <w:rPr>
                <w:rFonts w:ascii="Times New Roman" w:hAnsi="Times New Roman"/>
                <w:color w:val="auto"/>
                <w:sz w:val="18"/>
                <w:szCs w:val="18"/>
                <w:highlight w:val="none"/>
              </w:rPr>
              <w:t>）</w:t>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包括二次PM</w:t>
            </w:r>
            <w:r>
              <w:rPr>
                <w:rFonts w:ascii="Times New Roman" w:hAnsi="Times New Roman"/>
                <w:color w:val="auto"/>
                <w:sz w:val="18"/>
                <w:szCs w:val="18"/>
                <w:highlight w:val="none"/>
                <w:vertAlign w:val="subscript"/>
              </w:rPr>
              <w:t>2.5</w:t>
            </w:r>
            <w:r>
              <w:rPr>
                <w:rFonts w:ascii="Times New Roman" w:hAnsi="Times New Roman"/>
                <w:color w:val="auto"/>
                <w:sz w:val="18"/>
                <w:szCs w:val="18"/>
                <w:highlight w:val="none"/>
              </w:rPr>
              <w:sym w:font="Wingdings 2" w:char="00A3"/>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不包括二次PM</w:t>
            </w:r>
            <w:r>
              <w:rPr>
                <w:rFonts w:ascii="Times New Roman" w:hAnsi="Times New Roman"/>
                <w:color w:val="auto"/>
                <w:sz w:val="18"/>
                <w:szCs w:val="18"/>
                <w:highlight w:val="none"/>
                <w:vertAlign w:val="subscript"/>
              </w:rPr>
              <w:t>2.5</w:t>
            </w:r>
            <w:r>
              <w:rPr>
                <w:rFonts w:ascii="Times New Roman" w:hAnsi="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正常排放短期浓度贡献值</w:t>
            </w:r>
          </w:p>
        </w:tc>
        <w:tc>
          <w:tcPr>
            <w:tcW w:w="4088" w:type="dxa"/>
            <w:gridSpan w:val="10"/>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本项目</w:t>
            </w:r>
            <w:r>
              <w:rPr>
                <w:rFonts w:ascii="Times New Roman" w:hAnsi="Times New Roman"/>
                <w:color w:val="auto"/>
                <w:sz w:val="18"/>
                <w:szCs w:val="18"/>
                <w:highlight w:val="none"/>
              </w:rPr>
              <w:t>最大占标率≤100%</w:t>
            </w:r>
            <w:r>
              <w:rPr>
                <w:rFonts w:ascii="Times New Roman" w:hAnsi="Times New Roman"/>
                <w:color w:val="auto"/>
                <w:sz w:val="18"/>
                <w:szCs w:val="18"/>
                <w:highlight w:val="none"/>
              </w:rPr>
              <w:sym w:font="Wingdings 2" w:char="0052"/>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本项目</w:t>
            </w:r>
            <w:r>
              <w:rPr>
                <w:rFonts w:ascii="Times New Roman" w:hAnsi="Times New Roman"/>
                <w:color w:val="auto"/>
                <w:sz w:val="18"/>
                <w:szCs w:val="18"/>
                <w:highlight w:val="none"/>
              </w:rPr>
              <w:t>最大占标率&gt;100%</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正常排放年均浓度贡献值</w:t>
            </w:r>
          </w:p>
        </w:tc>
        <w:tc>
          <w:tcPr>
            <w:tcW w:w="915" w:type="dxa"/>
            <w:gridSpan w:val="2"/>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一类区</w:t>
            </w:r>
          </w:p>
        </w:tc>
        <w:tc>
          <w:tcPr>
            <w:tcW w:w="3173" w:type="dxa"/>
            <w:gridSpan w:val="8"/>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本项目</w:t>
            </w:r>
            <w:r>
              <w:rPr>
                <w:rFonts w:ascii="Times New Roman" w:hAnsi="Times New Roman"/>
                <w:color w:val="auto"/>
                <w:sz w:val="18"/>
                <w:szCs w:val="18"/>
                <w:highlight w:val="none"/>
              </w:rPr>
              <w:t>最大占标率≤10%</w:t>
            </w:r>
            <w:r>
              <w:rPr>
                <w:rFonts w:ascii="Times New Roman" w:hAnsi="Times New Roman"/>
                <w:color w:val="auto"/>
                <w:sz w:val="18"/>
                <w:szCs w:val="18"/>
                <w:highlight w:val="none"/>
              </w:rPr>
              <w:sym w:font="Wingdings 2" w:char="00A3"/>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本项目</w:t>
            </w:r>
            <w:r>
              <w:rPr>
                <w:rFonts w:ascii="Times New Roman" w:hAnsi="Times New Roman"/>
                <w:color w:val="auto"/>
                <w:sz w:val="18"/>
                <w:szCs w:val="18"/>
                <w:highlight w:val="none"/>
              </w:rPr>
              <w:t>最大占标率&gt;10%</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915" w:type="dxa"/>
            <w:gridSpan w:val="2"/>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二类区</w:t>
            </w:r>
          </w:p>
        </w:tc>
        <w:tc>
          <w:tcPr>
            <w:tcW w:w="3173" w:type="dxa"/>
            <w:gridSpan w:val="8"/>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本项目</w:t>
            </w:r>
            <w:r>
              <w:rPr>
                <w:rFonts w:ascii="Times New Roman" w:hAnsi="Times New Roman"/>
                <w:color w:val="auto"/>
                <w:sz w:val="18"/>
                <w:szCs w:val="18"/>
                <w:highlight w:val="none"/>
              </w:rPr>
              <w:t>最大占标率≤30%</w:t>
            </w:r>
            <w:r>
              <w:rPr>
                <w:rFonts w:ascii="Times New Roman" w:hAnsi="Times New Roman"/>
                <w:color w:val="auto"/>
                <w:sz w:val="18"/>
                <w:szCs w:val="18"/>
                <w:highlight w:val="none"/>
              </w:rPr>
              <w:sym w:font="Wingdings 2" w:char="0052"/>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本项目</w:t>
            </w:r>
            <w:r>
              <w:rPr>
                <w:rFonts w:ascii="Times New Roman" w:hAnsi="Times New Roman"/>
                <w:color w:val="auto"/>
                <w:sz w:val="18"/>
                <w:szCs w:val="18"/>
                <w:highlight w:val="none"/>
              </w:rPr>
              <w:t>最大占标率&gt;30%</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非正常排放1 h浓度贡献值</w:t>
            </w:r>
          </w:p>
        </w:tc>
        <w:tc>
          <w:tcPr>
            <w:tcW w:w="1328" w:type="dxa"/>
            <w:gridSpan w:val="4"/>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非正常持续时长（</w:t>
            </w:r>
            <w:r>
              <w:rPr>
                <w:rFonts w:hint="eastAsia" w:ascii="Times New Roman" w:hAnsi="Times New Roman"/>
                <w:color w:val="auto"/>
                <w:sz w:val="18"/>
                <w:szCs w:val="18"/>
                <w:highlight w:val="none"/>
              </w:rPr>
              <w:t>1</w:t>
            </w:r>
            <w:r>
              <w:rPr>
                <w:rFonts w:ascii="Times New Roman" w:hAnsi="Times New Roman"/>
                <w:color w:val="auto"/>
                <w:sz w:val="18"/>
                <w:szCs w:val="18"/>
                <w:highlight w:val="none"/>
              </w:rPr>
              <w:t>）h</w:t>
            </w:r>
          </w:p>
        </w:tc>
        <w:tc>
          <w:tcPr>
            <w:tcW w:w="2760"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非正常</w:t>
            </w:r>
            <w:r>
              <w:rPr>
                <w:rFonts w:ascii="Times New Roman" w:hAnsi="Times New Roman"/>
                <w:color w:val="auto"/>
                <w:sz w:val="18"/>
                <w:szCs w:val="18"/>
                <w:highlight w:val="none"/>
              </w:rPr>
              <w:t>最大占标率≤100%</w:t>
            </w:r>
            <w:r>
              <w:rPr>
                <w:rFonts w:ascii="Times New Roman" w:hAnsi="Times New Roman"/>
                <w:color w:val="auto"/>
                <w:sz w:val="18"/>
                <w:szCs w:val="18"/>
                <w:highlight w:val="none"/>
              </w:rPr>
              <w:sym w:font="Wingdings 2" w:char="0052"/>
            </w:r>
          </w:p>
        </w:tc>
        <w:tc>
          <w:tcPr>
            <w:tcW w:w="2619" w:type="dxa"/>
            <w:gridSpan w:val="7"/>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非正常</w:t>
            </w:r>
            <w:r>
              <w:rPr>
                <w:rFonts w:ascii="Times New Roman" w:hAnsi="Times New Roman"/>
                <w:color w:val="auto"/>
                <w:sz w:val="18"/>
                <w:szCs w:val="18"/>
                <w:highlight w:val="none"/>
              </w:rPr>
              <w:t>最大占标率&gt;100%</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保证率日平均浓度和年平均浓度叠加值</w:t>
            </w:r>
          </w:p>
        </w:tc>
        <w:tc>
          <w:tcPr>
            <w:tcW w:w="3127" w:type="dxa"/>
            <w:gridSpan w:val="9"/>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叠加</w:t>
            </w:r>
            <w:r>
              <w:rPr>
                <w:rFonts w:ascii="Times New Roman" w:hAnsi="Times New Roman"/>
                <w:color w:val="auto"/>
                <w:sz w:val="18"/>
                <w:szCs w:val="18"/>
                <w:highlight w:val="none"/>
              </w:rPr>
              <w:t>达标</w:t>
            </w:r>
            <w:r>
              <w:rPr>
                <w:rFonts w:ascii="Times New Roman" w:hAnsi="Times New Roman"/>
                <w:color w:val="auto"/>
                <w:sz w:val="18"/>
                <w:szCs w:val="18"/>
                <w:highlight w:val="none"/>
              </w:rPr>
              <w:sym w:font="Wingdings 2" w:char="0052"/>
            </w:r>
          </w:p>
        </w:tc>
        <w:tc>
          <w:tcPr>
            <w:tcW w:w="3580" w:type="dxa"/>
            <w:gridSpan w:val="8"/>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C</w:t>
            </w:r>
            <w:r>
              <w:rPr>
                <w:rFonts w:ascii="Times New Roman" w:hAnsi="Times New Roman"/>
                <w:color w:val="auto"/>
                <w:sz w:val="18"/>
                <w:szCs w:val="18"/>
                <w:highlight w:val="none"/>
                <w:vertAlign w:val="subscript"/>
              </w:rPr>
              <w:t>叠加</w:t>
            </w:r>
            <w:r>
              <w:rPr>
                <w:rFonts w:ascii="Times New Roman" w:hAnsi="Times New Roman"/>
                <w:color w:val="auto"/>
                <w:sz w:val="18"/>
                <w:szCs w:val="18"/>
                <w:highlight w:val="none"/>
              </w:rPr>
              <w:t>不达标</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区域环境质量的整体变化情况</w:t>
            </w:r>
          </w:p>
        </w:tc>
        <w:tc>
          <w:tcPr>
            <w:tcW w:w="3127" w:type="dxa"/>
            <w:gridSpan w:val="9"/>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k≤-20%</w:t>
            </w:r>
            <w:r>
              <w:rPr>
                <w:rFonts w:ascii="Times New Roman" w:hAnsi="Times New Roman"/>
                <w:color w:val="auto"/>
                <w:sz w:val="18"/>
                <w:szCs w:val="18"/>
                <w:highlight w:val="none"/>
              </w:rPr>
              <w:sym w:font="Wingdings 2" w:char="00A3"/>
            </w:r>
          </w:p>
        </w:tc>
        <w:tc>
          <w:tcPr>
            <w:tcW w:w="3580" w:type="dxa"/>
            <w:gridSpan w:val="8"/>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k&gt;-20%</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环境监测计划</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污染源监测</w:t>
            </w:r>
          </w:p>
        </w:tc>
        <w:tc>
          <w:tcPr>
            <w:tcW w:w="3127" w:type="dxa"/>
            <w:gridSpan w:val="9"/>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监测因子：（</w:t>
            </w:r>
            <w:r>
              <w:rPr>
                <w:rFonts w:hint="default" w:ascii="Times New Roman" w:hAnsi="Times New Roman" w:cs="Times New Roman"/>
                <w:color w:val="auto"/>
                <w:sz w:val="18"/>
                <w:szCs w:val="18"/>
                <w:highlight w:val="none"/>
                <w:lang w:val="en-US" w:eastAsia="zh-CN"/>
              </w:rPr>
              <w:t>PM</w:t>
            </w:r>
            <w:r>
              <w:rPr>
                <w:rFonts w:hint="default" w:ascii="Times New Roman" w:hAnsi="Times New Roman" w:cs="Times New Roman"/>
                <w:color w:val="auto"/>
                <w:sz w:val="18"/>
                <w:szCs w:val="18"/>
                <w:highlight w:val="none"/>
                <w:vertAlign w:val="subscript"/>
                <w:lang w:val="en-US" w:eastAsia="zh-CN"/>
              </w:rPr>
              <w:t>10</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NO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、SO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非甲烷总烃、氨、硫化氢</w:t>
            </w:r>
            <w:r>
              <w:rPr>
                <w:rFonts w:ascii="Times New Roman" w:hAnsi="Times New Roman"/>
                <w:color w:val="auto"/>
                <w:sz w:val="18"/>
                <w:szCs w:val="18"/>
                <w:highlight w:val="none"/>
              </w:rPr>
              <w:t>）</w:t>
            </w:r>
          </w:p>
        </w:tc>
        <w:tc>
          <w:tcPr>
            <w:tcW w:w="2409"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有组织废气监测</w:t>
            </w:r>
            <w:r>
              <w:rPr>
                <w:rFonts w:ascii="Times New Roman" w:hAnsi="Times New Roman"/>
                <w:color w:val="auto"/>
                <w:sz w:val="18"/>
                <w:szCs w:val="18"/>
                <w:highlight w:val="none"/>
              </w:rPr>
              <w:sym w:font="Wingdings 2" w:char="0052"/>
            </w:r>
          </w:p>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无组织废气监测</w:t>
            </w:r>
            <w:r>
              <w:rPr>
                <w:rFonts w:ascii="Times New Roman" w:hAnsi="Times New Roman"/>
                <w:color w:val="auto"/>
                <w:sz w:val="18"/>
                <w:szCs w:val="18"/>
                <w:highlight w:val="none"/>
              </w:rPr>
              <w:sym w:font="Wingdings 2" w:char="0052"/>
            </w:r>
          </w:p>
        </w:tc>
        <w:tc>
          <w:tcPr>
            <w:tcW w:w="1171" w:type="dxa"/>
            <w:gridSpan w:val="2"/>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无监测</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环境质量监测</w:t>
            </w:r>
          </w:p>
        </w:tc>
        <w:tc>
          <w:tcPr>
            <w:tcW w:w="3127" w:type="dxa"/>
            <w:gridSpan w:val="9"/>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监测因子：（</w:t>
            </w:r>
            <w:r>
              <w:rPr>
                <w:rFonts w:hint="eastAsia" w:cs="Times New Roman"/>
                <w:color w:val="auto"/>
                <w:sz w:val="18"/>
                <w:szCs w:val="18"/>
                <w:highlight w:val="none"/>
                <w:lang w:val="en-US" w:eastAsia="zh-CN"/>
              </w:rPr>
              <w:t>TSP</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NO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、SO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、NMHC臭气浓度</w:t>
            </w:r>
            <w:r>
              <w:rPr>
                <w:rFonts w:ascii="Times New Roman" w:hAnsi="Times New Roman"/>
                <w:color w:val="auto"/>
                <w:sz w:val="18"/>
                <w:szCs w:val="18"/>
                <w:highlight w:val="none"/>
              </w:rPr>
              <w:t>）</w:t>
            </w:r>
          </w:p>
        </w:tc>
        <w:tc>
          <w:tcPr>
            <w:tcW w:w="2409"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监测点位数（</w:t>
            </w:r>
            <w:r>
              <w:rPr>
                <w:rFonts w:hint="eastAsia" w:ascii="Times New Roman" w:hAnsi="Times New Roman"/>
                <w:color w:val="auto"/>
                <w:sz w:val="18"/>
                <w:szCs w:val="18"/>
                <w:highlight w:val="none"/>
                <w:lang w:val="en-US" w:eastAsia="zh-CN"/>
              </w:rPr>
              <w:t>1</w:t>
            </w:r>
            <w:r>
              <w:rPr>
                <w:rFonts w:ascii="Times New Roman" w:hAnsi="Times New Roman"/>
                <w:color w:val="auto"/>
                <w:sz w:val="18"/>
                <w:szCs w:val="18"/>
                <w:highlight w:val="none"/>
              </w:rPr>
              <w:t>）</w:t>
            </w:r>
          </w:p>
        </w:tc>
        <w:tc>
          <w:tcPr>
            <w:tcW w:w="1171" w:type="dxa"/>
            <w:gridSpan w:val="2"/>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无监测</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评价结论</w:t>
            </w: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环境影响</w:t>
            </w:r>
          </w:p>
        </w:tc>
        <w:tc>
          <w:tcPr>
            <w:tcW w:w="6707" w:type="dxa"/>
            <w:gridSpan w:val="17"/>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可以接受</w:t>
            </w:r>
            <w:r>
              <w:rPr>
                <w:rFonts w:ascii="Times New Roman" w:hAnsi="Times New Roman"/>
                <w:color w:val="auto"/>
                <w:sz w:val="18"/>
                <w:szCs w:val="18"/>
                <w:highlight w:val="none"/>
              </w:rPr>
              <w:sym w:font="Wingdings 2" w:char="0052"/>
            </w:r>
            <w:r>
              <w:rPr>
                <w:rFonts w:ascii="Times New Roman" w:hAnsi="Times New Roman"/>
                <w:color w:val="auto"/>
                <w:sz w:val="18"/>
                <w:szCs w:val="18"/>
                <w:highlight w:val="none"/>
              </w:rPr>
              <w:t xml:space="preserve">      不可以接受</w:t>
            </w:r>
            <w:r>
              <w:rPr>
                <w:rFonts w:ascii="Times New Roman" w:hAnsi="Times New Roman"/>
                <w:color w:val="auto"/>
                <w:sz w:val="18"/>
                <w:szCs w:val="18"/>
                <w:highlight w:val="none"/>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大气环境防护距离</w:t>
            </w:r>
          </w:p>
        </w:tc>
        <w:tc>
          <w:tcPr>
            <w:tcW w:w="6707" w:type="dxa"/>
            <w:gridSpan w:val="17"/>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距（）厂界最远（）m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1875" w:type="dxa"/>
            <w:vMerge w:val="restart"/>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污染源年排放量</w:t>
            </w:r>
          </w:p>
        </w:tc>
        <w:tc>
          <w:tcPr>
            <w:tcW w:w="2235" w:type="dxa"/>
            <w:gridSpan w:val="8"/>
            <w:tcMar>
              <w:left w:w="0" w:type="dxa"/>
              <w:right w:w="0" w:type="dxa"/>
            </w:tcMar>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SO</w:t>
            </w:r>
            <w:r>
              <w:rPr>
                <w:rFonts w:ascii="Times New Roman" w:hAnsi="Times New Roman"/>
                <w:color w:val="auto"/>
                <w:sz w:val="18"/>
                <w:szCs w:val="18"/>
                <w:highlight w:val="none"/>
                <w:vertAlign w:val="subscript"/>
              </w:rPr>
              <w:t>2</w:t>
            </w:r>
            <w:r>
              <w:rPr>
                <w:rFonts w:ascii="Times New Roman" w:hAnsi="Times New Roman"/>
                <w:color w:val="auto"/>
                <w:sz w:val="18"/>
                <w:szCs w:val="18"/>
                <w:highlight w:val="none"/>
              </w:rPr>
              <w:t>：（</w:t>
            </w:r>
            <w:r>
              <w:rPr>
                <w:rFonts w:hint="eastAsia"/>
                <w:color w:val="auto"/>
                <w:sz w:val="18"/>
                <w:szCs w:val="18"/>
                <w:highlight w:val="none"/>
                <w:lang w:val="en-US" w:eastAsia="zh-CN"/>
              </w:rPr>
              <w:t>0.9631</w:t>
            </w:r>
            <w:r>
              <w:rPr>
                <w:rFonts w:ascii="Times New Roman" w:hAnsi="Times New Roman"/>
                <w:color w:val="auto"/>
                <w:sz w:val="18"/>
                <w:szCs w:val="18"/>
                <w:highlight w:val="none"/>
              </w:rPr>
              <w:t>）t/a</w:t>
            </w:r>
          </w:p>
        </w:tc>
        <w:tc>
          <w:tcPr>
            <w:tcW w:w="2235" w:type="dxa"/>
            <w:gridSpan w:val="3"/>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NO</w:t>
            </w:r>
            <w:r>
              <w:rPr>
                <w:rFonts w:ascii="Times New Roman" w:hAnsi="Times New Roman"/>
                <w:color w:val="auto"/>
                <w:sz w:val="18"/>
                <w:szCs w:val="18"/>
                <w:highlight w:val="none"/>
                <w:vertAlign w:val="subscript"/>
              </w:rPr>
              <w:t>X</w:t>
            </w:r>
            <w:r>
              <w:rPr>
                <w:rFonts w:ascii="Times New Roman" w:hAnsi="Times New Roman"/>
                <w:color w:val="auto"/>
                <w:sz w:val="18"/>
                <w:szCs w:val="18"/>
                <w:highlight w:val="none"/>
              </w:rPr>
              <w:t>：（</w:t>
            </w:r>
            <w:r>
              <w:rPr>
                <w:rFonts w:hint="eastAsia"/>
                <w:color w:val="auto"/>
                <w:sz w:val="18"/>
                <w:szCs w:val="18"/>
                <w:highlight w:val="none"/>
                <w:lang w:val="en-US" w:eastAsia="zh-CN"/>
              </w:rPr>
              <w:t>3.3563</w:t>
            </w:r>
            <w:r>
              <w:rPr>
                <w:rFonts w:ascii="Times New Roman" w:hAnsi="Times New Roman"/>
                <w:color w:val="auto"/>
                <w:sz w:val="18"/>
                <w:szCs w:val="18"/>
                <w:highlight w:val="none"/>
              </w:rPr>
              <w:t>）t/a</w:t>
            </w:r>
          </w:p>
        </w:tc>
        <w:tc>
          <w:tcPr>
            <w:tcW w:w="2237"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ascii="Times New Roman" w:hAnsi="Times New Roman"/>
                <w:color w:val="auto"/>
                <w:sz w:val="18"/>
                <w:szCs w:val="18"/>
                <w:highlight w:val="none"/>
              </w:rPr>
              <w:t>颗粒物：（</w:t>
            </w:r>
            <w:r>
              <w:rPr>
                <w:rFonts w:hint="eastAsia"/>
                <w:color w:val="auto"/>
                <w:sz w:val="18"/>
                <w:szCs w:val="18"/>
                <w:highlight w:val="none"/>
                <w:lang w:val="en-US" w:eastAsia="zh-CN"/>
              </w:rPr>
              <w:t>9.3467</w:t>
            </w:r>
            <w:r>
              <w:rPr>
                <w:rFonts w:ascii="Times New Roman" w:hAnsi="Times New Roman"/>
                <w:color w:val="auto"/>
                <w:sz w:val="18"/>
                <w:szCs w:val="18"/>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pPr>
              <w:spacing w:line="240" w:lineRule="auto"/>
              <w:ind w:firstLine="0" w:firstLineChars="0"/>
              <w:jc w:val="center"/>
              <w:rPr>
                <w:rFonts w:ascii="Times New Roman" w:hAnsi="Times New Roman"/>
                <w:color w:val="auto"/>
                <w:sz w:val="18"/>
                <w:szCs w:val="18"/>
                <w:highlight w:val="none"/>
              </w:rPr>
            </w:pPr>
            <w:bookmarkStart w:id="565" w:name="_Toc18039"/>
            <w:bookmarkStart w:id="566" w:name="_Toc13632"/>
          </w:p>
        </w:tc>
        <w:tc>
          <w:tcPr>
            <w:tcW w:w="1875" w:type="dxa"/>
            <w:vMerge w:val="continue"/>
            <w:vAlign w:val="center"/>
          </w:tcPr>
          <w:p>
            <w:pPr>
              <w:spacing w:line="240" w:lineRule="auto"/>
              <w:ind w:firstLine="0" w:firstLineChars="0"/>
              <w:jc w:val="center"/>
              <w:rPr>
                <w:rFonts w:ascii="Times New Roman" w:hAnsi="Times New Roman"/>
                <w:color w:val="auto"/>
                <w:sz w:val="18"/>
                <w:szCs w:val="18"/>
                <w:highlight w:val="none"/>
              </w:rPr>
            </w:pPr>
          </w:p>
        </w:tc>
        <w:tc>
          <w:tcPr>
            <w:tcW w:w="2235" w:type="dxa"/>
            <w:gridSpan w:val="8"/>
            <w:tcMar>
              <w:left w:w="0" w:type="dxa"/>
              <w:right w:w="0" w:type="dxa"/>
            </w:tcMar>
            <w:vAlign w:val="center"/>
          </w:tcPr>
          <w:p>
            <w:pPr>
              <w:spacing w:line="240" w:lineRule="auto"/>
              <w:ind w:firstLine="0" w:firstLineChars="0"/>
              <w:jc w:val="center"/>
              <w:rPr>
                <w:rFonts w:hint="default" w:ascii="Times New Roman" w:hAnsi="Times New Roman" w:eastAsia="宋体"/>
                <w:color w:val="auto"/>
                <w:sz w:val="18"/>
                <w:szCs w:val="18"/>
                <w:highlight w:val="none"/>
                <w:lang w:val="en-US" w:eastAsia="zh-CN"/>
              </w:rPr>
            </w:pPr>
            <w:r>
              <w:rPr>
                <w:rFonts w:ascii="Times New Roman" w:hAnsi="Times New Roman"/>
                <w:color w:val="auto"/>
                <w:sz w:val="18"/>
                <w:szCs w:val="18"/>
                <w:highlight w:val="none"/>
              </w:rPr>
              <w:t>VOCs：（</w:t>
            </w:r>
            <w:r>
              <w:rPr>
                <w:rFonts w:hint="eastAsia"/>
                <w:color w:val="auto"/>
                <w:sz w:val="18"/>
                <w:szCs w:val="18"/>
                <w:highlight w:val="none"/>
                <w:lang w:val="en-US" w:eastAsia="zh-CN"/>
              </w:rPr>
              <w:t>8.0955</w:t>
            </w:r>
            <w:r>
              <w:rPr>
                <w:rFonts w:ascii="Times New Roman" w:hAnsi="Times New Roman"/>
                <w:color w:val="auto"/>
                <w:sz w:val="18"/>
                <w:szCs w:val="18"/>
                <w:highlight w:val="none"/>
              </w:rPr>
              <w:t>）t/a</w:t>
            </w:r>
          </w:p>
        </w:tc>
        <w:tc>
          <w:tcPr>
            <w:tcW w:w="2235" w:type="dxa"/>
            <w:gridSpan w:val="3"/>
            <w:vAlign w:val="center"/>
          </w:tcPr>
          <w:p>
            <w:pPr>
              <w:spacing w:line="240" w:lineRule="auto"/>
              <w:ind w:firstLine="0" w:firstLineChars="0"/>
              <w:jc w:val="center"/>
              <w:rPr>
                <w:rFonts w:ascii="Times New Roman" w:hAnsi="Times New Roman"/>
                <w:color w:val="auto"/>
                <w:sz w:val="18"/>
                <w:szCs w:val="18"/>
                <w:highlight w:val="none"/>
              </w:rPr>
            </w:pPr>
            <w:r>
              <w:rPr>
                <w:rFonts w:hint="eastAsia"/>
                <w:color w:val="auto"/>
                <w:sz w:val="18"/>
                <w:szCs w:val="18"/>
                <w:highlight w:val="none"/>
                <w:lang w:val="en-US" w:eastAsia="zh-CN"/>
              </w:rPr>
              <w:t>NH</w:t>
            </w:r>
            <w:r>
              <w:rPr>
                <w:rFonts w:hint="eastAsia"/>
                <w:color w:val="auto"/>
                <w:sz w:val="18"/>
                <w:szCs w:val="18"/>
                <w:highlight w:val="none"/>
                <w:vertAlign w:val="subscript"/>
                <w:lang w:val="en-US" w:eastAsia="zh-CN"/>
              </w:rPr>
              <w:t>3</w:t>
            </w:r>
            <w:r>
              <w:rPr>
                <w:rFonts w:hint="eastAsia"/>
                <w:color w:val="auto"/>
                <w:sz w:val="18"/>
                <w:szCs w:val="18"/>
                <w:highlight w:val="none"/>
                <w:lang w:val="en-US" w:eastAsia="zh-CN"/>
              </w:rPr>
              <w:t>（</w:t>
            </w:r>
            <w:r>
              <w:rPr>
                <w:rFonts w:hint="eastAsia" w:cs="Times New Roman"/>
                <w:color w:val="auto"/>
                <w:sz w:val="18"/>
                <w:szCs w:val="18"/>
                <w:highlight w:val="none"/>
                <w:lang w:val="en-US" w:eastAsia="zh-CN"/>
              </w:rPr>
              <w:t>2.04</w:t>
            </w:r>
            <w:r>
              <w:rPr>
                <w:rFonts w:hint="default" w:ascii="Times New Roman" w:hAnsi="Times New Roman" w:cs="Times New Roman"/>
                <w:color w:val="auto"/>
                <w:sz w:val="18"/>
                <w:szCs w:val="18"/>
                <w:highlight w:val="none"/>
                <w:lang w:val="en-US" w:eastAsia="zh-CN"/>
              </w:rPr>
              <w:t>×10</w:t>
            </w:r>
            <w:r>
              <w:rPr>
                <w:rFonts w:hint="default" w:ascii="Times New Roman" w:hAnsi="Times New Roman" w:cs="Times New Roman"/>
                <w:color w:val="auto"/>
                <w:sz w:val="18"/>
                <w:szCs w:val="18"/>
                <w:highlight w:val="none"/>
                <w:vertAlign w:val="superscript"/>
                <w:lang w:val="en-US" w:eastAsia="zh-CN"/>
              </w:rPr>
              <w:t>-3</w:t>
            </w:r>
            <w:r>
              <w:rPr>
                <w:rFonts w:hint="eastAsia"/>
                <w:color w:val="auto"/>
                <w:sz w:val="18"/>
                <w:szCs w:val="18"/>
                <w:highlight w:val="none"/>
                <w:lang w:val="en-US" w:eastAsia="zh-CN"/>
              </w:rPr>
              <w:t>）t/a</w:t>
            </w:r>
          </w:p>
        </w:tc>
        <w:tc>
          <w:tcPr>
            <w:tcW w:w="2237" w:type="dxa"/>
            <w:gridSpan w:val="6"/>
            <w:vAlign w:val="center"/>
          </w:tcPr>
          <w:p>
            <w:pPr>
              <w:spacing w:line="240" w:lineRule="auto"/>
              <w:ind w:firstLine="0" w:firstLineChars="0"/>
              <w:jc w:val="center"/>
              <w:rPr>
                <w:rFonts w:ascii="Times New Roman" w:hAnsi="Times New Roman"/>
                <w:color w:val="auto"/>
                <w:sz w:val="18"/>
                <w:szCs w:val="18"/>
                <w:highlight w:val="none"/>
              </w:rPr>
            </w:pPr>
            <w:r>
              <w:rPr>
                <w:rFonts w:hint="eastAsia"/>
                <w:color w:val="auto"/>
                <w:sz w:val="18"/>
                <w:szCs w:val="18"/>
                <w:highlight w:val="none"/>
                <w:lang w:val="en-US" w:eastAsia="zh-CN"/>
              </w:rPr>
              <w:t>H</w:t>
            </w:r>
            <w:r>
              <w:rPr>
                <w:rFonts w:hint="eastAsia"/>
                <w:color w:val="auto"/>
                <w:sz w:val="18"/>
                <w:szCs w:val="18"/>
                <w:highlight w:val="none"/>
                <w:vertAlign w:val="subscript"/>
                <w:lang w:val="en-US" w:eastAsia="zh-CN"/>
              </w:rPr>
              <w:t>2</w:t>
            </w:r>
            <w:r>
              <w:rPr>
                <w:rFonts w:hint="eastAsia"/>
                <w:color w:val="auto"/>
                <w:sz w:val="18"/>
                <w:szCs w:val="18"/>
                <w:highlight w:val="none"/>
                <w:lang w:val="en-US" w:eastAsia="zh-CN"/>
              </w:rPr>
              <w:t>S（</w:t>
            </w:r>
            <w:r>
              <w:rPr>
                <w:rFonts w:hint="default" w:ascii="Times New Roman" w:hAnsi="Times New Roman" w:cs="Times New Roman"/>
                <w:color w:val="auto"/>
                <w:sz w:val="18"/>
                <w:szCs w:val="18"/>
                <w:highlight w:val="none"/>
                <w:lang w:val="en-US" w:eastAsia="zh-CN"/>
              </w:rPr>
              <w:t>7.</w:t>
            </w:r>
            <w:r>
              <w:rPr>
                <w:rFonts w:hint="eastAsia" w:cs="Times New Roman"/>
                <w:color w:val="auto"/>
                <w:sz w:val="18"/>
                <w:szCs w:val="18"/>
                <w:highlight w:val="none"/>
                <w:lang w:val="en-US" w:eastAsia="zh-CN"/>
              </w:rPr>
              <w:t>90</w:t>
            </w:r>
            <w:r>
              <w:rPr>
                <w:rFonts w:hint="default" w:ascii="Times New Roman" w:hAnsi="Times New Roman" w:cs="Times New Roman"/>
                <w:color w:val="auto"/>
                <w:sz w:val="18"/>
                <w:szCs w:val="18"/>
                <w:highlight w:val="none"/>
                <w:lang w:val="en-US" w:eastAsia="zh-CN"/>
              </w:rPr>
              <w:t>×10</w:t>
            </w:r>
            <w:r>
              <w:rPr>
                <w:rFonts w:hint="default" w:ascii="Times New Roman" w:hAnsi="Times New Roman" w:cs="Times New Roman"/>
                <w:color w:val="auto"/>
                <w:sz w:val="18"/>
                <w:szCs w:val="18"/>
                <w:highlight w:val="none"/>
                <w:vertAlign w:val="superscript"/>
                <w:lang w:val="en-US" w:eastAsia="zh-CN"/>
              </w:rPr>
              <w:t>-5</w:t>
            </w:r>
            <w:r>
              <w:rPr>
                <w:rFonts w:hint="eastAsia"/>
                <w:color w:val="auto"/>
                <w:sz w:val="18"/>
                <w:szCs w:val="18"/>
                <w:highlight w:val="none"/>
                <w:lang w:val="en-US" w:eastAsia="zh-CN"/>
              </w:rPr>
              <w:t>）t/a</w:t>
            </w:r>
          </w:p>
        </w:tc>
      </w:tr>
    </w:tbl>
    <w:p>
      <w:pPr>
        <w:pStyle w:val="3"/>
        <w:numPr>
          <w:ilvl w:val="1"/>
          <w:numId w:val="3"/>
        </w:numPr>
        <w:bidi w:val="0"/>
        <w:rPr>
          <w:rFonts w:hint="default" w:ascii="Times New Roman" w:hAnsi="Times New Roman" w:cs="Times New Roman"/>
          <w:color w:val="auto"/>
          <w:highlight w:val="none"/>
          <w:lang w:val="en-US" w:eastAsia="zh-CN"/>
        </w:rPr>
      </w:pPr>
      <w:bookmarkStart w:id="567" w:name="_Toc30909"/>
      <w:bookmarkStart w:id="568" w:name="_Toc23310"/>
      <w:r>
        <w:rPr>
          <w:rFonts w:hint="eastAsia" w:cs="Times New Roman"/>
          <w:color w:val="auto"/>
          <w:highlight w:val="none"/>
          <w:lang w:val="en-US" w:eastAsia="zh-CN"/>
        </w:rPr>
        <w:t>运</w:t>
      </w:r>
      <w:r>
        <w:rPr>
          <w:rFonts w:hint="default" w:ascii="Times New Roman" w:hAnsi="Times New Roman" w:cs="Times New Roman"/>
          <w:color w:val="auto"/>
          <w:highlight w:val="none"/>
          <w:lang w:val="en-US" w:eastAsia="zh-CN"/>
        </w:rPr>
        <w:t>营期地表水环境影响评价</w:t>
      </w:r>
      <w:bookmarkEnd w:id="565"/>
      <w:bookmarkEnd w:id="566"/>
      <w:bookmarkEnd w:id="567"/>
      <w:bookmarkEnd w:id="568"/>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污水产生及排放去向</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项目扩建工程运营期产生的废水主要有生产废水</w:t>
      </w:r>
      <w:r>
        <w:rPr>
          <w:rFonts w:hint="eastAsia" w:cs="Times New Roman"/>
          <w:color w:val="auto"/>
          <w:highlight w:val="none"/>
          <w:lang w:val="en-US" w:eastAsia="zh-CN"/>
        </w:rPr>
        <w:t>、初期雨水</w:t>
      </w:r>
      <w:r>
        <w:rPr>
          <w:rFonts w:hint="default" w:ascii="Times New Roman" w:hAnsi="Times New Roman" w:cs="Times New Roman"/>
          <w:color w:val="auto"/>
          <w:highlight w:val="none"/>
          <w:lang w:val="en-US" w:eastAsia="zh-CN"/>
        </w:rPr>
        <w:t>和生活污水。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（1）生产废水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生产废水主要包括：组件清洗废水、水浴槽废水、喷淋塔废水、地面冲洗废水</w:t>
      </w:r>
      <w:r>
        <w:rPr>
          <w:rFonts w:hint="eastAsia" w:cs="Times New Roman"/>
          <w:color w:val="auto"/>
          <w:highlight w:val="none"/>
          <w:lang w:val="en-US" w:eastAsia="zh-CN"/>
        </w:rPr>
        <w:t>、</w:t>
      </w:r>
      <w:r>
        <w:rPr>
          <w:rFonts w:hint="eastAsia" w:cs="Times New Roman"/>
          <w:color w:val="auto"/>
          <w:szCs w:val="20"/>
          <w:highlight w:val="none"/>
          <w:lang w:val="en-US" w:eastAsia="zh-CN"/>
        </w:rPr>
        <w:t>水环真空泵废水</w:t>
      </w:r>
      <w:r>
        <w:rPr>
          <w:rFonts w:hint="default" w:ascii="Times New Roman" w:hAnsi="Times New Roman" w:cs="Times New Roman"/>
          <w:color w:val="auto"/>
          <w:highlight w:val="none"/>
          <w:lang w:val="en-US" w:eastAsia="zh-CN"/>
        </w:rPr>
        <w:t>；生产废水排放量为</w:t>
      </w:r>
      <w:r>
        <w:rPr>
          <w:rFonts w:hint="eastAsia" w:cs="Times New Roman"/>
          <w:color w:val="auto"/>
          <w:highlight w:val="none"/>
          <w:lang w:val="en-US" w:eastAsia="zh-CN"/>
        </w:rPr>
        <w:t>1904.62</w:t>
      </w:r>
      <w:r>
        <w:rPr>
          <w:rFonts w:hint="default" w:ascii="Times New Roman" w:hAnsi="Times New Roman" w:cs="Times New Roman"/>
          <w:color w:val="auto"/>
          <w:highlight w:val="none"/>
          <w:lang w:val="en-US" w:eastAsia="zh-CN"/>
        </w:rPr>
        <w:t xml:space="preserve"> t/a，单日最大生产废水排放量为</w:t>
      </w:r>
      <w:r>
        <w:rPr>
          <w:rFonts w:hint="eastAsia" w:cs="Times New Roman"/>
          <w:color w:val="auto"/>
          <w:highlight w:val="none"/>
          <w:lang w:val="en-US" w:eastAsia="zh-CN"/>
        </w:rPr>
        <w:t>38.16</w:t>
      </w:r>
      <w:r>
        <w:rPr>
          <w:rFonts w:hint="default" w:ascii="Times New Roman" w:hAnsi="Times New Roman" w:cs="Times New Roman"/>
          <w:color w:val="auto"/>
          <w:highlight w:val="none"/>
          <w:lang w:val="en-US" w:eastAsia="zh-CN"/>
        </w:rPr>
        <w:t xml:space="preserve"> t/d，生产废水经管道排入厂区污水处理站处理，设计处理规模为50 t/d，处理工艺拟采用“气浮+水解酸化+A/O池+MBR膜+板框压滤”处理后排入园区污水管网，最终进入牙城镇污水处理厂处理。</w:t>
      </w:r>
    </w:p>
    <w:p>
      <w:pPr>
        <w:rPr>
          <w:rFonts w:hint="eastAsia" w:cs="Times New Roman"/>
          <w:color w:val="auto"/>
          <w:highlight w:val="none"/>
          <w:lang w:val="en-US" w:eastAsia="zh-CN"/>
        </w:rPr>
      </w:pPr>
      <w:r>
        <w:rPr>
          <w:rFonts w:hint="eastAsia" w:cs="Times New Roman"/>
          <w:color w:val="auto"/>
          <w:highlight w:val="none"/>
          <w:lang w:val="en-US" w:eastAsia="zh-CN"/>
        </w:rPr>
        <w:t>（2）初期雨水</w:t>
      </w:r>
    </w:p>
    <w:p>
      <w:pPr>
        <w:rPr>
          <w:rFonts w:hint="eastAsia" w:cs="Times New Roman"/>
          <w:color w:val="auto"/>
          <w:highlight w:val="none"/>
          <w:lang w:val="en-US" w:eastAsia="zh-CN"/>
        </w:rPr>
      </w:pPr>
      <w:r>
        <w:rPr>
          <w:rFonts w:hint="eastAsia" w:cs="Times New Roman"/>
          <w:color w:val="auto"/>
          <w:highlight w:val="none"/>
          <w:lang w:val="en-US" w:eastAsia="zh-CN"/>
        </w:rPr>
        <w:t>本项目初期雨水产生量为90.94</w:t>
      </w:r>
      <w:r>
        <w:rPr>
          <w:rFonts w:hint="default" w:ascii="Times New Roman" w:hAnsi="Times New Roman" w:cs="Times New Roman"/>
          <w:color w:val="auto"/>
          <w:highlight w:val="none"/>
          <w:lang w:val="en-US" w:eastAsia="zh-CN"/>
        </w:rPr>
        <w:t xml:space="preserve">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/次</w:t>
      </w:r>
      <w:r>
        <w:rPr>
          <w:rFonts w:hint="eastAsia" w:cs="Times New Roman"/>
          <w:color w:val="auto"/>
          <w:highlight w:val="none"/>
          <w:lang w:val="en-US" w:eastAsia="zh-CN"/>
        </w:rPr>
        <w:t>，主要污染物为COD、SS等，建设单位在厂内设置初期雨水切换阀门和初期雨水池，</w:t>
      </w:r>
      <w:r>
        <w:rPr>
          <w:rFonts w:hint="eastAsia" w:cs="Times New Roman"/>
          <w:color w:val="auto"/>
          <w:highlight w:val="none"/>
          <w:lang w:val="en-US" w:eastAsia="zh-CN"/>
        </w:rPr>
        <w:t>初期雨水通过厂内雨水管网集中收集后引入初期雨水池，分批次进入厂内污水处理站处理，处理达标后的初期雨水排入园区污水管网，进入牙城镇污水处理厂处理。</w:t>
      </w:r>
      <w:r>
        <w:rPr>
          <w:rFonts w:hint="eastAsia" w:cs="Times New Roman"/>
          <w:color w:val="auto"/>
          <w:highlight w:val="none"/>
          <w:lang w:val="en-US" w:eastAsia="zh-CN"/>
        </w:rPr>
        <w:t>本项目污水处理站设计处理规模为50 t/d，生产废水排放量为1904.62 t/a（最大日排放量38.16 t/d，平均排放量5.77 t/d），还有11.84 t/d的处理余量，厂区的初期雨水可分批次有序进入污水处理站处理达标后排入园区污水管网，纳入牙城镇处理厂处理。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）生活污水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生活污水经化粪池处理后排入园区污水管网，进入牙城镇污水处理厂处理。</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废水排入牙城镇污水处理厂处理的可行性分析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（1）牙城镇污水处理厂简介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牙城镇污水处理厂位于霞浦县牙城镇工业园南侧，毗邻牙城湾，占地约1.5万m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，处理规模近期0.4万m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/d，远期1.2万m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/d。一期工程2012年底开始建设，于2015年1月投入试运行，目前已正式运营，牙城镇污水处理厂现状处理规模0.4万m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/d，实际处理水量为0.38万m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/d，主要服务范围为牙城镇中心区以及周边村庄、工业区等，尾水排入东澳水库3#滞洪区最后汇入牙城湾，目前污水厂运行稳定。</w:t>
      </w:r>
      <w:r>
        <w:rPr>
          <w:rFonts w:hint="eastAsia" w:cs="Times New Roman"/>
          <w:color w:val="auto"/>
          <w:highlight w:val="none"/>
          <w:lang w:val="en-US" w:eastAsia="zh-CN"/>
        </w:rPr>
        <w:t>牙城镇污水处理厂的收集管网图详见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_Ref22645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图5.3-1</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（2）处理工艺可行性分析</w:t>
      </w:r>
    </w:p>
    <w:p>
      <w:pPr>
        <w:rPr>
          <w:color w:val="auto"/>
        </w:rPr>
      </w:pPr>
      <w:r>
        <w:rPr>
          <w:rFonts w:hint="default" w:ascii="Times New Roman" w:hAnsi="Times New Roman" w:cs="Times New Roman"/>
          <w:color w:val="auto"/>
          <w:highlight w:val="none"/>
          <w:lang w:val="en-US" w:eastAsia="zh-CN"/>
        </w:rPr>
        <w:t>牙城镇污水处理厂</w:t>
      </w:r>
      <w:r>
        <w:rPr>
          <w:rFonts w:hint="eastAsia" w:cs="Times New Roman"/>
          <w:color w:val="auto"/>
          <w:highlight w:val="none"/>
          <w:lang w:val="en-US" w:eastAsia="zh-CN"/>
        </w:rPr>
        <w:t>目前在进行提标改造可行性研究报告编制阶段，近期</w:t>
      </w:r>
      <w:r>
        <w:rPr>
          <w:rFonts w:hint="default" w:ascii="Times New Roman" w:hAnsi="Times New Roman" w:cs="Times New Roman"/>
          <w:color w:val="auto"/>
          <w:highlight w:val="none"/>
          <w:lang w:val="en-US" w:eastAsia="zh-CN"/>
        </w:rPr>
        <w:t>尾水排放标准执行《城镇污水处理厂污染物排放标准》（GB18918-2012）表1中一级B标准，</w:t>
      </w:r>
      <w:r>
        <w:rPr>
          <w:rFonts w:hint="eastAsia" w:cs="Times New Roman"/>
          <w:color w:val="auto"/>
          <w:highlight w:val="none"/>
          <w:lang w:val="en-US" w:eastAsia="zh-CN"/>
        </w:rPr>
        <w:t>待远期提标改造工程实施后执行</w:t>
      </w:r>
      <w:r>
        <w:rPr>
          <w:rFonts w:hint="default" w:ascii="Times New Roman" w:hAnsi="Times New Roman" w:cs="Times New Roman"/>
          <w:color w:val="auto"/>
          <w:highlight w:val="none"/>
          <w:lang w:val="en-US" w:eastAsia="zh-CN"/>
        </w:rPr>
        <w:t>《城镇污水处理厂污染物排放标准》（GB18918-2012）表1中一级</w:t>
      </w:r>
      <w:r>
        <w:rPr>
          <w:rFonts w:hint="eastAsia" w:cs="Times New Roman"/>
          <w:color w:val="auto"/>
          <w:highlight w:val="none"/>
          <w:lang w:val="en-US" w:eastAsia="zh-CN"/>
        </w:rPr>
        <w:t>A</w:t>
      </w:r>
      <w:r>
        <w:rPr>
          <w:rFonts w:hint="default" w:ascii="Times New Roman" w:hAnsi="Times New Roman" w:cs="Times New Roman"/>
          <w:color w:val="auto"/>
          <w:highlight w:val="none"/>
          <w:lang w:val="en-US" w:eastAsia="zh-CN"/>
        </w:rPr>
        <w:t>标准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牙城镇污水处理厂</w:t>
      </w:r>
      <w:r>
        <w:rPr>
          <w:rFonts w:hint="eastAsia" w:cs="Times New Roman"/>
          <w:color w:val="auto"/>
          <w:highlight w:val="none"/>
          <w:lang w:val="en-US" w:eastAsia="zh-CN"/>
        </w:rPr>
        <w:t>现状</w:t>
      </w:r>
      <w:r>
        <w:rPr>
          <w:rFonts w:hint="default" w:ascii="Times New Roman" w:hAnsi="Times New Roman" w:cs="Times New Roman"/>
          <w:color w:val="auto"/>
          <w:highlight w:val="none"/>
          <w:lang w:val="en-US" w:eastAsia="zh-CN"/>
        </w:rPr>
        <w:t>采用“卡鲁赛尔氧化沟+紫外线消毒”污水处理工艺（详见），其进水水质、出水水质指标要求见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_Ref16730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表5.3-2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，要求建设项目废水排放浓度满足污水处理厂设计进水水质指标后排入牙城镇污水处理厂，牙城镇污水处理厂尾水排放执行《城镇污水处理厂污染物排放标准》（GB18918-2012）表1中一级B标准。</w:t>
      </w: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jc w:val="center"/>
        <w:rPr>
          <w:rFonts w:hint="default" w:ascii="Times New Roman" w:hAnsi="Times New Roman" w:cs="Times New Roman"/>
          <w:color w:val="auto"/>
          <w:highlight w:val="none"/>
          <w:lang w:val="en-US" w:eastAsia="zh-CN"/>
        </w:rPr>
      </w:pPr>
    </w:p>
    <w:p>
      <w:pPr>
        <w:pStyle w:val="22"/>
        <w:numPr>
          <w:ilvl w:val="7"/>
          <w:numId w:val="3"/>
        </w:numPr>
        <w:bidi w:val="0"/>
        <w:rPr>
          <w:rFonts w:hint="default"/>
          <w:color w:val="auto"/>
          <w:lang w:val="en-US" w:eastAsia="zh-CN"/>
        </w:rPr>
      </w:pPr>
      <w:bookmarkStart w:id="569" w:name="_Ref22645"/>
      <w:r>
        <w:rPr>
          <w:rFonts w:hint="eastAsia"/>
          <w:color w:val="auto"/>
          <w:lang w:val="en-US" w:eastAsia="zh-CN"/>
        </w:rPr>
        <w:t>牙城镇污水处理厂污水收集管网图</w:t>
      </w:r>
      <w:bookmarkEnd w:id="569"/>
    </w:p>
    <w:p>
      <w:pPr>
        <w:ind w:left="0" w:leftChars="0" w:firstLine="0" w:firstLineChars="0"/>
        <w:rPr>
          <w:rFonts w:hint="default" w:ascii="Times New Roman" w:hAnsi="Times New Roman" w:cs="Times New Roman"/>
          <w:color w:val="auto"/>
          <w:highlight w:val="none"/>
          <w:lang w:val="en-US" w:eastAsia="zh-CN"/>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70" w:name="_Ref16730"/>
      <w:r>
        <w:rPr>
          <w:rFonts w:hint="default" w:ascii="Times New Roman" w:hAnsi="Times New Roman" w:cs="Times New Roman"/>
          <w:color w:val="auto"/>
          <w:highlight w:val="none"/>
          <w:lang w:val="en-US" w:eastAsia="zh-CN"/>
        </w:rPr>
        <w:t>牙城镇污水处理厂设计进出水水质及处理程度</w:t>
      </w:r>
      <w:bookmarkEnd w:id="570"/>
    </w:p>
    <w:tbl>
      <w:tblPr>
        <w:tblStyle w:val="17"/>
        <w:tblW w:w="92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1"/>
        <w:gridCol w:w="1057"/>
        <w:gridCol w:w="1137"/>
        <w:gridCol w:w="1048"/>
        <w:gridCol w:w="1142"/>
        <w:gridCol w:w="1051"/>
        <w:gridCol w:w="1050"/>
        <w:gridCol w:w="10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105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113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104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114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10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1050"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w:t>
            </w:r>
          </w:p>
        </w:tc>
        <w:tc>
          <w:tcPr>
            <w:tcW w:w="104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进水水质（mg/</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w:t>
            </w:r>
          </w:p>
        </w:tc>
        <w:tc>
          <w:tcPr>
            <w:tcW w:w="105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113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≤400</w:t>
            </w:r>
          </w:p>
        </w:tc>
        <w:tc>
          <w:tcPr>
            <w:tcW w:w="104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14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≤240</w:t>
            </w:r>
          </w:p>
        </w:tc>
        <w:tc>
          <w:tcPr>
            <w:tcW w:w="10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1050"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.0</w:t>
            </w:r>
          </w:p>
        </w:tc>
        <w:tc>
          <w:tcPr>
            <w:tcW w:w="104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出水水质（mg/l）</w:t>
            </w:r>
          </w:p>
        </w:tc>
        <w:tc>
          <w:tcPr>
            <w:tcW w:w="105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113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04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4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0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050"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04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去除率（%）</w:t>
            </w:r>
          </w:p>
        </w:tc>
        <w:tc>
          <w:tcPr>
            <w:tcW w:w="1057"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3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1048"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90.9</w:t>
            </w:r>
          </w:p>
        </w:tc>
        <w:tc>
          <w:tcPr>
            <w:tcW w:w="114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93.3</w:t>
            </w:r>
          </w:p>
        </w:tc>
        <w:tc>
          <w:tcPr>
            <w:tcW w:w="1051"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77.1</w:t>
            </w:r>
          </w:p>
        </w:tc>
        <w:tc>
          <w:tcPr>
            <w:tcW w:w="1050"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71.4</w:t>
            </w:r>
          </w:p>
        </w:tc>
        <w:tc>
          <w:tcPr>
            <w:tcW w:w="104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（3）项目管网衔接的可行性分析及污水处理厂接纳水量分析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本次扩建工程位于牙城镇工业园内，牙城镇污水处理厂位于工业园区南侧，根据现场勘查及建设单位提供资料，现有污水管网已建成，届时，本项目投入运营后，废水可纳入厂区南侧园区</w:t>
      </w:r>
      <w:r>
        <w:rPr>
          <w:rFonts w:hint="eastAsia" w:cs="Times New Roman"/>
          <w:color w:val="auto"/>
          <w:highlight w:val="none"/>
          <w:lang w:val="en-US" w:eastAsia="zh-CN"/>
        </w:rPr>
        <w:t>污水</w:t>
      </w:r>
      <w:r>
        <w:rPr>
          <w:rFonts w:hint="default" w:ascii="Times New Roman" w:hAnsi="Times New Roman" w:cs="Times New Roman"/>
          <w:color w:val="auto"/>
          <w:highlight w:val="none"/>
          <w:lang w:val="en-US" w:eastAsia="zh-CN"/>
        </w:rPr>
        <w:t>管网，进入牙城镇污水处理厂处理。故项目废水可进入牙城镇污水处理厂。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牙城镇污水处理厂目前日处理规模约为0.38万m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/d，尚有0.</w:t>
      </w:r>
      <w:r>
        <w:rPr>
          <w:rFonts w:hint="eastAsia" w:cs="Times New Roman"/>
          <w:color w:val="auto"/>
          <w:highlight w:val="none"/>
          <w:lang w:val="en-US" w:eastAsia="zh-CN"/>
        </w:rPr>
        <w:t>0</w:t>
      </w:r>
      <w:r>
        <w:rPr>
          <w:rFonts w:hint="default" w:ascii="Times New Roman" w:hAnsi="Times New Roman" w:cs="Times New Roman"/>
          <w:color w:val="auto"/>
          <w:highlight w:val="none"/>
          <w:lang w:val="en-US" w:eastAsia="zh-CN"/>
        </w:rPr>
        <w:t>2 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/d的余量，本次扩建新增废水排放量合计2</w:t>
      </w:r>
      <w:r>
        <w:rPr>
          <w:rFonts w:hint="eastAsia" w:cs="Times New Roman"/>
          <w:color w:val="auto"/>
          <w:highlight w:val="none"/>
          <w:lang w:val="en-US" w:eastAsia="zh-CN"/>
        </w:rPr>
        <w:t>7.54</w:t>
      </w:r>
      <w:r>
        <w:rPr>
          <w:rFonts w:hint="default" w:ascii="Times New Roman" w:hAnsi="Times New Roman" w:cs="Times New Roman"/>
          <w:color w:val="auto"/>
          <w:highlight w:val="none"/>
          <w:lang w:val="en-US" w:eastAsia="zh-CN"/>
        </w:rPr>
        <w:t xml:space="preserve"> t/d（日最大排放量为</w:t>
      </w:r>
      <w:r>
        <w:rPr>
          <w:rFonts w:hint="eastAsia" w:cs="Times New Roman"/>
          <w:color w:val="auto"/>
          <w:highlight w:val="none"/>
          <w:lang w:val="en-US" w:eastAsia="zh-CN"/>
        </w:rPr>
        <w:t>54.16</w:t>
      </w:r>
      <w:r>
        <w:rPr>
          <w:rFonts w:hint="default" w:ascii="Times New Roman" w:hAnsi="Times New Roman" w:cs="Times New Roman"/>
          <w:color w:val="auto"/>
          <w:highlight w:val="none"/>
          <w:lang w:val="en-US" w:eastAsia="zh-CN"/>
        </w:rPr>
        <w:t xml:space="preserve"> t/d），占剩余污水处理厂剩余接纳量的</w:t>
      </w:r>
      <w:r>
        <w:rPr>
          <w:rFonts w:hint="eastAsia" w:cs="Times New Roman"/>
          <w:color w:val="auto"/>
          <w:highlight w:val="none"/>
          <w:lang w:val="en-US" w:eastAsia="zh-CN"/>
        </w:rPr>
        <w:t>13.77</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7.08</w:t>
      </w:r>
      <w:r>
        <w:rPr>
          <w:rFonts w:hint="default" w:ascii="Times New Roman" w:hAnsi="Times New Roman" w:cs="Times New Roman"/>
          <w:color w:val="auto"/>
          <w:highlight w:val="none"/>
          <w:lang w:val="en-US" w:eastAsia="zh-CN"/>
        </w:rPr>
        <w:t>%）。因此，对牙城镇污水处理厂冲击负荷较小。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（4）污水纳入牙城镇污水处理厂的合理性分析</w:t>
      </w:r>
    </w:p>
    <w:p>
      <w:pPr>
        <w:rPr>
          <w:rFonts w:hint="default" w:cs="Times New Roman"/>
          <w:color w:val="auto"/>
          <w:highlight w:val="none"/>
          <w:lang w:val="en-US" w:eastAsia="zh-CN"/>
        </w:rPr>
      </w:pPr>
      <w:r>
        <w:rPr>
          <w:rFonts w:hint="eastAsia" w:cs="Times New Roman"/>
          <w:color w:val="auto"/>
          <w:highlight w:val="none"/>
          <w:lang w:val="en-US" w:eastAsia="zh-CN"/>
        </w:rPr>
        <w:t>牙城镇污水处理厂（</w:t>
      </w:r>
      <w:r>
        <w:rPr>
          <w:rFonts w:hint="default" w:ascii="Times New Roman" w:hAnsi="Times New Roman" w:cs="Times New Roman"/>
          <w:color w:val="auto"/>
          <w:highlight w:val="none"/>
          <w:lang w:val="en-US" w:eastAsia="zh-CN"/>
        </w:rPr>
        <w:t>一期工程</w:t>
      </w:r>
      <w:r>
        <w:rPr>
          <w:rFonts w:hint="eastAsia" w:cs="Times New Roman"/>
          <w:color w:val="auto"/>
          <w:highlight w:val="none"/>
          <w:lang w:val="en-US" w:eastAsia="zh-CN"/>
        </w:rPr>
        <w:t>）于</w:t>
      </w:r>
      <w:r>
        <w:rPr>
          <w:rFonts w:hint="default" w:ascii="Times New Roman" w:hAnsi="Times New Roman" w:cs="Times New Roman"/>
          <w:color w:val="auto"/>
          <w:highlight w:val="none"/>
          <w:lang w:val="en-US" w:eastAsia="zh-CN"/>
        </w:rPr>
        <w:t>2012年</w:t>
      </w:r>
      <w:r>
        <w:rPr>
          <w:rFonts w:hint="eastAsia" w:cs="Times New Roman"/>
          <w:color w:val="auto"/>
          <w:highlight w:val="none"/>
          <w:lang w:val="en-US" w:eastAsia="zh-CN"/>
        </w:rPr>
        <w:t>4月委托石狮市阳光环保技术综合服务有限公司编制了《霞浦县牙城镇污水处理厂及配套管网工程环境影响报告表》，并于2012年7月30日取得了霞浦县环境保护局审批（霞环保监[2012] 15号），于2018年完成了自主验收，目前已正式投入运营。</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根据工程分析，本次扩建工程生产废水经自建的污水处理站处理后，废水排放的水质能够满足《合成树脂工业污染物排放标准》（GB31572-2015）表1直接排放限值（石油类参照排放标准参照现有工程环评报告书10 mg/L的要求），远远低于牙城镇污水处理厂设计进水水质要求。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综上，本次扩建工程新增的废水经厂内污水处理设施预处理后，排入牙城镇污水处理厂处理是可行的。</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小结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在牙城镇污水处理厂服务范围之内，符合该污水厂的水量、设计进水水质的要求，不会对该污水厂的处理工艺造成冲击。本项目排放的废水经牙城镇污水处理厂处理达标排入东澳水库3#滞洪区最后汇入牙城湾，对水环境影响不大。</w:t>
      </w: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3"/>
        </w:numPr>
        <w:tabs>
          <w:tab w:val="left" w:pos="420"/>
        </w:tabs>
        <w:bidi w:val="0"/>
        <w:rPr>
          <w:rFonts w:hint="default"/>
          <w:color w:val="auto"/>
          <w:lang w:val="en-US" w:eastAsia="zh-CN"/>
        </w:rPr>
      </w:pPr>
      <w:r>
        <w:rPr>
          <w:rFonts w:hint="eastAsia"/>
          <w:color w:val="auto"/>
          <w:lang w:val="en-US" w:eastAsia="zh-CN"/>
        </w:rPr>
        <w:t>废水类别、污染物及污染治理设施信息表</w:t>
      </w:r>
    </w:p>
    <w:tbl>
      <w:tblPr>
        <w:tblStyle w:val="18"/>
        <w:tblW w:w="142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381"/>
        <w:gridCol w:w="1785"/>
        <w:gridCol w:w="1620"/>
        <w:gridCol w:w="1260"/>
        <w:gridCol w:w="1110"/>
        <w:gridCol w:w="1140"/>
        <w:gridCol w:w="1485"/>
        <w:gridCol w:w="930"/>
        <w:gridCol w:w="1110"/>
        <w:gridCol w:w="16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序号</w:t>
            </w:r>
          </w:p>
        </w:tc>
        <w:tc>
          <w:tcPr>
            <w:tcW w:w="1381"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废水类别</w:t>
            </w:r>
          </w:p>
        </w:tc>
        <w:tc>
          <w:tcPr>
            <w:tcW w:w="1785"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污染物种类</w:t>
            </w:r>
          </w:p>
        </w:tc>
        <w:tc>
          <w:tcPr>
            <w:tcW w:w="162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排放去向</w:t>
            </w:r>
          </w:p>
        </w:tc>
        <w:tc>
          <w:tcPr>
            <w:tcW w:w="126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排放规律</w:t>
            </w:r>
          </w:p>
        </w:tc>
        <w:tc>
          <w:tcPr>
            <w:tcW w:w="3735" w:type="dxa"/>
            <w:gridSpan w:val="3"/>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污染治理设施</w:t>
            </w:r>
          </w:p>
        </w:tc>
        <w:tc>
          <w:tcPr>
            <w:tcW w:w="93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排放口编号</w:t>
            </w:r>
          </w:p>
        </w:tc>
        <w:tc>
          <w:tcPr>
            <w:tcW w:w="111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排放口设置是否符合要求</w:t>
            </w:r>
          </w:p>
        </w:tc>
        <w:tc>
          <w:tcPr>
            <w:tcW w:w="1685"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381"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7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62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污染治理设施编号</w:t>
            </w:r>
          </w:p>
        </w:tc>
        <w:tc>
          <w:tcPr>
            <w:tcW w:w="114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污染治理设施名称</w:t>
            </w:r>
          </w:p>
        </w:tc>
        <w:tc>
          <w:tcPr>
            <w:tcW w:w="14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污染治理设施工艺</w:t>
            </w:r>
          </w:p>
        </w:tc>
        <w:tc>
          <w:tcPr>
            <w:tcW w:w="93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11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6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1381"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生产废水</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（现有工程1号厂区）</w:t>
            </w:r>
          </w:p>
        </w:tc>
        <w:tc>
          <w:tcPr>
            <w:tcW w:w="17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pH、COD、BOD</w:t>
            </w:r>
            <w:r>
              <w:rPr>
                <w:rFonts w:hint="eastAsia" w:ascii="Times New Roman" w:hAnsi="Times New Roman" w:eastAsia="宋体" w:cs="Times New Roman"/>
                <w:color w:val="auto"/>
                <w:vertAlign w:val="subscript"/>
                <w:lang w:val="en-US" w:eastAsia="zh-CN"/>
              </w:rPr>
              <w:t>5</w:t>
            </w:r>
            <w:r>
              <w:rPr>
                <w:rFonts w:hint="eastAsia" w:ascii="Times New Roman" w:hAnsi="Times New Roman" w:eastAsia="宋体" w:cs="Times New Roman"/>
                <w:color w:val="auto"/>
                <w:lang w:val="en-US" w:eastAsia="zh-CN"/>
              </w:rPr>
              <w:t>、SS、NH</w:t>
            </w:r>
            <w:r>
              <w:rPr>
                <w:rFonts w:hint="eastAsia" w:ascii="Times New Roman" w:hAnsi="Times New Roman" w:eastAsia="宋体" w:cs="Times New Roman"/>
                <w:color w:val="auto"/>
                <w:vertAlign w:val="subscript"/>
                <w:lang w:val="en-US" w:eastAsia="zh-CN"/>
              </w:rPr>
              <w:t>3</w:t>
            </w:r>
            <w:r>
              <w:rPr>
                <w:rFonts w:hint="eastAsia" w:ascii="Times New Roman" w:hAnsi="Times New Roman" w:eastAsia="宋体" w:cs="Times New Roman"/>
                <w:color w:val="auto"/>
                <w:lang w:val="en-US" w:eastAsia="zh-CN"/>
              </w:rPr>
              <w:t>-N、TP、石油类</w:t>
            </w:r>
          </w:p>
        </w:tc>
        <w:tc>
          <w:tcPr>
            <w:tcW w:w="162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排至厂内综合污水处理站处理</w:t>
            </w:r>
            <w:r>
              <w:rPr>
                <w:rFonts w:hint="eastAsia" w:cs="Times New Roman"/>
                <w:color w:val="auto"/>
                <w:sz w:val="21"/>
                <w:szCs w:val="21"/>
                <w:highlight w:val="none"/>
                <w:lang w:val="en-US" w:eastAsia="zh-CN"/>
              </w:rPr>
              <w:t>达回用水质标准后全部回用于原料清洗，不外排</w:t>
            </w:r>
          </w:p>
        </w:tc>
        <w:tc>
          <w:tcPr>
            <w:tcW w:w="126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流量不稳定，但有周期性规律</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TA001</w:t>
            </w:r>
          </w:p>
        </w:tc>
        <w:tc>
          <w:tcPr>
            <w:tcW w:w="114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综合污水处理站</w:t>
            </w:r>
          </w:p>
        </w:tc>
        <w:tc>
          <w:tcPr>
            <w:tcW w:w="14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气浮+斜板沉淀+A</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O</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+MBR膜+板框压滤</w:t>
            </w:r>
          </w:p>
        </w:tc>
        <w:tc>
          <w:tcPr>
            <w:tcW w:w="93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52"/>
            </w:r>
            <w:r>
              <w:rPr>
                <w:rFonts w:hint="default" w:ascii="Times New Roman" w:hAnsi="Times New Roman" w:eastAsia="宋体" w:cs="Times New Roman"/>
                <w:color w:val="auto"/>
                <w:lang w:val="en-US" w:eastAsia="zh-CN"/>
              </w:rPr>
              <w:t>是</w:t>
            </w:r>
          </w:p>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否</w:t>
            </w:r>
          </w:p>
        </w:tc>
        <w:tc>
          <w:tcPr>
            <w:tcW w:w="1685"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企业总排</w:t>
            </w:r>
          </w:p>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雨水排放</w:t>
            </w:r>
          </w:p>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清净下水排放</w:t>
            </w:r>
          </w:p>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温水排放</w:t>
            </w:r>
          </w:p>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52"/>
            </w:r>
            <w:r>
              <w:rPr>
                <w:rFonts w:hint="default" w:ascii="Times New Roman" w:hAnsi="Times New Roman" w:eastAsia="宋体" w:cs="Times New Roman"/>
                <w:color w:val="auto"/>
                <w:lang w:val="en-US" w:eastAsia="zh-CN"/>
              </w:rPr>
              <w:t>车间或车间处理设施排放口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1381"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生活污水</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（现有工程1号厂区）</w:t>
            </w:r>
          </w:p>
        </w:tc>
        <w:tc>
          <w:tcPr>
            <w:tcW w:w="1785"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pH、SS、COD、BOD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c>
          <w:tcPr>
            <w:tcW w:w="162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进入城市污水处理厂</w:t>
            </w:r>
          </w:p>
        </w:tc>
        <w:tc>
          <w:tcPr>
            <w:tcW w:w="126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连续排放，流量稳定</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TA002</w:t>
            </w:r>
          </w:p>
        </w:tc>
        <w:tc>
          <w:tcPr>
            <w:tcW w:w="114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生活污水处理系统</w:t>
            </w:r>
          </w:p>
        </w:tc>
        <w:tc>
          <w:tcPr>
            <w:tcW w:w="14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lang w:val="en-US" w:eastAsia="zh-CN"/>
              </w:rPr>
              <w:t>化粪池</w:t>
            </w:r>
          </w:p>
        </w:tc>
        <w:tc>
          <w:tcPr>
            <w:tcW w:w="93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DW0</w:t>
            </w:r>
            <w:r>
              <w:rPr>
                <w:rFonts w:hint="eastAsia" w:ascii="Times New Roman" w:hAnsi="Times New Roman" w:eastAsia="宋体" w:cs="Times New Roman"/>
                <w:color w:val="auto"/>
                <w:lang w:val="en-US" w:eastAsia="zh-CN"/>
              </w:rPr>
              <w:t>0</w:t>
            </w:r>
            <w:r>
              <w:rPr>
                <w:rFonts w:hint="eastAsia" w:cs="Times New Roman"/>
                <w:color w:val="auto"/>
                <w:lang w:val="en-US" w:eastAsia="zh-CN"/>
              </w:rPr>
              <w:t>1</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52"/>
            </w:r>
            <w:r>
              <w:rPr>
                <w:rFonts w:hint="default" w:ascii="Times New Roman" w:hAnsi="Times New Roman" w:eastAsia="宋体" w:cs="Times New Roman"/>
                <w:color w:val="auto"/>
                <w:lang w:val="en-US" w:eastAsia="zh-CN"/>
              </w:rPr>
              <w:t>是</w:t>
            </w:r>
          </w:p>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否</w:t>
            </w:r>
          </w:p>
        </w:tc>
        <w:tc>
          <w:tcPr>
            <w:tcW w:w="16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w:t>
            </w:r>
          </w:p>
        </w:tc>
        <w:tc>
          <w:tcPr>
            <w:tcW w:w="1381"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生活污水</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（现有工程2号厂区）</w:t>
            </w:r>
          </w:p>
        </w:tc>
        <w:tc>
          <w:tcPr>
            <w:tcW w:w="17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p>
        </w:tc>
        <w:tc>
          <w:tcPr>
            <w:tcW w:w="162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进入城市污水处理厂</w:t>
            </w:r>
          </w:p>
        </w:tc>
        <w:tc>
          <w:tcPr>
            <w:tcW w:w="126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连续排放，流量稳定</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TA003</w:t>
            </w:r>
          </w:p>
        </w:tc>
        <w:tc>
          <w:tcPr>
            <w:tcW w:w="114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生活污水处理系统</w:t>
            </w:r>
          </w:p>
        </w:tc>
        <w:tc>
          <w:tcPr>
            <w:tcW w:w="14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lang w:val="en-US" w:eastAsia="zh-CN"/>
              </w:rPr>
              <w:t>化粪池</w:t>
            </w:r>
          </w:p>
        </w:tc>
        <w:tc>
          <w:tcPr>
            <w:tcW w:w="93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DW00</w:t>
            </w:r>
            <w:r>
              <w:rPr>
                <w:rFonts w:hint="eastAsia" w:cs="Times New Roman"/>
                <w:color w:val="auto"/>
                <w:lang w:val="en-US" w:eastAsia="zh-CN"/>
              </w:rPr>
              <w:t>2</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52"/>
            </w:r>
            <w:r>
              <w:rPr>
                <w:rFonts w:hint="default" w:ascii="Times New Roman" w:hAnsi="Times New Roman" w:eastAsia="宋体" w:cs="Times New Roman"/>
                <w:color w:val="auto"/>
                <w:lang w:val="en-US" w:eastAsia="zh-CN"/>
              </w:rPr>
              <w:t>是</w:t>
            </w:r>
          </w:p>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否</w:t>
            </w:r>
          </w:p>
        </w:tc>
        <w:tc>
          <w:tcPr>
            <w:tcW w:w="16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1381"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生产废水</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（扩建工程）</w:t>
            </w:r>
          </w:p>
        </w:tc>
        <w:tc>
          <w:tcPr>
            <w:tcW w:w="17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pH、COD、BOD</w:t>
            </w:r>
            <w:r>
              <w:rPr>
                <w:rFonts w:hint="eastAsia" w:ascii="Times New Roman" w:hAnsi="Times New Roman" w:eastAsia="宋体" w:cs="Times New Roman"/>
                <w:color w:val="auto"/>
                <w:vertAlign w:val="subscript"/>
                <w:lang w:val="en-US" w:eastAsia="zh-CN"/>
              </w:rPr>
              <w:t>5</w:t>
            </w:r>
            <w:r>
              <w:rPr>
                <w:rFonts w:hint="eastAsia" w:ascii="Times New Roman" w:hAnsi="Times New Roman" w:eastAsia="宋体" w:cs="Times New Roman"/>
                <w:color w:val="auto"/>
                <w:lang w:val="en-US" w:eastAsia="zh-CN"/>
              </w:rPr>
              <w:t>、SS、NH</w:t>
            </w:r>
            <w:r>
              <w:rPr>
                <w:rFonts w:hint="eastAsia" w:ascii="Times New Roman" w:hAnsi="Times New Roman" w:eastAsia="宋体" w:cs="Times New Roman"/>
                <w:color w:val="auto"/>
                <w:vertAlign w:val="subscript"/>
                <w:lang w:val="en-US" w:eastAsia="zh-CN"/>
              </w:rPr>
              <w:t>3</w:t>
            </w:r>
            <w:r>
              <w:rPr>
                <w:rFonts w:hint="eastAsia" w:ascii="Times New Roman" w:hAnsi="Times New Roman" w:eastAsia="宋体" w:cs="Times New Roman"/>
                <w:color w:val="auto"/>
                <w:lang w:val="en-US" w:eastAsia="zh-CN"/>
              </w:rPr>
              <w:t>-N、TP、TN、石油类</w:t>
            </w:r>
          </w:p>
        </w:tc>
        <w:tc>
          <w:tcPr>
            <w:tcW w:w="162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排至厂内综合污水处理站处理后进入城市污水处理厂</w:t>
            </w:r>
          </w:p>
        </w:tc>
        <w:tc>
          <w:tcPr>
            <w:tcW w:w="126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流量不稳定，但有周期性规律</w:t>
            </w:r>
          </w:p>
        </w:tc>
        <w:tc>
          <w:tcPr>
            <w:tcW w:w="111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TA00</w:t>
            </w:r>
            <w:r>
              <w:rPr>
                <w:rFonts w:hint="eastAsia" w:ascii="Times New Roman" w:hAnsi="Times New Roman" w:eastAsia="宋体" w:cs="Times New Roman"/>
                <w:color w:val="auto"/>
                <w:lang w:val="en-US" w:eastAsia="zh-CN"/>
              </w:rPr>
              <w:t>4</w:t>
            </w:r>
          </w:p>
        </w:tc>
        <w:tc>
          <w:tcPr>
            <w:tcW w:w="114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综合污水处理站</w:t>
            </w:r>
          </w:p>
        </w:tc>
        <w:tc>
          <w:tcPr>
            <w:tcW w:w="1485"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lang w:val="en-US" w:eastAsia="zh-CN"/>
              </w:rPr>
              <w:t>气浮+水解酸化+A/O池+MBR膜+板框压滤</w:t>
            </w:r>
          </w:p>
        </w:tc>
        <w:tc>
          <w:tcPr>
            <w:tcW w:w="93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DW00</w:t>
            </w:r>
            <w:r>
              <w:rPr>
                <w:rFonts w:hint="eastAsia" w:cs="Times New Roman"/>
                <w:color w:val="auto"/>
                <w:lang w:val="en-US" w:eastAsia="zh-CN"/>
              </w:rPr>
              <w:t>3</w:t>
            </w:r>
          </w:p>
        </w:tc>
        <w:tc>
          <w:tcPr>
            <w:tcW w:w="1110" w:type="dxa"/>
            <w:vMerge w:val="restart"/>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52"/>
            </w:r>
            <w:r>
              <w:rPr>
                <w:rFonts w:hint="default" w:ascii="Times New Roman" w:hAnsi="Times New Roman" w:eastAsia="宋体" w:cs="Times New Roman"/>
                <w:color w:val="auto"/>
                <w:lang w:val="en-US" w:eastAsia="zh-CN"/>
              </w:rPr>
              <w:t>是</w:t>
            </w:r>
          </w:p>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否</w:t>
            </w:r>
          </w:p>
        </w:tc>
        <w:tc>
          <w:tcPr>
            <w:tcW w:w="16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left"/>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1381"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初期雨水</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（扩建工程）</w:t>
            </w:r>
          </w:p>
        </w:tc>
        <w:tc>
          <w:tcPr>
            <w:tcW w:w="17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COD、SS</w:t>
            </w:r>
          </w:p>
        </w:tc>
        <w:tc>
          <w:tcPr>
            <w:tcW w:w="162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11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14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4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93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110"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c>
          <w:tcPr>
            <w:tcW w:w="16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381"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生活污水</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（扩建工程）</w:t>
            </w:r>
          </w:p>
        </w:tc>
        <w:tc>
          <w:tcPr>
            <w:tcW w:w="17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pH、SS、COD、BOD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c>
          <w:tcPr>
            <w:tcW w:w="162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进入城市污水处理厂</w:t>
            </w:r>
          </w:p>
        </w:tc>
        <w:tc>
          <w:tcPr>
            <w:tcW w:w="126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连续排放，流量稳定</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TA00</w:t>
            </w:r>
            <w:r>
              <w:rPr>
                <w:rFonts w:hint="eastAsia" w:ascii="Times New Roman" w:hAnsi="Times New Roman" w:eastAsia="宋体" w:cs="Times New Roman"/>
                <w:color w:val="auto"/>
                <w:lang w:val="en-US" w:eastAsia="zh-CN"/>
              </w:rPr>
              <w:t>5</w:t>
            </w:r>
          </w:p>
        </w:tc>
        <w:tc>
          <w:tcPr>
            <w:tcW w:w="114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生活污水处理系统</w:t>
            </w:r>
          </w:p>
        </w:tc>
        <w:tc>
          <w:tcPr>
            <w:tcW w:w="1485"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化粪池</w:t>
            </w:r>
          </w:p>
        </w:tc>
        <w:tc>
          <w:tcPr>
            <w:tcW w:w="93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DW00</w:t>
            </w:r>
            <w:r>
              <w:rPr>
                <w:rFonts w:hint="eastAsia" w:cs="Times New Roman"/>
                <w:color w:val="auto"/>
                <w:lang w:val="en-US" w:eastAsia="zh-CN"/>
              </w:rPr>
              <w:t>4</w:t>
            </w:r>
          </w:p>
        </w:tc>
        <w:tc>
          <w:tcPr>
            <w:tcW w:w="1110" w:type="dxa"/>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52"/>
            </w:r>
            <w:r>
              <w:rPr>
                <w:rFonts w:hint="default" w:ascii="Times New Roman" w:hAnsi="Times New Roman" w:eastAsia="宋体" w:cs="Times New Roman"/>
                <w:color w:val="auto"/>
                <w:lang w:val="en-US" w:eastAsia="zh-CN"/>
              </w:rPr>
              <w:t>是</w:t>
            </w:r>
          </w:p>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sym w:font="Wingdings 2" w:char="00A3"/>
            </w:r>
            <w:r>
              <w:rPr>
                <w:rFonts w:hint="default" w:ascii="Times New Roman" w:hAnsi="Times New Roman" w:eastAsia="宋体" w:cs="Times New Roman"/>
                <w:color w:val="auto"/>
                <w:lang w:val="en-US" w:eastAsia="zh-CN"/>
              </w:rPr>
              <w:t>否</w:t>
            </w:r>
          </w:p>
        </w:tc>
        <w:tc>
          <w:tcPr>
            <w:tcW w:w="1685" w:type="dxa"/>
            <w:vMerge w:val="continue"/>
            <w:tcBorders>
              <w:tl2br w:val="nil"/>
              <w:tr2bl w:val="nil"/>
            </w:tcBorders>
            <w:vAlign w:val="center"/>
          </w:tcPr>
          <w:p>
            <w:pPr>
              <w:pStyle w:val="21"/>
              <w:keepNext w:val="0"/>
              <w:keepLines w:val="0"/>
              <w:suppressLineNumbers w:val="0"/>
              <w:tabs>
                <w:tab w:val="left" w:pos="0"/>
              </w:tabs>
              <w:bidi w:val="0"/>
              <w:spacing w:before="0" w:beforeAutospacing="0" w:after="0" w:afterAutospacing="0"/>
              <w:ind w:right="0"/>
              <w:jc w:val="center"/>
              <w:rPr>
                <w:rFonts w:hint="default" w:ascii="Times New Roman" w:hAnsi="Times New Roman" w:eastAsia="宋体" w:cs="Times New Roman"/>
                <w:color w:val="auto"/>
                <w:lang w:val="en-US" w:eastAsia="zh-CN"/>
              </w:rPr>
            </w:pPr>
          </w:p>
        </w:tc>
      </w:tr>
    </w:tbl>
    <w:p>
      <w:pPr>
        <w:numPr>
          <w:ilvl w:val="0"/>
          <w:numId w:val="0"/>
        </w:numPr>
        <w:tabs>
          <w:tab w:val="left" w:pos="420"/>
        </w:tabs>
        <w:bidi w:val="0"/>
        <w:ind w:leftChars="200"/>
        <w:rPr>
          <w:rFonts w:hint="default"/>
          <w:color w:val="auto"/>
          <w:lang w:val="en-US" w:eastAsia="zh-CN"/>
        </w:rPr>
      </w:pPr>
    </w:p>
    <w:p>
      <w:pPr>
        <w:numPr>
          <w:ilvl w:val="0"/>
          <w:numId w:val="0"/>
        </w:numPr>
        <w:tabs>
          <w:tab w:val="left" w:pos="420"/>
        </w:tabs>
        <w:bidi w:val="0"/>
        <w:ind w:leftChars="200"/>
        <w:rPr>
          <w:rFonts w:hint="default"/>
          <w:color w:val="auto"/>
          <w:lang w:val="en-US" w:eastAsia="zh-CN"/>
        </w:rPr>
      </w:pPr>
    </w:p>
    <w:p>
      <w:pPr>
        <w:numPr>
          <w:ilvl w:val="0"/>
          <w:numId w:val="0"/>
        </w:numPr>
        <w:tabs>
          <w:tab w:val="left" w:pos="420"/>
        </w:tabs>
        <w:bidi w:val="0"/>
        <w:ind w:leftChars="200"/>
        <w:rPr>
          <w:rFonts w:hint="default"/>
          <w:color w:val="auto"/>
          <w:lang w:val="en-US" w:eastAsia="zh-CN"/>
        </w:rPr>
      </w:pPr>
    </w:p>
    <w:p>
      <w:pPr>
        <w:pStyle w:val="24"/>
        <w:numPr>
          <w:ilvl w:val="6"/>
          <w:numId w:val="3"/>
        </w:numPr>
        <w:tabs>
          <w:tab w:val="left" w:pos="420"/>
        </w:tabs>
        <w:bidi w:val="0"/>
        <w:rPr>
          <w:rFonts w:hint="default"/>
          <w:color w:val="auto"/>
          <w:lang w:val="en-US" w:eastAsia="zh-CN"/>
        </w:rPr>
      </w:pPr>
      <w:r>
        <w:rPr>
          <w:rFonts w:hint="eastAsia"/>
          <w:color w:val="auto"/>
          <w:lang w:val="en-US" w:eastAsia="zh-CN"/>
        </w:rPr>
        <w:t>废水间接排放口基本情况表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959"/>
        <w:gridCol w:w="1591"/>
        <w:gridCol w:w="1426"/>
        <w:gridCol w:w="1229"/>
        <w:gridCol w:w="990"/>
        <w:gridCol w:w="1244"/>
        <w:gridCol w:w="973"/>
        <w:gridCol w:w="1133"/>
        <w:gridCol w:w="1591"/>
        <w:gridCol w:w="24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35"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序号</w:t>
            </w:r>
          </w:p>
        </w:tc>
        <w:tc>
          <w:tcPr>
            <w:tcW w:w="337"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排放口编号</w:t>
            </w:r>
          </w:p>
        </w:tc>
        <w:tc>
          <w:tcPr>
            <w:tcW w:w="1060" w:type="pct"/>
            <w:gridSpan w:val="2"/>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排放口地理坐标</w:t>
            </w:r>
          </w:p>
        </w:tc>
        <w:tc>
          <w:tcPr>
            <w:tcW w:w="432"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废水排放量/（万t/a）</w:t>
            </w:r>
          </w:p>
        </w:tc>
        <w:tc>
          <w:tcPr>
            <w:tcW w:w="348"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排放去向</w:t>
            </w:r>
          </w:p>
        </w:tc>
        <w:tc>
          <w:tcPr>
            <w:tcW w:w="437"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排放规律</w:t>
            </w:r>
          </w:p>
        </w:tc>
        <w:tc>
          <w:tcPr>
            <w:tcW w:w="342"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间歇排放时段</w:t>
            </w:r>
          </w:p>
        </w:tc>
        <w:tc>
          <w:tcPr>
            <w:tcW w:w="1806" w:type="pct"/>
            <w:gridSpan w:val="3"/>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受纳污水处理厂信息（近期）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35"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经度</w:t>
            </w:r>
          </w:p>
        </w:tc>
        <w:tc>
          <w:tcPr>
            <w:tcW w:w="501"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纬度</w:t>
            </w:r>
          </w:p>
        </w:tc>
        <w:tc>
          <w:tcPr>
            <w:tcW w:w="43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98"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名称</w:t>
            </w: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污染物种类</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33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color w:val="auto"/>
                <w:lang w:val="en-US" w:eastAsia="zh-CN"/>
              </w:rPr>
            </w:pPr>
            <w:r>
              <w:rPr>
                <w:rFonts w:hint="eastAsia"/>
                <w:color w:val="auto"/>
                <w:lang w:val="en-US" w:eastAsia="zh-CN"/>
              </w:rPr>
              <w:t>DW001</w:t>
            </w: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120°1</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2.84</w:t>
            </w:r>
            <w:r>
              <w:rPr>
                <w:rFonts w:hint="default" w:ascii="Times New Roman" w:hAnsi="Times New Roman" w:cs="Times New Roman"/>
                <w:color w:val="auto"/>
                <w:lang w:val="en-US" w:eastAsia="zh-CN"/>
              </w:rPr>
              <w:t>″</w:t>
            </w:r>
          </w:p>
        </w:tc>
        <w:tc>
          <w:tcPr>
            <w:tcW w:w="501"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26°5</w:t>
            </w:r>
            <w:r>
              <w:rPr>
                <w:rFonts w:hint="eastAsia" w:ascii="Times New Roman" w:hAnsi="Times New Roman" w:cs="Times New Roman"/>
                <w:color w:val="auto"/>
                <w:lang w:val="en-US" w:eastAsia="zh-CN"/>
              </w:rPr>
              <w:t>9</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26.38</w:t>
            </w:r>
            <w:r>
              <w:rPr>
                <w:rFonts w:hint="default" w:ascii="Times New Roman" w:hAnsi="Times New Roman" w:cs="Times New Roman"/>
                <w:color w:val="auto"/>
                <w:lang w:val="en-US" w:eastAsia="zh-CN"/>
              </w:rPr>
              <w:t>″</w:t>
            </w:r>
          </w:p>
        </w:tc>
        <w:tc>
          <w:tcPr>
            <w:tcW w:w="432"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0.4050</w:t>
            </w:r>
          </w:p>
        </w:tc>
        <w:tc>
          <w:tcPr>
            <w:tcW w:w="348"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ascii="Times New Roman" w:hAnsi="Times New Roman" w:eastAsia="宋体" w:cs="Times New Roman"/>
                <w:color w:val="auto"/>
                <w:lang w:val="en-US" w:eastAsia="zh-CN"/>
              </w:rPr>
              <w:t>进入城市污水处理厂</w:t>
            </w:r>
          </w:p>
        </w:tc>
        <w:tc>
          <w:tcPr>
            <w:tcW w:w="437"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连续排放，流量稳定</w:t>
            </w:r>
          </w:p>
        </w:tc>
        <w:tc>
          <w:tcPr>
            <w:tcW w:w="34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398"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牙城镇污水处理厂</w:t>
            </w: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pH（无量纲）</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w:t>
            </w:r>
          </w:p>
        </w:tc>
        <w:tc>
          <w:tcPr>
            <w:tcW w:w="33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color w:val="auto"/>
                <w:lang w:val="en-US" w:eastAsia="zh-CN"/>
              </w:rPr>
            </w:pPr>
            <w:r>
              <w:rPr>
                <w:rFonts w:hint="eastAsia"/>
                <w:color w:val="auto"/>
                <w:lang w:val="en-US" w:eastAsia="zh-CN"/>
              </w:rPr>
              <w:t>DW002</w:t>
            </w: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120°1</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0.60</w:t>
            </w:r>
            <w:r>
              <w:rPr>
                <w:rFonts w:hint="default" w:ascii="Times New Roman" w:hAnsi="Times New Roman" w:cs="Times New Roman"/>
                <w:color w:val="auto"/>
                <w:lang w:val="en-US" w:eastAsia="zh-CN"/>
              </w:rPr>
              <w:t>″</w:t>
            </w:r>
          </w:p>
        </w:tc>
        <w:tc>
          <w:tcPr>
            <w:tcW w:w="501"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26°5</w:t>
            </w:r>
            <w:r>
              <w:rPr>
                <w:rFonts w:hint="eastAsia" w:ascii="Times New Roman" w:hAnsi="Times New Roman" w:cs="Times New Roman"/>
                <w:color w:val="auto"/>
                <w:lang w:val="en-US" w:eastAsia="zh-CN"/>
              </w:rPr>
              <w:t>9</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33.88</w:t>
            </w:r>
            <w:r>
              <w:rPr>
                <w:rFonts w:hint="default" w:ascii="Times New Roman" w:hAnsi="Times New Roman" w:cs="Times New Roman"/>
                <w:color w:val="auto"/>
                <w:lang w:val="en-US" w:eastAsia="zh-CN"/>
              </w:rPr>
              <w:t>″</w:t>
            </w:r>
          </w:p>
        </w:tc>
        <w:tc>
          <w:tcPr>
            <w:tcW w:w="432"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0.1350</w:t>
            </w: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ascii="Times New Roman" w:hAnsi="Times New Roman" w:eastAsia="宋体" w:cs="Times New Roman"/>
                <w:color w:val="auto"/>
                <w:lang w:val="en-US" w:eastAsia="zh-CN"/>
              </w:rPr>
            </w:pPr>
          </w:p>
        </w:tc>
        <w:tc>
          <w:tcPr>
            <w:tcW w:w="4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ascii="Times New Roman" w:hAnsi="Times New Roman" w:eastAsia="宋体" w:cs="Times New Roman"/>
                <w:color w:val="auto"/>
                <w:lang w:val="en-US" w:eastAsia="zh-CN"/>
              </w:rPr>
            </w:pPr>
          </w:p>
        </w:tc>
        <w:tc>
          <w:tcPr>
            <w:tcW w:w="34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COD</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w:t>
            </w:r>
          </w:p>
        </w:tc>
        <w:tc>
          <w:tcPr>
            <w:tcW w:w="33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color w:val="auto"/>
                <w:lang w:val="en-US" w:eastAsia="zh-CN"/>
              </w:rPr>
            </w:pPr>
            <w:r>
              <w:rPr>
                <w:rFonts w:hint="eastAsia"/>
                <w:color w:val="auto"/>
                <w:lang w:val="en-US" w:eastAsia="zh-CN"/>
              </w:rPr>
              <w:t>DW003</w:t>
            </w: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120°11′56.91″</w:t>
            </w:r>
          </w:p>
        </w:tc>
        <w:tc>
          <w:tcPr>
            <w:tcW w:w="501"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26°58′58.54″</w:t>
            </w:r>
          </w:p>
        </w:tc>
        <w:tc>
          <w:tcPr>
            <w:tcW w:w="432"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0.1905</w:t>
            </w: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ascii="Times New Roman" w:hAnsi="Times New Roman" w:eastAsia="宋体" w:cs="Times New Roman"/>
                <w:color w:val="auto"/>
                <w:lang w:val="en-US" w:eastAsia="zh-CN"/>
              </w:rPr>
            </w:pPr>
          </w:p>
        </w:tc>
        <w:tc>
          <w:tcPr>
            <w:tcW w:w="43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流量不稳定，但有周期性规律</w:t>
            </w:r>
          </w:p>
        </w:tc>
        <w:tc>
          <w:tcPr>
            <w:tcW w:w="34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eastAsia"/>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35"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w:t>
            </w:r>
          </w:p>
        </w:tc>
        <w:tc>
          <w:tcPr>
            <w:tcW w:w="337"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DW004</w:t>
            </w:r>
          </w:p>
        </w:tc>
        <w:tc>
          <w:tcPr>
            <w:tcW w:w="559" w:type="pct"/>
            <w:vMerge w:val="restar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120°11′54.50″</w:t>
            </w:r>
          </w:p>
        </w:tc>
        <w:tc>
          <w:tcPr>
            <w:tcW w:w="501" w:type="pct"/>
            <w:vMerge w:val="restar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26°58′58.5</w:t>
            </w:r>
            <w:r>
              <w:rPr>
                <w:rFonts w:hint="eastAsia" w:cs="Times New Roman"/>
                <w:color w:val="auto"/>
                <w:lang w:val="en-US" w:eastAsia="zh-CN"/>
              </w:rPr>
              <w:t>8</w:t>
            </w:r>
            <w:r>
              <w:rPr>
                <w:rFonts w:hint="default" w:ascii="Times New Roman" w:hAnsi="Times New Roman" w:cs="Times New Roman"/>
                <w:color w:val="auto"/>
                <w:lang w:val="en-US" w:eastAsia="zh-CN"/>
              </w:rPr>
              <w:t>″</w:t>
            </w:r>
          </w:p>
        </w:tc>
        <w:tc>
          <w:tcPr>
            <w:tcW w:w="432" w:type="pct"/>
            <w:vMerge w:val="restart"/>
            <w:tcBorders>
              <w:tl2br w:val="nil"/>
              <w:tr2bl w:val="nil"/>
            </w:tcBorders>
            <w:vAlign w:val="center"/>
          </w:tcPr>
          <w:p>
            <w:pPr>
              <w:pStyle w:val="21"/>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0.5280</w:t>
            </w: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7"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ascii="Times New Roman" w:hAnsi="Times New Roman" w:eastAsia="宋体" w:cs="Times New Roman"/>
                <w:color w:val="auto"/>
                <w:lang w:val="en-US" w:eastAsia="zh-CN"/>
              </w:rPr>
              <w:t>连续排放，流量稳定</w:t>
            </w:r>
          </w:p>
        </w:tc>
        <w:tc>
          <w:tcPr>
            <w:tcW w:w="342"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w:t>
            </w: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SS</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3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559"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501"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43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4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34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01"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01"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vMerge w:val="continue"/>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p>
        </w:tc>
        <w:tc>
          <w:tcPr>
            <w:tcW w:w="501"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ascii="Times New Roman" w:hAnsi="Times New Roman" w:cs="Times New Roman"/>
                <w:color w:val="auto"/>
                <w:lang w:val="en-US" w:eastAsia="zh-CN"/>
              </w:rPr>
            </w:pPr>
          </w:p>
        </w:tc>
        <w:tc>
          <w:tcPr>
            <w:tcW w:w="43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3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42"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398"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55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849" w:type="pct"/>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3</w:t>
            </w:r>
          </w:p>
        </w:tc>
      </w:tr>
    </w:tbl>
    <w:p>
      <w:pPr>
        <w:pStyle w:val="24"/>
        <w:numPr>
          <w:ilvl w:val="6"/>
          <w:numId w:val="3"/>
        </w:numPr>
        <w:tabs>
          <w:tab w:val="left" w:pos="420"/>
        </w:tabs>
        <w:bidi w:val="0"/>
        <w:rPr>
          <w:rFonts w:hint="default"/>
          <w:color w:val="auto"/>
          <w:lang w:val="en-US" w:eastAsia="zh-CN"/>
        </w:rPr>
      </w:pPr>
      <w:r>
        <w:rPr>
          <w:rFonts w:hint="eastAsia"/>
          <w:color w:val="auto"/>
          <w:lang w:val="en-US" w:eastAsia="zh-CN"/>
        </w:rPr>
        <w:t>废水污染物排放执行标准表</w:t>
      </w:r>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530"/>
        <w:gridCol w:w="2010"/>
        <w:gridCol w:w="4680"/>
        <w:gridCol w:w="45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53"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序号</w:t>
            </w:r>
          </w:p>
        </w:tc>
        <w:tc>
          <w:tcPr>
            <w:tcW w:w="1530"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排放口编号</w:t>
            </w:r>
          </w:p>
        </w:tc>
        <w:tc>
          <w:tcPr>
            <w:tcW w:w="2010"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污染物种类</w:t>
            </w:r>
          </w:p>
        </w:tc>
        <w:tc>
          <w:tcPr>
            <w:tcW w:w="9227" w:type="dxa"/>
            <w:gridSpan w:val="2"/>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680"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名称</w:t>
            </w: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1530"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DW003</w:t>
            </w: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pH（无量纲）</w:t>
            </w:r>
          </w:p>
        </w:tc>
        <w:tc>
          <w:tcPr>
            <w:tcW w:w="4680"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default" w:ascii="Times New Roman" w:hAnsi="Times New Roman" w:cs="Times New Roman"/>
                <w:color w:val="auto"/>
                <w:highlight w:val="none"/>
                <w:lang w:val="en-US" w:eastAsia="zh-CN"/>
              </w:rPr>
              <w:t>《合成树脂工业污染物排放标准》（GB31572-2015）中表1直接排放限值</w:t>
            </w: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COD</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SS</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4680"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default" w:ascii="Times New Roman" w:hAnsi="Times New Roman" w:cs="Times New Roman"/>
                <w:color w:val="auto"/>
                <w:highlight w:val="none"/>
                <w:lang w:val="en-US" w:eastAsia="zh-CN"/>
              </w:rPr>
              <w:t>参照现有工程环评报告书的要求</w:t>
            </w: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w:t>
            </w:r>
          </w:p>
        </w:tc>
        <w:tc>
          <w:tcPr>
            <w:tcW w:w="1530"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DW001、DW002、DW004</w:t>
            </w:r>
          </w:p>
        </w:tc>
        <w:tc>
          <w:tcPr>
            <w:tcW w:w="2010"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jc w:val="center"/>
              <w:rPr>
                <w:rFonts w:hint="default"/>
                <w:color w:val="auto"/>
                <w:lang w:val="en-US" w:eastAsia="zh-CN"/>
              </w:rPr>
            </w:pPr>
            <w:r>
              <w:rPr>
                <w:rFonts w:hint="eastAsia"/>
                <w:color w:val="auto"/>
                <w:lang w:val="en-US" w:eastAsia="zh-CN"/>
              </w:rPr>
              <w:t>pH（无量纲）</w:t>
            </w:r>
          </w:p>
        </w:tc>
        <w:tc>
          <w:tcPr>
            <w:tcW w:w="4680"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default" w:ascii="Times New Roman" w:hAnsi="Times New Roman" w:cs="Times New Roman"/>
                <w:color w:val="auto"/>
                <w:highlight w:val="none"/>
                <w:lang w:val="en-US" w:eastAsia="zh-CN"/>
              </w:rPr>
              <w:t>牙城镇污水处理厂设计进水水质</w:t>
            </w: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0"/>
                <w:lang w:val="en-US" w:eastAsia="zh-CN"/>
              </w:rPr>
              <w:t>COD</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Cs w:val="20"/>
                <w:lang w:val="en-US" w:eastAsia="zh-CN"/>
              </w:rPr>
              <w:t>BOD</w:t>
            </w:r>
            <w:r>
              <w:rPr>
                <w:rFonts w:hint="eastAsia"/>
                <w:color w:val="auto"/>
                <w:szCs w:val="20"/>
                <w:vertAlign w:val="subscript"/>
                <w:lang w:val="en-US" w:eastAsia="zh-CN"/>
              </w:rPr>
              <w:t>5</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0"/>
                <w:lang w:val="en-US" w:eastAsia="zh-CN"/>
              </w:rPr>
              <w:t>SS</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153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10" w:type="dxa"/>
            <w:tcBorders>
              <w:tl2br w:val="nil"/>
              <w:tr2bl w:val="nil"/>
            </w:tcBorders>
            <w:vAlign w:val="center"/>
          </w:tcPr>
          <w:p>
            <w:pPr>
              <w:pStyle w:val="21"/>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Cs w:val="20"/>
                <w:lang w:val="en-US" w:eastAsia="zh-CN"/>
              </w:rPr>
              <w:t>NH</w:t>
            </w:r>
            <w:r>
              <w:rPr>
                <w:rFonts w:hint="eastAsia"/>
                <w:color w:val="auto"/>
                <w:szCs w:val="20"/>
                <w:vertAlign w:val="subscript"/>
                <w:lang w:val="en-US" w:eastAsia="zh-CN"/>
              </w:rPr>
              <w:t>3</w:t>
            </w:r>
            <w:r>
              <w:rPr>
                <w:rFonts w:hint="eastAsia"/>
                <w:color w:val="auto"/>
                <w:szCs w:val="20"/>
                <w:lang w:val="en-US" w:eastAsia="zh-CN"/>
              </w:rPr>
              <w:t>-N</w:t>
            </w:r>
          </w:p>
        </w:tc>
        <w:tc>
          <w:tcPr>
            <w:tcW w:w="4680"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4547" w:type="dxa"/>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8</w:t>
            </w:r>
          </w:p>
        </w:tc>
      </w:tr>
    </w:tbl>
    <w:p>
      <w:pPr>
        <w:pStyle w:val="24"/>
        <w:numPr>
          <w:ilvl w:val="6"/>
          <w:numId w:val="3"/>
        </w:numPr>
        <w:tabs>
          <w:tab w:val="left" w:pos="420"/>
        </w:tabs>
        <w:bidi w:val="0"/>
        <w:rPr>
          <w:rFonts w:hint="default"/>
          <w:color w:val="auto"/>
          <w:lang w:val="en-US" w:eastAsia="zh-CN"/>
        </w:rPr>
      </w:pPr>
      <w:r>
        <w:rPr>
          <w:rFonts w:hint="eastAsia"/>
          <w:color w:val="auto"/>
          <w:lang w:val="en-US" w:eastAsia="zh-CN"/>
        </w:rPr>
        <w:t>废水污染物排放信息表（扩建项目）</w:t>
      </w:r>
    </w:p>
    <w:tbl>
      <w:tblPr>
        <w:tblStyle w:val="18"/>
        <w:tblW w:w="1422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3"/>
        <w:gridCol w:w="2102"/>
        <w:gridCol w:w="2316"/>
        <w:gridCol w:w="1777"/>
        <w:gridCol w:w="1778"/>
        <w:gridCol w:w="1778"/>
        <w:gridCol w:w="1778"/>
        <w:gridCol w:w="1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13"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序号</w:t>
            </w:r>
          </w:p>
        </w:tc>
        <w:tc>
          <w:tcPr>
            <w:tcW w:w="2102"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排放口编号</w:t>
            </w: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污染物种类</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排放浓度/（mg/L）</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新增日排放量/（t/d）</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全厂日排放量/（t/d）</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新增年排放量/（t/a）</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全厂</w:t>
            </w:r>
            <w:r>
              <w:rPr>
                <w:rFonts w:hint="default"/>
                <w:color w:val="auto"/>
                <w:lang w:val="en-US" w:eastAsia="zh-CN"/>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w:t>
            </w:r>
          </w:p>
        </w:tc>
        <w:tc>
          <w:tcPr>
            <w:tcW w:w="2102"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DW00</w:t>
            </w:r>
            <w:r>
              <w:rPr>
                <w:rFonts w:hint="eastAsia"/>
                <w:color w:val="auto"/>
                <w:lang w:val="en-US" w:eastAsia="zh-CN"/>
              </w:rPr>
              <w:t>3</w:t>
            </w: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pH（无量纲）</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6~9</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COD</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52.9</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3.05E-04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3.05E-04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0.1008</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0.1008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BOD</w:t>
            </w:r>
            <w:r>
              <w:rPr>
                <w:rFonts w:hint="default"/>
                <w:color w:val="auto"/>
                <w:vertAlign w:val="subscript"/>
                <w:lang w:val="en-US" w:eastAsia="zh-CN"/>
              </w:rPr>
              <w:t>5</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18.2</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1.05E-04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1.05E-04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0.0347</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0.0347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SS</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19.16</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1.11E-04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1.11E-04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0.0365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氨氮</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1.12</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6.36E-06</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6.36E-06</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0.0021</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总磷</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0.19</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1.21E-06</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1.21E-06</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总氮</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1.84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1.06E-05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1.06E-05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eastAsia="zh-CN"/>
              </w:rPr>
              <w:t>0.0035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石油类</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6.35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3.67E-05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3.67E-05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eastAsia="zh-CN"/>
              </w:rPr>
              <w:t>0.0121</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2</w:t>
            </w:r>
          </w:p>
        </w:tc>
        <w:tc>
          <w:tcPr>
            <w:tcW w:w="2102" w:type="dxa"/>
            <w:vMerge w:val="restart"/>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DW004</w:t>
            </w:r>
          </w:p>
        </w:tc>
        <w:tc>
          <w:tcPr>
            <w:tcW w:w="23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pH（无量纲）</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6~9</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COD</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340</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5.44E-03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5.44E-03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eastAsia="zh-CN"/>
              </w:rPr>
              <w:t>1.7952</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1.7952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BOD</w:t>
            </w:r>
            <w:r>
              <w:rPr>
                <w:rFonts w:hint="default" w:ascii="Times New Roman" w:hAnsi="Times New Roman" w:cs="Times New Roman"/>
                <w:color w:val="auto"/>
                <w:szCs w:val="20"/>
                <w:highlight w:val="none"/>
                <w:vertAlign w:val="subscript"/>
                <w:lang w:val="en-US" w:eastAsia="zh-CN"/>
              </w:rPr>
              <w:t>5</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182</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2.91E-03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2.91E-03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eastAsia="zh-CN"/>
              </w:rPr>
              <w:t>0.961</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0.961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SS</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140</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2.24E-03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2.24E-03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eastAsia="zh-CN"/>
              </w:rPr>
              <w:t>0.7392</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0.7392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102" w:type="dxa"/>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231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szCs w:val="20"/>
                <w:highlight w:val="none"/>
                <w:lang w:val="en-US" w:eastAsia="zh-CN"/>
              </w:rPr>
              <w:t>氨氮</w:t>
            </w:r>
          </w:p>
        </w:tc>
        <w:tc>
          <w:tcPr>
            <w:tcW w:w="1777"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33.95</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5.43E-04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eastAsia"/>
                <w:color w:val="auto"/>
                <w:lang w:val="en-US" w:eastAsia="zh-CN"/>
              </w:rPr>
              <w:t>5.43E-04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eastAsia"/>
                <w:color w:val="auto"/>
                <w:lang w:val="en-US" w:eastAsia="zh-CN"/>
              </w:rPr>
            </w:pPr>
            <w:r>
              <w:rPr>
                <w:rFonts w:hint="default"/>
                <w:color w:val="auto"/>
                <w:lang w:val="en-US" w:eastAsia="zh-CN"/>
              </w:rPr>
              <w:t>0.1793</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0.1793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5" w:type="dxa"/>
            <w:gridSpan w:val="2"/>
            <w:vMerge w:val="restart"/>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全厂</w:t>
            </w:r>
            <w:r>
              <w:rPr>
                <w:rFonts w:hint="default"/>
                <w:color w:val="auto"/>
                <w:lang w:val="en-US" w:eastAsia="zh-CN"/>
              </w:rPr>
              <w:t>合计</w:t>
            </w:r>
          </w:p>
        </w:tc>
        <w:tc>
          <w:tcPr>
            <w:tcW w:w="7649" w:type="dxa"/>
            <w:gridSpan w:val="4"/>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COD</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1.8960</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1.8960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5" w:type="dxa"/>
            <w:gridSpan w:val="2"/>
            <w:vMerge w:val="continue"/>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p>
        </w:tc>
        <w:tc>
          <w:tcPr>
            <w:tcW w:w="7649" w:type="dxa"/>
            <w:gridSpan w:val="4"/>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0.1814</w:t>
            </w:r>
          </w:p>
        </w:tc>
        <w:tc>
          <w:tcPr>
            <w:tcW w:w="1778"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0.1814</w:t>
            </w:r>
          </w:p>
        </w:tc>
      </w:tr>
    </w:tbl>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en-US"/>
        </w:rPr>
        <w:t>建设项目地表水环境影响评价自查表</w:t>
      </w:r>
    </w:p>
    <w:tbl>
      <w:tblPr>
        <w:tblStyle w:val="17"/>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243"/>
        <w:gridCol w:w="1154"/>
        <w:gridCol w:w="598"/>
        <w:gridCol w:w="357"/>
        <w:gridCol w:w="1735"/>
        <w:gridCol w:w="411"/>
        <w:gridCol w:w="323"/>
        <w:gridCol w:w="682"/>
        <w:gridCol w:w="176"/>
        <w:gridCol w:w="981"/>
        <w:gridCol w:w="12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671" w:type="dxa"/>
            <w:gridSpan w:val="2"/>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lang w:eastAsia="en-US"/>
              </w:rPr>
            </w:pPr>
            <w:r>
              <w:rPr>
                <w:rFonts w:hint="default" w:ascii="Times New Roman" w:hAnsi="Times New Roman" w:eastAsia="宋体" w:cs="Times New Roman"/>
                <w:b/>
                <w:bCs/>
                <w:color w:val="auto"/>
                <w:kern w:val="0"/>
                <w:sz w:val="21"/>
                <w:szCs w:val="21"/>
                <w:highlight w:val="none"/>
                <w:lang w:eastAsia="en-US"/>
              </w:rPr>
              <w:t>工作内容</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lang w:eastAsia="en-US"/>
              </w:rPr>
            </w:pPr>
            <w:r>
              <w:rPr>
                <w:rFonts w:hint="default" w:ascii="Times New Roman" w:hAnsi="Times New Roman" w:eastAsia="宋体" w:cs="Times New Roman"/>
                <w:b/>
                <w:bCs/>
                <w:color w:val="auto"/>
                <w:kern w:val="0"/>
                <w:sz w:val="21"/>
                <w:szCs w:val="21"/>
                <w:highlight w:val="none"/>
                <w:lang w:eastAsia="en-US"/>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restart"/>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影</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响</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识</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别</w:t>
            </w:r>
          </w:p>
        </w:tc>
        <w:tc>
          <w:tcPr>
            <w:tcW w:w="1243" w:type="dxa"/>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影响类型</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水污染影响型</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；水文要素影响型</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水环境保护目标</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饮用水水源保护区</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；饮用水取水</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；涉水的自然保护区</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；重要湿地</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；重点保护与珍稀水生生物的栖息地</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；重要水生生物的自然产卵场及索饵场、越冬场和洄游通道、天然渔场等渔业水体</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；涉水的风景名胜区</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影响途径</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水污染影响型</w:t>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 xml:space="preserve">直接排放 </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；间接排放</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水温</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；径流</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；水域面积</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影响因子</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持久性污染物</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；有毒有害污染物</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；非持久性污染物</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；pH值</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；热污染</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；富营养化</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水温</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；水位（水深）</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；流速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；流量</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71" w:type="dxa"/>
            <w:gridSpan w:val="2"/>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评价等级</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水污染影响型</w:t>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71"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一级</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；二级</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；三级A</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；三级B</w:t>
            </w:r>
            <w:r>
              <w:rPr>
                <w:rFonts w:hint="default" w:ascii="Times New Roman" w:hAnsi="Times New Roman" w:eastAsia="宋体" w:cs="Times New Roman"/>
                <w:color w:val="auto"/>
                <w:kern w:val="0"/>
                <w:sz w:val="21"/>
                <w:szCs w:val="21"/>
                <w:highlight w:val="none"/>
                <w:lang w:eastAsia="en-US"/>
              </w:rPr>
              <w:sym w:font="Wingdings 2" w:char="0052"/>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一级</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；二级</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；三级</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现状调查</w:t>
            </w: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区域污染源</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调查项目</w:t>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752" w:type="dxa"/>
            <w:gridSpan w:val="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已建</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；在建</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拟建</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c>
          <w:tcPr>
            <w:tcW w:w="2503" w:type="dxa"/>
            <w:gridSpan w:val="3"/>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拟替代的污染源</w:t>
            </w:r>
            <w:r>
              <w:rPr>
                <w:rFonts w:hint="default" w:ascii="Times New Roman" w:hAnsi="Times New Roman" w:eastAsia="宋体" w:cs="Times New Roman"/>
                <w:color w:val="auto"/>
                <w:kern w:val="0"/>
                <w:sz w:val="21"/>
                <w:szCs w:val="21"/>
                <w:highlight w:val="none"/>
                <w:lang w:eastAsia="en-US"/>
              </w:rPr>
              <w:sym w:font="Wingdings 2" w:char="00A3"/>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排污许可证</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；环评</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环保验收</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；既有实测</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现场监测</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；入河排放口数据</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受影响水体水环境质量</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调查时期</w:t>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丰水期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；平水期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；枯水期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冰封期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en-US"/>
              </w:rPr>
              <w:t>春季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；夏季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；秋季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；冬季</w:t>
            </w:r>
            <w:r>
              <w:rPr>
                <w:rFonts w:hint="default" w:ascii="Times New Roman" w:hAnsi="Times New Roman" w:eastAsia="宋体" w:cs="Times New Roman"/>
                <w:color w:val="auto"/>
                <w:kern w:val="0"/>
                <w:sz w:val="21"/>
                <w:szCs w:val="21"/>
                <w:highlight w:val="none"/>
                <w:lang w:eastAsia="en-US"/>
              </w:rPr>
              <w:sym w:font="Wingdings 2" w:char="00A3"/>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生态环境保护主管部门</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补充监测</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区域水资源开发利用状况</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未开发</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；开发量40%以下</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；开发量40%以上</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水文情势调查</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调查时期</w:t>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丰水期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；平水期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；枯水期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冰封期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en-US"/>
              </w:rPr>
              <w:t>春季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；夏季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；秋季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；冬季</w:t>
            </w:r>
            <w:r>
              <w:rPr>
                <w:rFonts w:hint="default" w:ascii="Times New Roman" w:hAnsi="Times New Roman" w:eastAsia="宋体" w:cs="Times New Roman"/>
                <w:color w:val="auto"/>
                <w:kern w:val="0"/>
                <w:sz w:val="21"/>
                <w:szCs w:val="21"/>
                <w:highlight w:val="none"/>
                <w:lang w:eastAsia="en-US"/>
              </w:rPr>
              <w:sym w:font="Wingdings 2" w:char="00A3"/>
            </w:r>
          </w:p>
        </w:tc>
        <w:tc>
          <w:tcPr>
            <w:tcW w:w="3362"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水行政主管部门</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补充监测</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补充监测</w:t>
            </w: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监测时期</w:t>
            </w:r>
          </w:p>
        </w:tc>
        <w:tc>
          <w:tcPr>
            <w:tcW w:w="1181" w:type="dxa"/>
            <w:gridSpan w:val="3"/>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监测因子</w:t>
            </w:r>
          </w:p>
        </w:tc>
        <w:tc>
          <w:tcPr>
            <w:tcW w:w="2181" w:type="dxa"/>
            <w:gridSpan w:val="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4255"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丰水期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；平水期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；枯水期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冰封期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en-US"/>
              </w:rPr>
              <w:t>春季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；夏季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；秋季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；冬季</w:t>
            </w:r>
            <w:r>
              <w:rPr>
                <w:rFonts w:hint="default" w:ascii="Times New Roman" w:hAnsi="Times New Roman" w:eastAsia="宋体" w:cs="Times New Roman"/>
                <w:color w:val="auto"/>
                <w:kern w:val="0"/>
                <w:sz w:val="21"/>
                <w:szCs w:val="21"/>
                <w:highlight w:val="none"/>
                <w:lang w:eastAsia="en-US"/>
              </w:rPr>
              <w:sym w:font="Wingdings 2" w:char="00A3"/>
            </w:r>
          </w:p>
        </w:tc>
        <w:tc>
          <w:tcPr>
            <w:tcW w:w="1181"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p>
        </w:tc>
        <w:tc>
          <w:tcPr>
            <w:tcW w:w="2181" w:type="dxa"/>
            <w:gridSpan w:val="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监测断面或点位个数（）个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现状评价</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评价范围</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河流：长度（</w:t>
            </w: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lang w:eastAsia="en-US"/>
              </w:rPr>
              <w:t>）km；湖库、河口及近岸海域：面积（）km</w:t>
            </w:r>
            <w:r>
              <w:rPr>
                <w:rFonts w:hint="default" w:ascii="Times New Roman" w:hAnsi="Times New Roman" w:eastAsia="宋体" w:cs="Times New Roman"/>
                <w:color w:val="auto"/>
                <w:kern w:val="0"/>
                <w:sz w:val="21"/>
                <w:szCs w:val="21"/>
                <w:highlight w:val="none"/>
                <w:vertAlign w:val="superscript"/>
                <w:lang w:eastAsia="en-US"/>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评价因子</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评价标准</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河流、湖库、河口：Ⅰ类</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；Ⅱ类</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；Ⅲ类</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；Ⅳ类</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；Ⅴ类</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近岸海域：第一类</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；第二类</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；第三类</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；第四类</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规划年评价标准（</w:t>
            </w:r>
            <w:r>
              <w:rPr>
                <w:rFonts w:hint="default" w:ascii="Times New Roman" w:hAnsi="Times New Roman" w:eastAsia="宋体" w:cs="Times New Roman"/>
                <w:color w:val="auto"/>
                <w:kern w:val="0"/>
                <w:sz w:val="21"/>
                <w:szCs w:val="21"/>
                <w:highlight w:val="none"/>
                <w:lang w:val="en-US" w:eastAsia="zh-CN"/>
              </w:rPr>
              <w:t>2020年</w:t>
            </w:r>
            <w:r>
              <w:rPr>
                <w:rFonts w:hint="default" w:ascii="Times New Roman" w:hAnsi="Times New Roman" w:eastAsia="宋体" w:cs="Times New Roman"/>
                <w:color w:val="auto"/>
                <w:kern w:val="0"/>
                <w:sz w:val="21"/>
                <w:szCs w:val="21"/>
                <w:highlight w:val="none"/>
                <w:lang w:eastAsia="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评价时期</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丰水期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；平水期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；枯水期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；冰封期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en-US"/>
              </w:rPr>
              <w:t>春季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；夏季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；秋季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；冬季</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评价结论</w:t>
            </w:r>
          </w:p>
        </w:tc>
        <w:tc>
          <w:tcPr>
            <w:tcW w:w="5436" w:type="dxa"/>
            <w:gridSpan w:val="8"/>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水环境功能区或水功能区、近岸海域环境功能区水质达标状况</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：达标</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；不达标</w:t>
            </w:r>
            <w:r>
              <w:rPr>
                <w:rFonts w:hint="default" w:ascii="Times New Roman" w:hAnsi="Times New Roman" w:eastAsia="宋体" w:cs="Times New Roman"/>
                <w:color w:val="auto"/>
                <w:kern w:val="0"/>
                <w:sz w:val="21"/>
                <w:szCs w:val="21"/>
                <w:highlight w:val="none"/>
                <w:lang w:eastAsia="en-US"/>
              </w:rPr>
              <w:sym w:font="Wingdings 2" w:char="0052"/>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水环境控制单元或断面水质达标状况</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：达标</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；不达标</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水环境保护目标质量状况</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：达标</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；不达标</w:t>
            </w:r>
            <w:r>
              <w:rPr>
                <w:rFonts w:hint="default" w:ascii="Times New Roman" w:hAnsi="Times New Roman" w:eastAsia="宋体" w:cs="Times New Roman"/>
                <w:color w:val="auto"/>
                <w:kern w:val="0"/>
                <w:sz w:val="21"/>
                <w:szCs w:val="21"/>
                <w:highlight w:val="none"/>
                <w:lang w:eastAsia="en-US"/>
              </w:rPr>
              <w:sym w:font="Wingdings 2" w:char="0052"/>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对照断面、控制断面等代表性断面的水质状况</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：达标</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；不达标</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底泥污染评价</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水资源与开发利用程度及其水文情势评价</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水环境质量回顾评价</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流域（区域）水资源（包括水能资源）与开发利用总体状况、生态流量管理要求与现状满足程度、建设项目占用水域空间的水流状况与河湖演变状况</w:t>
            </w:r>
            <w:r>
              <w:rPr>
                <w:rFonts w:hint="default" w:ascii="Times New Roman" w:hAnsi="Times New Roman" w:eastAsia="宋体" w:cs="Times New Roman"/>
                <w:color w:val="auto"/>
                <w:kern w:val="0"/>
                <w:sz w:val="21"/>
                <w:szCs w:val="21"/>
                <w:highlight w:val="none"/>
                <w:lang w:eastAsia="en-US"/>
              </w:rPr>
              <w:sym w:font="Wingdings 2" w:char="00A3"/>
            </w:r>
          </w:p>
        </w:tc>
        <w:tc>
          <w:tcPr>
            <w:tcW w:w="2181" w:type="dxa"/>
            <w:gridSpan w:val="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达标区</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不达标区</w:t>
            </w:r>
            <w:r>
              <w:rPr>
                <w:rFonts w:hint="default" w:ascii="Times New Roman" w:hAnsi="Times New Roman" w:eastAsia="宋体" w:cs="Times New Roman"/>
                <w:color w:val="auto"/>
                <w:kern w:val="0"/>
                <w:sz w:val="21"/>
                <w:szCs w:val="21"/>
                <w:highlight w:val="none"/>
                <w:lang w:eastAsia="en-US"/>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影响预测</w:t>
            </w: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预测范围</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河流：长度（</w:t>
            </w: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lang w:eastAsia="en-US"/>
              </w:rPr>
              <w:t>）km；湖库、河口及近岸海域：面积（）km</w:t>
            </w:r>
            <w:r>
              <w:rPr>
                <w:rFonts w:hint="default" w:ascii="Times New Roman" w:hAnsi="Times New Roman" w:eastAsia="宋体" w:cs="Times New Roman"/>
                <w:color w:val="auto"/>
                <w:kern w:val="0"/>
                <w:sz w:val="21"/>
                <w:szCs w:val="21"/>
                <w:highlight w:val="none"/>
                <w:vertAlign w:val="superscript"/>
                <w:lang w:eastAsia="en-US"/>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预测因子</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sz w:val="21"/>
                <w:highlight w:val="none"/>
                <w:lang w:val="en-US" w:eastAsia="zh-CN"/>
              </w:rPr>
              <w:t xml:space="preserve">  </w:t>
            </w:r>
            <w:r>
              <w:rPr>
                <w:rFonts w:hint="default" w:ascii="Times New Roman" w:hAnsi="Times New Roman" w:eastAsia="宋体"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预测时期</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丰水期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；平水期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；枯水期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；冰封期</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春季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；夏季</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；秋季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；冬季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en-US"/>
              </w:rPr>
              <w:t>设计水文条件</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预测情景</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建设期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；生产运行期</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；服务期满后</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正常工况</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；非正常工况</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污染控制和减缓措施方案</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；区（流）域环境质量改善目标要求情景</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预测方法</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数值解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：解析解</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导则推荐模式</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影响评价</w:t>
            </w: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水污染控制和水环境影响减缓措施有效性评价</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区（流）域水环境质量改善目标</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；替代削减源</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水环境影响评价</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排放口混合区外满足水环境管理要求</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水环境功能区或水功能区、近岸海域环境功能区水质达标</w:t>
            </w:r>
            <w:r>
              <w:rPr>
                <w:rFonts w:hint="default" w:ascii="Times New Roman" w:hAnsi="Times New Roman" w:eastAsia="宋体" w:cs="Times New Roman"/>
                <w:color w:val="auto"/>
                <w:kern w:val="0"/>
                <w:sz w:val="21"/>
                <w:szCs w:val="21"/>
                <w:highlight w:val="none"/>
                <w:lang w:eastAsia="en-US"/>
              </w:rPr>
              <w:sym w:font="Wingdings 2" w:char="0052"/>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满足水环境保护目标水域水环境质量要求</w:t>
            </w:r>
            <w:r>
              <w:rPr>
                <w:rFonts w:hint="default" w:ascii="Times New Roman" w:hAnsi="Times New Roman" w:eastAsia="宋体" w:cs="Times New Roman"/>
                <w:color w:val="auto"/>
                <w:kern w:val="0"/>
                <w:sz w:val="21"/>
                <w:szCs w:val="21"/>
                <w:highlight w:val="none"/>
                <w:lang w:eastAsia="en-US"/>
              </w:rPr>
              <w:sym w:font="Wingdings 2" w:char="0052"/>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水环境控制单元或断面水质达标</w:t>
            </w:r>
            <w:r>
              <w:rPr>
                <w:rFonts w:hint="default" w:ascii="Times New Roman" w:hAnsi="Times New Roman" w:eastAsia="宋体" w:cs="Times New Roman"/>
                <w:color w:val="auto"/>
                <w:kern w:val="0"/>
                <w:sz w:val="21"/>
                <w:szCs w:val="21"/>
                <w:highlight w:val="none"/>
                <w:lang w:eastAsia="en-US"/>
              </w:rPr>
              <w:sym w:font="Wingdings 2" w:char="0052"/>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满足重点水污染物排放总量控制指标要求，重点行业建设项目，主要污染物排放满足等量或减量替代要求</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满足区（流）域水环境质量改善目标要求</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水文要素影响型建设项目同时应包括水文情势变化评价、主要水文特征值影响评价、生态流量符合性评价</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对于新设或调整入河（湖库、近岸海域）排放口的建设项目，应包括排放口设置的环境合理性评价</w:t>
            </w:r>
            <w:r>
              <w:rPr>
                <w:rFonts w:hint="default" w:ascii="Times New Roman" w:hAnsi="Times New Roman" w:eastAsia="宋体" w:cs="Times New Roman"/>
                <w:color w:val="auto"/>
                <w:kern w:val="0"/>
                <w:sz w:val="21"/>
                <w:szCs w:val="21"/>
                <w:highlight w:val="none"/>
                <w:lang w:eastAsia="en-US"/>
              </w:rPr>
              <w:sym w:font="Wingdings 2" w:char="00A3"/>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满足生态保护红线、水环境质量底线、资源利用上线和环境准入清单管理要求</w:t>
            </w:r>
            <w:r>
              <w:rPr>
                <w:rFonts w:hint="default" w:ascii="Times New Roman" w:hAnsi="Times New Roman" w:eastAsia="宋体" w:cs="Times New Roman"/>
                <w:color w:val="auto"/>
                <w:kern w:val="0"/>
                <w:sz w:val="21"/>
                <w:szCs w:val="21"/>
                <w:highlight w:val="none"/>
                <w:lang w:eastAsia="en-US"/>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污染源排放量核算</w:t>
            </w:r>
          </w:p>
        </w:tc>
        <w:tc>
          <w:tcPr>
            <w:tcW w:w="2109" w:type="dxa"/>
            <w:gridSpan w:val="3"/>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污染物名称</w:t>
            </w:r>
          </w:p>
        </w:tc>
        <w:tc>
          <w:tcPr>
            <w:tcW w:w="3151" w:type="dxa"/>
            <w:gridSpan w:val="4"/>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排放量/（t/a）</w:t>
            </w:r>
          </w:p>
        </w:tc>
        <w:tc>
          <w:tcPr>
            <w:tcW w:w="2357" w:type="dxa"/>
            <w:gridSpan w:val="3"/>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COD</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0.1008</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52.9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BOD</w:t>
            </w:r>
            <w:r>
              <w:rPr>
                <w:rFonts w:hint="default" w:ascii="Times New Roman" w:hAnsi="Times New Roman" w:eastAsia="宋体" w:cs="Times New Roman"/>
                <w:color w:val="auto"/>
                <w:kern w:val="0"/>
                <w:sz w:val="21"/>
                <w:szCs w:val="21"/>
                <w:highlight w:val="none"/>
                <w:vertAlign w:val="subscript"/>
                <w:lang w:val="en-US" w:eastAsia="zh-CN"/>
              </w:rPr>
              <w:t>5</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0.0347</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SS</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0.0365</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19.16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氨氮</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0.0021</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总磷</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0.0004</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总氮</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0.0035</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1.84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石油类</w:t>
            </w:r>
          </w:p>
        </w:tc>
        <w:tc>
          <w:tcPr>
            <w:tcW w:w="3151" w:type="dxa"/>
            <w:gridSpan w:val="4"/>
            <w:tcBorders>
              <w:tl2br w:val="nil"/>
              <w:tr2bl w:val="nil"/>
            </w:tcBorders>
            <w:vAlign w:val="center"/>
          </w:tcPr>
          <w:p>
            <w:pPr>
              <w:pStyle w:val="21"/>
              <w:bidi w:val="0"/>
              <w:rPr>
                <w:rFonts w:hint="default"/>
                <w:color w:val="auto"/>
                <w:lang w:val="en-US" w:eastAsia="zh-CN"/>
              </w:rPr>
            </w:pPr>
            <w:r>
              <w:rPr>
                <w:rFonts w:hint="default"/>
                <w:color w:val="auto"/>
                <w:lang w:val="en-US" w:eastAsia="zh-CN"/>
              </w:rPr>
              <w:t>0.0121</w:t>
            </w:r>
          </w:p>
        </w:tc>
        <w:tc>
          <w:tcPr>
            <w:tcW w:w="2357" w:type="dxa"/>
            <w:gridSpan w:val="3"/>
            <w:tcBorders>
              <w:tl2br w:val="nil"/>
              <w:tr2bl w:val="nil"/>
            </w:tcBorders>
            <w:vAlign w:val="center"/>
          </w:tcPr>
          <w:p>
            <w:pPr>
              <w:pStyle w:val="21"/>
              <w:bidi w:val="0"/>
              <w:rPr>
                <w:rFonts w:hint="default"/>
                <w:color w:val="auto"/>
                <w:lang w:val="en-US" w:eastAsia="zh-CN"/>
              </w:rPr>
            </w:pPr>
            <w:r>
              <w:rPr>
                <w:rFonts w:hint="default"/>
                <w:color w:val="auto"/>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替代源排放情况</w:t>
            </w:r>
          </w:p>
        </w:tc>
        <w:tc>
          <w:tcPr>
            <w:tcW w:w="2109" w:type="dxa"/>
            <w:gridSpan w:val="3"/>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污染源名称</w:t>
            </w:r>
          </w:p>
        </w:tc>
        <w:tc>
          <w:tcPr>
            <w:tcW w:w="1735"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排污许可证编号</w:t>
            </w:r>
          </w:p>
        </w:tc>
        <w:tc>
          <w:tcPr>
            <w:tcW w:w="1416" w:type="dxa"/>
            <w:gridSpan w:val="3"/>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污染物名称</w:t>
            </w:r>
          </w:p>
        </w:tc>
        <w:tc>
          <w:tcPr>
            <w:tcW w:w="1157" w:type="dxa"/>
            <w:gridSpan w:val="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排放量/（t/a）</w:t>
            </w:r>
          </w:p>
        </w:tc>
        <w:tc>
          <w:tcPr>
            <w:tcW w:w="1200"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2109"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1735" w:type="dxa"/>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1416" w:type="dxa"/>
            <w:gridSpan w:val="3"/>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1157" w:type="dxa"/>
            <w:gridSpan w:val="2"/>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1200" w:type="dxa"/>
            <w:tcBorders>
              <w:tl2br w:val="nil"/>
              <w:tr2bl w:val="nil"/>
            </w:tcBorders>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生态流量确定</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生态流量：一般水期（）m</w:t>
            </w:r>
            <w:r>
              <w:rPr>
                <w:rFonts w:hint="default" w:ascii="Times New Roman" w:hAnsi="Times New Roman" w:eastAsia="宋体" w:cs="Times New Roman"/>
                <w:color w:val="auto"/>
                <w:kern w:val="0"/>
                <w:sz w:val="21"/>
                <w:szCs w:val="21"/>
                <w:highlight w:val="none"/>
                <w:vertAlign w:val="superscript"/>
                <w:lang w:eastAsia="en-US"/>
              </w:rPr>
              <w:t>3</w:t>
            </w:r>
            <w:r>
              <w:rPr>
                <w:rFonts w:hint="default" w:ascii="Times New Roman" w:hAnsi="Times New Roman" w:eastAsia="宋体" w:cs="Times New Roman"/>
                <w:color w:val="auto"/>
                <w:kern w:val="0"/>
                <w:sz w:val="21"/>
                <w:szCs w:val="21"/>
                <w:highlight w:val="none"/>
                <w:lang w:eastAsia="en-US"/>
              </w:rPr>
              <w:t>/s；鱼类繁殖期（）m</w:t>
            </w:r>
            <w:r>
              <w:rPr>
                <w:rFonts w:hint="default" w:ascii="Times New Roman" w:hAnsi="Times New Roman" w:eastAsia="宋体" w:cs="Times New Roman"/>
                <w:color w:val="auto"/>
                <w:kern w:val="0"/>
                <w:sz w:val="21"/>
                <w:szCs w:val="21"/>
                <w:highlight w:val="none"/>
                <w:vertAlign w:val="superscript"/>
                <w:lang w:eastAsia="en-US"/>
              </w:rPr>
              <w:t>3</w:t>
            </w:r>
            <w:r>
              <w:rPr>
                <w:rFonts w:hint="default" w:ascii="Times New Roman" w:hAnsi="Times New Roman" w:eastAsia="宋体" w:cs="Times New Roman"/>
                <w:color w:val="auto"/>
                <w:kern w:val="0"/>
                <w:sz w:val="21"/>
                <w:szCs w:val="21"/>
                <w:highlight w:val="none"/>
                <w:lang w:eastAsia="en-US"/>
              </w:rPr>
              <w:t>/s；其他（）m</w:t>
            </w:r>
            <w:r>
              <w:rPr>
                <w:rFonts w:hint="default" w:ascii="Times New Roman" w:hAnsi="Times New Roman" w:eastAsia="宋体" w:cs="Times New Roman"/>
                <w:color w:val="auto"/>
                <w:kern w:val="0"/>
                <w:sz w:val="21"/>
                <w:szCs w:val="21"/>
                <w:highlight w:val="none"/>
                <w:vertAlign w:val="superscript"/>
                <w:lang w:eastAsia="en-US"/>
              </w:rPr>
              <w:t>3</w:t>
            </w:r>
            <w:r>
              <w:rPr>
                <w:rFonts w:hint="default" w:ascii="Times New Roman" w:hAnsi="Times New Roman" w:eastAsia="宋体" w:cs="Times New Roman"/>
                <w:color w:val="auto"/>
                <w:kern w:val="0"/>
                <w:sz w:val="21"/>
                <w:szCs w:val="21"/>
                <w:highlight w:val="none"/>
                <w:lang w:eastAsia="en-US"/>
              </w:rPr>
              <w:t>/s</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生态水位：一般水期（）m；鱼类繁殖期（）m；其他（）m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防治措施</w:t>
            </w:r>
          </w:p>
        </w:tc>
        <w:tc>
          <w:tcPr>
            <w:tcW w:w="1243"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环保措施</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污水处理设施</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；水文减缓设施</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；生态流量保障设施</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；区域削减</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依托其他工程措施</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；其他</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监测计划</w:t>
            </w:r>
          </w:p>
        </w:tc>
        <w:tc>
          <w:tcPr>
            <w:tcW w:w="1154"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w:t>
            </w:r>
          </w:p>
        </w:tc>
        <w:tc>
          <w:tcPr>
            <w:tcW w:w="3424"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环境质量</w:t>
            </w:r>
          </w:p>
        </w:tc>
        <w:tc>
          <w:tcPr>
            <w:tcW w:w="3039" w:type="dxa"/>
            <w:gridSpan w:val="4"/>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154"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监测方式</w:t>
            </w:r>
          </w:p>
        </w:tc>
        <w:tc>
          <w:tcPr>
            <w:tcW w:w="3424" w:type="dxa"/>
            <w:gridSpan w:val="5"/>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手动</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；自动</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；无监测</w:t>
            </w:r>
            <w:r>
              <w:rPr>
                <w:rFonts w:hint="default" w:ascii="Times New Roman" w:hAnsi="Times New Roman" w:eastAsia="宋体" w:cs="Times New Roman"/>
                <w:color w:val="auto"/>
                <w:kern w:val="0"/>
                <w:sz w:val="21"/>
                <w:szCs w:val="21"/>
                <w:highlight w:val="none"/>
                <w:lang w:eastAsia="en-US"/>
              </w:rPr>
              <w:sym w:font="Wingdings 2" w:char="00A3"/>
            </w:r>
          </w:p>
        </w:tc>
        <w:tc>
          <w:tcPr>
            <w:tcW w:w="3039" w:type="dxa"/>
            <w:gridSpan w:val="4"/>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手动</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；自动</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；无监测</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154"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监测点位</w:t>
            </w:r>
          </w:p>
        </w:tc>
        <w:tc>
          <w:tcPr>
            <w:tcW w:w="3424" w:type="dxa"/>
            <w:gridSpan w:val="5"/>
            <w:tcBorders>
              <w:tl2br w:val="nil"/>
              <w:tr2bl w:val="nil"/>
            </w:tcBorders>
            <w:vAlign w:val="center"/>
          </w:tcPr>
          <w:p>
            <w:pPr>
              <w:pStyle w:val="21"/>
              <w:bidi w:val="0"/>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w:t>
            </w:r>
          </w:p>
        </w:tc>
        <w:tc>
          <w:tcPr>
            <w:tcW w:w="3039" w:type="dxa"/>
            <w:gridSpan w:val="4"/>
            <w:tcBorders>
              <w:tl2br w:val="nil"/>
              <w:tr2bl w:val="nil"/>
            </w:tcBorders>
            <w:vAlign w:val="center"/>
          </w:tcPr>
          <w:p>
            <w:pPr>
              <w:pStyle w:val="21"/>
              <w:bidi w:val="0"/>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生产</w:t>
            </w:r>
            <w:r>
              <w:rPr>
                <w:rFonts w:hint="default" w:ascii="Times New Roman" w:hAnsi="Times New Roman" w:cs="Times New Roman"/>
                <w:color w:val="auto"/>
                <w:highlight w:val="none"/>
                <w:lang w:val="zh-CN"/>
              </w:rPr>
              <w:t>废水</w:t>
            </w:r>
            <w:r>
              <w:rPr>
                <w:rFonts w:hint="default" w:ascii="Times New Roman" w:hAnsi="Times New Roman" w:cs="Times New Roman"/>
                <w:color w:val="auto"/>
                <w:highlight w:val="none"/>
                <w:lang w:val="en-US" w:eastAsia="zh-CN"/>
              </w:rPr>
              <w:t>排放口</w:t>
            </w:r>
            <w:r>
              <w:rPr>
                <w:rFonts w:hint="default" w:ascii="Times New Roman" w:hAnsi="Times New Roman" w:cs="Times New Roman"/>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24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1154" w:type="dxa"/>
            <w:tcBorders>
              <w:tl2br w:val="nil"/>
              <w:tr2bl w:val="nil"/>
            </w:tcBorders>
            <w:vAlign w:val="center"/>
          </w:tcPr>
          <w:p>
            <w:pPr>
              <w:pStyle w:val="21"/>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监测因子</w:t>
            </w:r>
          </w:p>
        </w:tc>
        <w:tc>
          <w:tcPr>
            <w:tcW w:w="3424" w:type="dxa"/>
            <w:gridSpan w:val="5"/>
            <w:tcBorders>
              <w:tl2br w:val="nil"/>
              <w:tr2bl w:val="nil"/>
            </w:tcBorders>
            <w:vAlign w:val="center"/>
          </w:tcPr>
          <w:p>
            <w:pPr>
              <w:pStyle w:val="21"/>
              <w:bidi w:val="0"/>
              <w:spacing w:line="240" w:lineRule="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w:t>
            </w:r>
          </w:p>
        </w:tc>
        <w:tc>
          <w:tcPr>
            <w:tcW w:w="3039" w:type="dxa"/>
            <w:gridSpan w:val="4"/>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自动：流量、</w:t>
            </w:r>
            <w:r>
              <w:rPr>
                <w:rFonts w:hint="default" w:ascii="Times New Roman" w:hAnsi="Times New Roman" w:eastAsia="宋体" w:cs="Times New Roman"/>
                <w:color w:val="auto"/>
                <w:kern w:val="0"/>
                <w:sz w:val="21"/>
                <w:szCs w:val="21"/>
                <w:highlight w:val="none"/>
                <w:lang w:val="en-US" w:eastAsia="zh-CN"/>
              </w:rPr>
              <w:t>COD</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氨氮</w:t>
            </w:r>
            <w:r>
              <w:rPr>
                <w:rFonts w:hint="eastAsia" w:cs="Times New Roman"/>
                <w:color w:val="auto"/>
                <w:kern w:val="0"/>
                <w:sz w:val="21"/>
                <w:szCs w:val="21"/>
                <w:highlight w:val="none"/>
                <w:lang w:val="en-US" w:eastAsia="zh-CN"/>
              </w:rPr>
              <w:t>；</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手动：</w:t>
            </w:r>
            <w:r>
              <w:rPr>
                <w:rFonts w:hint="default" w:ascii="Times New Roman" w:hAnsi="Times New Roman" w:eastAsia="宋体" w:cs="Times New Roman"/>
                <w:color w:val="auto"/>
                <w:kern w:val="0"/>
                <w:sz w:val="21"/>
                <w:szCs w:val="21"/>
                <w:highlight w:val="none"/>
                <w:lang w:val="en-US" w:eastAsia="zh-CN"/>
              </w:rPr>
              <w:t>pH、BOD</w:t>
            </w:r>
            <w:r>
              <w:rPr>
                <w:rFonts w:hint="default" w:ascii="Times New Roman" w:hAnsi="Times New Roman" w:eastAsia="宋体" w:cs="Times New Roman"/>
                <w:color w:val="auto"/>
                <w:kern w:val="0"/>
                <w:sz w:val="21"/>
                <w:szCs w:val="21"/>
                <w:highlight w:val="none"/>
                <w:vertAlign w:val="subscript"/>
                <w:lang w:val="en-US" w:eastAsia="zh-CN"/>
              </w:rPr>
              <w:t>5</w:t>
            </w:r>
            <w:r>
              <w:rPr>
                <w:rFonts w:hint="default" w:ascii="Times New Roman" w:hAnsi="Times New Roman" w:eastAsia="宋体" w:cs="Times New Roman"/>
                <w:color w:val="auto"/>
                <w:kern w:val="0"/>
                <w:sz w:val="21"/>
                <w:szCs w:val="21"/>
                <w:highlight w:val="none"/>
                <w:lang w:val="en-US" w:eastAsia="zh-CN"/>
              </w:rPr>
              <w:t>、SS、总磷、石油类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8"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21"/>
                <w:szCs w:val="21"/>
                <w:highlight w:val="none"/>
                <w:lang w:eastAsia="en-US"/>
              </w:rPr>
            </w:pPr>
          </w:p>
        </w:tc>
        <w:tc>
          <w:tcPr>
            <w:tcW w:w="8860" w:type="dxa"/>
            <w:gridSpan w:val="11"/>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污染物排放清单</w:t>
            </w:r>
            <w:r>
              <w:rPr>
                <w:rFonts w:hint="eastAsia"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lang w:eastAsia="en-US"/>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71" w:type="dxa"/>
            <w:gridSpan w:val="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评价结论</w:t>
            </w:r>
          </w:p>
        </w:tc>
        <w:tc>
          <w:tcPr>
            <w:tcW w:w="7617" w:type="dxa"/>
            <w:gridSpan w:val="10"/>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可以接受</w:t>
            </w:r>
            <w:r>
              <w:rPr>
                <w:rFonts w:hint="default" w:ascii="Times New Roman" w:hAnsi="Times New Roman" w:eastAsia="宋体" w:cs="Times New Roman"/>
                <w:color w:val="auto"/>
                <w:kern w:val="0"/>
                <w:sz w:val="21"/>
                <w:szCs w:val="21"/>
                <w:highlight w:val="none"/>
                <w:lang w:eastAsia="en-US"/>
              </w:rPr>
              <w:sym w:font="Wingdings 2" w:char="0052"/>
            </w:r>
            <w:r>
              <w:rPr>
                <w:rFonts w:hint="default" w:ascii="Times New Roman" w:hAnsi="Times New Roman" w:eastAsia="宋体" w:cs="Times New Roman"/>
                <w:color w:val="auto"/>
                <w:kern w:val="0"/>
                <w:sz w:val="21"/>
                <w:szCs w:val="21"/>
                <w:highlight w:val="none"/>
                <w:lang w:eastAsia="en-US"/>
              </w:rPr>
              <w:t>；不可以接受</w:t>
            </w:r>
            <w:r>
              <w:rPr>
                <w:rFonts w:hint="default" w:ascii="Times New Roman" w:hAnsi="Times New Roman" w:eastAsia="宋体" w:cs="Times New Roman"/>
                <w:color w:val="auto"/>
                <w:kern w:val="0"/>
                <w:sz w:val="21"/>
                <w:szCs w:val="21"/>
                <w:highlight w:val="none"/>
                <w:lang w:eastAsia="en-US"/>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88" w:type="dxa"/>
            <w:gridSpan w:val="12"/>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注：“</w:t>
            </w:r>
            <w:r>
              <w:rPr>
                <w:rFonts w:hint="default" w:ascii="Times New Roman" w:hAnsi="Times New Roman" w:eastAsia="宋体" w:cs="Times New Roman"/>
                <w:color w:val="auto"/>
                <w:kern w:val="0"/>
                <w:sz w:val="21"/>
                <w:szCs w:val="21"/>
                <w:highlight w:val="none"/>
                <w:lang w:eastAsia="en-US"/>
              </w:rPr>
              <w:sym w:font="Wingdings 2" w:char="00A3"/>
            </w:r>
            <w:r>
              <w:rPr>
                <w:rFonts w:hint="default" w:ascii="Times New Roman" w:hAnsi="Times New Roman" w:eastAsia="宋体" w:cs="Times New Roman"/>
                <w:color w:val="auto"/>
                <w:kern w:val="0"/>
                <w:sz w:val="21"/>
                <w:szCs w:val="21"/>
                <w:highlight w:val="none"/>
                <w:lang w:eastAsia="en-US"/>
              </w:rPr>
              <w:t>”为勾选项，可√；“（）”为内容填写项；“备注”为其他补充内容。</w:t>
            </w:r>
          </w:p>
        </w:tc>
      </w:tr>
    </w:tbl>
    <w:p>
      <w:pPr>
        <w:pStyle w:val="3"/>
        <w:numPr>
          <w:ilvl w:val="1"/>
          <w:numId w:val="3"/>
        </w:numPr>
        <w:bidi w:val="0"/>
        <w:rPr>
          <w:rFonts w:hint="default" w:ascii="Times New Roman" w:hAnsi="Times New Roman" w:cs="Times New Roman"/>
          <w:color w:val="auto"/>
          <w:highlight w:val="none"/>
          <w:lang w:val="en-US" w:eastAsia="zh-CN"/>
        </w:rPr>
      </w:pPr>
      <w:bookmarkStart w:id="571" w:name="_Toc25861"/>
      <w:bookmarkStart w:id="572" w:name="_Toc32246"/>
      <w:bookmarkStart w:id="573" w:name="_Toc29698"/>
      <w:bookmarkStart w:id="574" w:name="_Toc9952"/>
      <w:r>
        <w:rPr>
          <w:rFonts w:hint="default" w:ascii="Times New Roman" w:hAnsi="Times New Roman" w:cs="Times New Roman"/>
          <w:color w:val="auto"/>
          <w:highlight w:val="none"/>
          <w:lang w:val="en-US" w:eastAsia="zh-CN"/>
        </w:rPr>
        <w:t>运营期地下水环境影响预测与评价</w:t>
      </w:r>
      <w:bookmarkEnd w:id="571"/>
      <w:bookmarkEnd w:id="572"/>
      <w:bookmarkEnd w:id="573"/>
      <w:bookmarkEnd w:id="574"/>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水文地质条件调查</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地形地貌及地质构造</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牙城镇背山面海，属沿海丘陵山地地貌，以丘陵为主。镇域内大部分微型平原属于山前平原，为山洪冲击而成。镇区内平原面积广阔，大部分建设在滩涂上，属于滨海平原，是因有周期性的海潮入侵，形成海积层和九都溪河流冲积层的相互交错而形成的滨海平原。</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本项目位于牙城镇工业园规划范围内。霞浦县牙城镇工业园规划范围西至沈海高速公路，东至斗门村，北到东澳水库，南临牙城湾，呈南北布局。区域内最高海拔360 m、最低海拔0 m，规划园区最高海拔6 m，地形高差在北向南递减，园区位于一个单独的水文地质单元中下游，上游为水库和山地。</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区域地质材料，区域地质构造属闽粤东南沿海新华夏构造体系，岩性为燕山晚期花岗岩。主要构造形迹以北东向高角度断裂为主，比如长乐～南澳大断裂通过该区，北西向的永安晋江断裂带。这些构造形迹主要表现为沿构造产生强烈的岩石变质作用和混合岩化现象带内岩石挤压破碎，并且呈带状出现超基性岩脉侵入。但由于沿线表层分布较厚的第四系地层，未见明显的构造痕迹。</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地层岩性</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福建西海岸建筑设计院2012年11月编制的《霞浦县牙城镇污水处理厂及配套管网工程岩土工程勘察报告》，规划园区场地自上而下依次为：杂填土、粉质粘土、淤泥质土、残积粘性土、全风化花岗岩、散体状强风化花岗岩，各岩土层岩性特征分述如下：</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①杂填土：灰黄色，稍湿，松散，成分以粘性土为主，布局地段变相为填碎、块石，层厚度为0.5~4.3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②粉质粘土：灰褐色，湿，可塑，手搓有砂感，局部为少量碎石，干强度高，层厚及埋深 0.5~4.3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③淤泥质土：深灰色，饱和，流塑，含少量有机质和腐殖质，局部夹薄层细砂。层厚0.8~3.7</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m，顶层埋深1.8~3.70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④残积粘性土：黄灰色，湿，可塑，主要成分为长石风化而形成的粘土及含量25%的石英砂颗粒组成。</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⑤全风化花岗岩：黄褐色、灰褐色、中粗粒结构，散体状构造，主要由长石风化而成的粘性土及石英颗粒组成，岩心呈散体状，岩体完整程度极破碎，结合很差。厚度5.6</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⑥散体状强风化花岗岩： 灰黄色，肉红色，灰褐色，组织结构大部分破坏，成分为石英、长石等矿物，矿物成分显著变化，风化裂隙发育，岩心呈沙土状，岩体结构为散体状，岩体极破碎。厚度3.8~7.6</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w:t>
      </w:r>
    </w:p>
    <w:p>
      <w:pPr>
        <w:pStyle w:val="5"/>
        <w:numPr>
          <w:ilvl w:val="3"/>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水文地质概况</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根据《霞浦县牙城镇污水处理厂及配套管网工程岩土工程勘察报告》，各钻孔初建水位埋深为 0.55~5.05</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m，稳定水位埋深0.4~4.1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m。场地内地下水主要为赋存于第四系覆盖层杂填土层中的上层滞水，细砂及层中孔隙水、残积粘性土、全风化-强风化花岗岩裂隙水及孔隙水，有一定水利联系，可视为同一含水层，地下水类型主要为潜水，其补给来源主要为大气降水、地表水补给和上下含水层的垂向渗透补给及相邻含水层侧向径流补给。</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周边水文地质图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_Ref9542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图5.4-1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，孔隙水单孔用水量小于100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t/d，多为咸水或微咸水，民井用水量小于1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L/s，矿化度小于0.05</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g/L，属HCO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Cl-Na水。</w:t>
      </w:r>
    </w:p>
    <w:p>
      <w:pPr>
        <w:pStyle w:val="5"/>
        <w:numPr>
          <w:ilvl w:val="3"/>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区域地下水利用情况</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牙城镇工业园</w:t>
      </w:r>
      <w:r>
        <w:rPr>
          <w:rFonts w:hint="default" w:ascii="Times New Roman" w:hAnsi="Times New Roman" w:cs="Times New Roman"/>
          <w:color w:val="auto"/>
          <w:highlight w:val="none"/>
        </w:rPr>
        <w:t>生活用水由牙城镇统一供水管网系统供水，远期主要由乌岐山水厂供水，工业用水水源引自东澳水厂，本工程不涉及开采地下水。</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本工程区域地下水仅零星开采，开采量小且分散，居民生活、工业生产、农业灌溉用水全部取自地表水，本工程周边的牙城镇镇区和村庄居民，饮用水主要是依靠市政自来水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井水主要用于日常冲洗。</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周边居民零星浅井取水，井深一般小于5 m，单井开采量多小于1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/d，开采量小且分散，区域内无地下水集中开采水源地。</w:t>
      </w:r>
    </w:p>
    <w:p>
      <w:pPr>
        <w:bidi w:val="0"/>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bidi w:val="0"/>
        <w:ind w:left="0" w:leftChars="0" w:firstLine="0" w:firstLineChars="0"/>
        <w:jc w:val="center"/>
        <w:rPr>
          <w:rFonts w:hint="default" w:ascii="Times New Roman" w:hAnsi="Times New Roman" w:eastAsia="宋体" w:cs="Times New Roman"/>
          <w:color w:val="auto"/>
          <w:sz w:val="24"/>
          <w:highlight w:val="none"/>
          <w:lang w:eastAsia="zh-CN"/>
        </w:rPr>
      </w:pPr>
    </w:p>
    <w:p>
      <w:pPr>
        <w:pStyle w:val="22"/>
        <w:numPr>
          <w:ilvl w:val="7"/>
          <w:numId w:val="3"/>
        </w:numPr>
        <w:bidi w:val="0"/>
        <w:rPr>
          <w:rFonts w:hint="default" w:ascii="Times New Roman" w:hAnsi="Times New Roman" w:cs="Times New Roman"/>
          <w:color w:val="auto"/>
          <w:sz w:val="24"/>
          <w:highlight w:val="none"/>
        </w:rPr>
      </w:pPr>
      <w:bookmarkStart w:id="575" w:name="_Ref9542"/>
      <w:r>
        <w:rPr>
          <w:rFonts w:hint="default" w:ascii="Times New Roman" w:hAnsi="Times New Roman" w:cs="Times New Roman"/>
          <w:color w:val="auto"/>
          <w:highlight w:val="none"/>
          <w:lang w:val="en-US" w:eastAsia="zh-CN"/>
        </w:rPr>
        <w:t>项目区域水文地质图</w:t>
      </w:r>
      <w:bookmarkEnd w:id="575"/>
    </w:p>
    <w:p>
      <w:pPr>
        <w:rPr>
          <w:rFonts w:hint="default" w:ascii="Times New Roman" w:hAnsi="Times New Roman" w:cs="Times New Roman"/>
          <w:color w:val="auto"/>
          <w:highlight w:val="none"/>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地下水环境影响预测与评价</w:t>
      </w:r>
    </w:p>
    <w:p>
      <w:pPr>
        <w:pStyle w:val="5"/>
        <w:numPr>
          <w:ilvl w:val="3"/>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评价工作等级及预测范围的确定</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（1）评价工作等级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 地下水环境》（HJ610-2016）附录A，</w:t>
      </w:r>
      <w:r>
        <w:rPr>
          <w:rFonts w:hint="default" w:ascii="Times New Roman" w:hAnsi="Times New Roman" w:eastAsia="宋体" w:cs="Times New Roman"/>
          <w:color w:val="auto"/>
          <w:highlight w:val="none"/>
          <w:lang w:val="en-US" w:eastAsia="zh-CN"/>
        </w:rPr>
        <w:t>本项目地下水环境影响评价项目类别为</w:t>
      </w:r>
      <w:r>
        <w:rPr>
          <w:rFonts w:hint="default" w:ascii="Times New Roman" w:hAnsi="Times New Roman" w:eastAsia="宋体" w:cs="Times New Roman"/>
          <w:color w:val="auto"/>
          <w:highlight w:val="none"/>
        </w:rPr>
        <w:t>Ⅱ类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地下水敏感程度属于不敏感</w:t>
      </w:r>
      <w:r>
        <w:rPr>
          <w:rFonts w:hint="default" w:ascii="Times New Roman" w:hAnsi="Times New Roman" w:cs="Times New Roman"/>
          <w:color w:val="auto"/>
          <w:highlight w:val="none"/>
          <w:lang w:val="en-US" w:eastAsia="zh-CN"/>
        </w:rPr>
        <w:t>。因此，确定，本项目地下水评价工作等级为三级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（2）评价范围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本项目评价范围为扩建工程所处场地的水文地质小单元。根据《环境影响评价技术导则 地下水环境》（HJ610-2016），地下水三级评价调查范围≤6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，环境影响评价范围与现状调查范围一致，为项目在内同一水文地质单元。</w:t>
      </w:r>
    </w:p>
    <w:p>
      <w:pPr>
        <w:pStyle w:val="5"/>
        <w:numPr>
          <w:ilvl w:val="3"/>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正常状况下对地下水的影响</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厂区在正常情况下，生产车间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纺丝油剂仓库、污水处理站、事故池、危险废物贮存间等</w:t>
      </w:r>
      <w:r>
        <w:rPr>
          <w:rFonts w:hint="default" w:ascii="Times New Roman" w:hAnsi="Times New Roman" w:eastAsia="宋体" w:cs="Times New Roman"/>
          <w:color w:val="auto"/>
          <w:highlight w:val="none"/>
          <w:u w:val="none"/>
        </w:rPr>
        <w:t>区域切实做好防渗、防溢流等措施</w:t>
      </w:r>
      <w:r>
        <w:rPr>
          <w:rFonts w:hint="default" w:ascii="Times New Roman" w:hAnsi="Times New Roman" w:cs="Times New Roman"/>
          <w:color w:val="auto"/>
          <w:highlight w:val="none"/>
          <w:u w:val="none"/>
          <w:lang w:eastAsia="zh-CN"/>
        </w:rPr>
        <w:t>，</w:t>
      </w:r>
      <w:r>
        <w:rPr>
          <w:rFonts w:hint="default" w:ascii="Times New Roman" w:hAnsi="Times New Roman" w:eastAsia="宋体" w:cs="Times New Roman"/>
          <w:color w:val="auto"/>
          <w:highlight w:val="none"/>
          <w:u w:val="none"/>
        </w:rPr>
        <w:t>在防渗措施能够满足要求的情况下，项目生产运营过程中</w:t>
      </w:r>
      <w:r>
        <w:rPr>
          <w:rFonts w:hint="default" w:ascii="Times New Roman" w:hAnsi="Times New Roman" w:cs="Times New Roman"/>
          <w:color w:val="auto"/>
          <w:highlight w:val="none"/>
          <w:u w:val="none"/>
          <w:lang w:val="en-US" w:eastAsia="zh-CN"/>
        </w:rPr>
        <w:t>的废水</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油剂</w:t>
      </w:r>
      <w:r>
        <w:rPr>
          <w:rFonts w:hint="default" w:ascii="Times New Roman" w:hAnsi="Times New Roman" w:eastAsia="宋体" w:cs="Times New Roman"/>
          <w:color w:val="auto"/>
          <w:highlight w:val="none"/>
          <w:u w:val="none"/>
        </w:rPr>
        <w:t>不会渗漏进入</w:t>
      </w:r>
      <w:r>
        <w:rPr>
          <w:rFonts w:hint="default" w:ascii="Times New Roman" w:hAnsi="Times New Roman" w:eastAsia="宋体" w:cs="Times New Roman"/>
          <w:color w:val="auto"/>
          <w:highlight w:val="none"/>
          <w:u w:val="none"/>
          <w:lang w:val="en-US" w:eastAsia="zh-CN"/>
        </w:rPr>
        <w:t>地</w:t>
      </w:r>
      <w:r>
        <w:rPr>
          <w:rFonts w:hint="default" w:ascii="Times New Roman" w:hAnsi="Times New Roman" w:eastAsia="宋体" w:cs="Times New Roman"/>
          <w:color w:val="auto"/>
          <w:highlight w:val="none"/>
          <w:u w:val="none"/>
        </w:rPr>
        <w:t>下水，不会对地下水造成污染。根据《环境影响评价技术导则</w:t>
      </w:r>
      <w:r>
        <w:rPr>
          <w:rFonts w:hint="default" w:ascii="Times New Roman" w:hAnsi="Times New Roman" w:cs="Times New Roman"/>
          <w:color w:val="auto"/>
          <w:highlight w:val="none"/>
          <w:u w:val="none"/>
          <w:lang w:val="en-US" w:eastAsia="zh-CN"/>
        </w:rPr>
        <w:t xml:space="preserve"> </w:t>
      </w:r>
      <w:r>
        <w:rPr>
          <w:rFonts w:hint="default" w:ascii="Times New Roman" w:hAnsi="Times New Roman" w:cs="Times New Roman"/>
          <w:color w:val="auto"/>
          <w:highlight w:val="none"/>
          <w:lang w:val="en-US" w:eastAsia="zh-CN"/>
        </w:rPr>
        <w:t>地下水环境</w:t>
      </w:r>
      <w:r>
        <w:rPr>
          <w:rFonts w:hint="default" w:ascii="Times New Roman" w:hAnsi="Times New Roman" w:eastAsia="宋体" w:cs="Times New Roman"/>
          <w:color w:val="auto"/>
          <w:highlight w:val="none"/>
          <w:u w:val="none"/>
        </w:rPr>
        <w:t>》（HJ 610-2016），按标准设计地下水</w:t>
      </w:r>
      <w:r>
        <w:rPr>
          <w:rFonts w:hint="default" w:ascii="Times New Roman" w:hAnsi="Times New Roman" w:eastAsia="宋体" w:cs="Times New Roman"/>
          <w:color w:val="auto"/>
          <w:highlight w:val="none"/>
          <w:u w:val="none"/>
          <w:lang w:val="en-US" w:eastAsia="zh-CN"/>
        </w:rPr>
        <w:t>污染</w:t>
      </w:r>
      <w:r>
        <w:rPr>
          <w:rFonts w:hint="default" w:ascii="Times New Roman" w:hAnsi="Times New Roman" w:eastAsia="宋体" w:cs="Times New Roman"/>
          <w:color w:val="auto"/>
          <w:highlight w:val="none"/>
          <w:u w:val="none"/>
        </w:rPr>
        <w:t>防渗措施的建设项目，可不进行正常状况情景</w:t>
      </w:r>
      <w:r>
        <w:rPr>
          <w:rFonts w:hint="eastAsia" w:cs="Times New Roman"/>
          <w:color w:val="auto"/>
          <w:highlight w:val="none"/>
          <w:u w:val="none"/>
          <w:lang w:val="en-US" w:eastAsia="zh-CN"/>
        </w:rPr>
        <w:t>下</w:t>
      </w:r>
      <w:r>
        <w:rPr>
          <w:rFonts w:hint="default" w:ascii="Times New Roman" w:hAnsi="Times New Roman" w:eastAsia="宋体" w:cs="Times New Roman"/>
          <w:color w:val="auto"/>
          <w:highlight w:val="none"/>
          <w:u w:val="none"/>
        </w:rPr>
        <w:t>的预测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因此，本次评价不再进行正常状况情境下的预测。</w:t>
      </w:r>
    </w:p>
    <w:p>
      <w:pPr>
        <w:pStyle w:val="5"/>
        <w:numPr>
          <w:ilvl w:val="3"/>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非正常状况下对地下水的影响</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纺丝油剂仓库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纺丝油剂仓库按要求采取防渗措施，并设置围堰，且纺丝油剂采用桶装形式，厂内最大贮存量不超过10 t，不会长时间贮存，一般情况下不会出现非正常状况。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（2）危险废物贮存间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危险废物贮存间按要求采取防渗措施，并设有围堰，且危险废物产生后，定期委托有资质的单位处理，不在厂内长时间存放，一般不会出现非正常状况。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（3）事故池</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事故应急池平常处于长空状态，仅有在发生火灾或污水处理设施发生故障的情况，才会有事故废水进入，且按要求采取防渗措施，一般情况下不会出现事故废水泄漏情况。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（4）污水处理站</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污水处理站调节池在出现老化或者腐蚀，会导致废水发生泄漏，污染物直接进入地下水中，污染地下水，污染因子主要为COD、SS、氨氮、石油类等。泄漏点一般较小，其排放规律一般为连续恒定排放。</w:t>
      </w:r>
    </w:p>
    <w:p>
      <w:pPr>
        <w:pStyle w:val="4"/>
        <w:numPr>
          <w:ilvl w:val="2"/>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地下水环境影响预测</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预测时段</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本项目非正常状况下的预测时段为污染发生后100 d、1000 d两个时间节点分别进行预测。</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预测情景</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根据地下水环境影响识别结果，项目正常状况下不会出现废水</w:t>
      </w:r>
      <w:r>
        <w:rPr>
          <w:rFonts w:hint="default" w:ascii="Times New Roman" w:hAnsi="Times New Roman" w:cs="Times New Roman"/>
          <w:color w:val="auto"/>
          <w:highlight w:val="none"/>
          <w:lang w:val="en-US" w:eastAsia="zh-CN"/>
        </w:rPr>
        <w:t>或油剂</w:t>
      </w:r>
      <w:r>
        <w:rPr>
          <w:rFonts w:hint="default" w:ascii="Times New Roman" w:hAnsi="Times New Roman" w:cs="Times New Roman"/>
          <w:color w:val="auto"/>
          <w:highlight w:val="none"/>
        </w:rPr>
        <w:t>渗漏污染地下水的情况发生。根据《环境影响评价技术导则 地下水环境》（HJ 610-2016）的要求，可不进行正常状况情景下的预测，只对非正常状况情景进行预测。</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本项目污水站调节池的底部进行了防渗处理，若底部防渗体破裂将造成污染物的扩散。本次评价设定的预测情景为：污水站调节池底部有一贯通性裂隙，生产废水渗漏进入并污染地下水。</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（3）预测因子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生产废水主要污染因子为COD、SS、氨氮、石油类等，本次评价选取COD作为预测因子。选取原则为：COD在生产废水的污染因子中浓度最高且在《地下水质量标准》（GB/T14848-2017）中均有关于此类污染物的限值要求，石油类虽为本项目的特征因子，但《地下水质量标准》（GB/T14848-2017）中没有关于此类污染物的限值要求，</w:t>
      </w:r>
      <w:r>
        <w:rPr>
          <w:rFonts w:hint="eastAsia" w:cs="Times New Roman"/>
          <w:color w:val="auto"/>
          <w:highlight w:val="none"/>
          <w:lang w:val="en-US" w:eastAsia="zh-CN"/>
        </w:rPr>
        <w:t>因此，</w:t>
      </w:r>
      <w:r>
        <w:rPr>
          <w:rFonts w:hint="default" w:ascii="Times New Roman" w:hAnsi="Times New Roman" w:cs="Times New Roman"/>
          <w:color w:val="auto"/>
          <w:highlight w:val="none"/>
          <w:lang w:val="en-US" w:eastAsia="zh-CN"/>
        </w:rPr>
        <w:t>本次评价不作为预测因子。</w:t>
      </w:r>
      <w:r>
        <w:rPr>
          <w:rFonts w:hint="default" w:ascii="Times New Roman" w:hAnsi="Times New Roman" w:cs="Times New Roman"/>
          <w:color w:val="auto"/>
          <w:highlight w:val="none"/>
          <w:lang w:val="en-US" w:eastAsia="zh-CN"/>
        </w:rPr>
        <w:t>根据工程分析，生产废水COD最大浓度约为</w:t>
      </w:r>
      <w:r>
        <w:rPr>
          <w:rFonts w:hint="eastAsia" w:cs="Times New Roman"/>
          <w:color w:val="auto"/>
          <w:highlight w:val="none"/>
          <w:lang w:val="en-US" w:eastAsia="zh-CN"/>
        </w:rPr>
        <w:t>2644.98</w:t>
      </w:r>
      <w:r>
        <w:rPr>
          <w:rFonts w:hint="default" w:ascii="Times New Roman" w:hAnsi="Times New Roman" w:cs="Times New Roman"/>
          <w:color w:val="auto"/>
          <w:highlight w:val="none"/>
          <w:lang w:val="en-US" w:eastAsia="zh-CN"/>
        </w:rPr>
        <w:t xml:space="preserve"> mg/L。</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（4）预测源强 </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①泄漏地点：考虑最不利情景，即</w:t>
      </w:r>
      <w:r>
        <w:rPr>
          <w:rFonts w:hint="default" w:ascii="Times New Roman" w:hAnsi="Times New Roman" w:eastAsia="宋体" w:cs="Times New Roman"/>
          <w:b w:val="0"/>
          <w:bCs w:val="0"/>
          <w:color w:val="auto"/>
          <w:highlight w:val="none"/>
          <w:u w:val="none"/>
        </w:rPr>
        <w:t>污水处理站调节池底部</w:t>
      </w:r>
      <w:r>
        <w:rPr>
          <w:rFonts w:hint="default" w:ascii="Times New Roman" w:hAnsi="Times New Roman" w:eastAsia="宋体" w:cs="Times New Roman"/>
          <w:b w:val="0"/>
          <w:bCs w:val="0"/>
          <w:color w:val="auto"/>
          <w:highlight w:val="none"/>
          <w:u w:val="none"/>
          <w:lang w:val="en-US" w:eastAsia="zh-CN"/>
        </w:rPr>
        <w:t>破损</w:t>
      </w:r>
      <w:r>
        <w:rPr>
          <w:rFonts w:hint="default" w:ascii="Times New Roman" w:hAnsi="Times New Roman" w:eastAsia="宋体" w:cs="Times New Roman"/>
          <w:color w:val="auto"/>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②泄漏面积：假设调节池池底破裂面积为0.5 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③泄漏时间：30 d。</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④污染源类型：假设废水泄漏持续时间为30 d，修复后泄漏停止，污染源类型为短时泄漏源强。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⑤泄漏量：Q=渗漏面积×渗漏强度（渗漏强度取</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0 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·d，根据《给水排水构筑物工程施工及验收规范》（GB50141-2008）中5.1.3条规定，钢筋混凝土水池渗水量不得超过2 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·d，在非正常状况下，假定其泄漏量为正常状况下的1</w:t>
      </w:r>
      <w:r>
        <w:rPr>
          <w:rFonts w:hint="eastAsia" w:cs="Times New Roman"/>
          <w:color w:val="auto"/>
          <w:highlight w:val="none"/>
          <w:lang w:val="en-US" w:eastAsia="zh-CN"/>
        </w:rPr>
        <w:t>0</w:t>
      </w:r>
      <w:r>
        <w:rPr>
          <w:rFonts w:hint="default" w:ascii="Times New Roman" w:hAnsi="Times New Roman" w:cs="Times New Roman"/>
          <w:color w:val="auto"/>
          <w:highlight w:val="none"/>
          <w:lang w:val="en-US" w:eastAsia="zh-CN"/>
        </w:rPr>
        <w:t>倍，即</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0 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·d）。</w:t>
      </w:r>
    </w:p>
    <w:p>
      <w:pPr>
        <w:rPr>
          <w:rFonts w:hint="default" w:ascii="Times New Roman" w:hAnsi="Times New Roman" w:cs="Times New Roman"/>
          <w:color w:val="auto"/>
          <w:highlight w:val="none"/>
          <w:lang w:val="en-US"/>
        </w:rPr>
      </w:pPr>
    </w:p>
    <w:p>
      <w:pPr>
        <w:pStyle w:val="24"/>
        <w:numPr>
          <w:ilvl w:val="6"/>
          <w:numId w:val="5"/>
        </w:numPr>
        <w:tabs>
          <w:tab w:val="left" w:pos="420"/>
        </w:tabs>
        <w:bidi w:val="0"/>
        <w:rPr>
          <w:rFonts w:hint="default" w:ascii="Times New Roman" w:hAnsi="Times New Roman" w:cs="Times New Roman"/>
          <w:color w:val="auto"/>
          <w:highlight w:val="none"/>
        </w:rPr>
      </w:pPr>
      <w:bookmarkStart w:id="576" w:name="_Ref15913"/>
      <w:r>
        <w:rPr>
          <w:rFonts w:hint="default" w:ascii="Times New Roman" w:hAnsi="Times New Roman" w:cs="Times New Roman"/>
          <w:color w:val="auto"/>
          <w:highlight w:val="none"/>
          <w:lang w:val="en-US" w:eastAsia="zh-CN"/>
        </w:rPr>
        <w:t>本项目地下水预测源强</w:t>
      </w:r>
      <w:bookmarkEnd w:id="576"/>
    </w:p>
    <w:tbl>
      <w:tblPr>
        <w:tblStyle w:val="17"/>
        <w:tblW w:w="92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7"/>
        <w:gridCol w:w="1569"/>
        <w:gridCol w:w="1100"/>
        <w:gridCol w:w="1031"/>
        <w:gridCol w:w="1162"/>
        <w:gridCol w:w="1303"/>
        <w:gridCol w:w="1121"/>
        <w:gridCol w:w="10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7"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工况</w:t>
            </w:r>
          </w:p>
        </w:tc>
        <w:tc>
          <w:tcPr>
            <w:tcW w:w="1569"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预测情景</w:t>
            </w:r>
          </w:p>
        </w:tc>
        <w:tc>
          <w:tcPr>
            <w:tcW w:w="1100"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渗漏面积（m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1031"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渗漏量（m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1162"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特征污染物</w:t>
            </w:r>
          </w:p>
        </w:tc>
        <w:tc>
          <w:tcPr>
            <w:tcW w:w="1303"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污染物浓度（mg/L）</w:t>
            </w:r>
          </w:p>
        </w:tc>
        <w:tc>
          <w:tcPr>
            <w:tcW w:w="1121"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渗漏量（g）</w:t>
            </w:r>
          </w:p>
        </w:tc>
        <w:tc>
          <w:tcPr>
            <w:tcW w:w="1065"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一次渗漏时间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7"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非正常状况</w:t>
            </w:r>
          </w:p>
        </w:tc>
        <w:tc>
          <w:tcPr>
            <w:tcW w:w="1569"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污水处理站调节池底部破损</w:t>
            </w:r>
          </w:p>
        </w:tc>
        <w:tc>
          <w:tcPr>
            <w:tcW w:w="1100"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1031"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w:t>
            </w:r>
            <w:r>
              <w:rPr>
                <w:rFonts w:hint="eastAsia" w:cs="Times New Roman"/>
                <w:color w:val="auto"/>
                <w:sz w:val="21"/>
                <w:szCs w:val="21"/>
                <w:highlight w:val="none"/>
                <w:lang w:val="en-US" w:eastAsia="zh-CN"/>
              </w:rPr>
              <w:t>0</w:t>
            </w:r>
          </w:p>
        </w:tc>
        <w:tc>
          <w:tcPr>
            <w:tcW w:w="1162"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w:t>
            </w:r>
          </w:p>
        </w:tc>
        <w:tc>
          <w:tcPr>
            <w:tcW w:w="1303"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2644.98</w:t>
            </w:r>
          </w:p>
        </w:tc>
        <w:tc>
          <w:tcPr>
            <w:tcW w:w="1121"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793.494</w:t>
            </w:r>
          </w:p>
        </w:tc>
        <w:tc>
          <w:tcPr>
            <w:tcW w:w="1065" w:type="dxa"/>
            <w:vAlign w:val="center"/>
          </w:tcPr>
          <w:p>
            <w:pPr>
              <w:pStyle w:val="21"/>
              <w:tabs>
                <w:tab w:val="left" w:pos="0"/>
              </w:tabs>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 d</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标准限值及检出限</w:t>
      </w:r>
    </w:p>
    <w:p>
      <w:pP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u w:val="none"/>
          <w:lang w:val="en-US" w:eastAsia="zh-CN"/>
        </w:rPr>
        <w:t>本项目预测因子执行的标准限值及检出限详见</w:t>
      </w:r>
      <w:r>
        <w:rPr>
          <w:rFonts w:hint="default" w:ascii="Times New Roman" w:hAnsi="Times New Roman" w:eastAsia="宋体" w:cs="Times New Roman"/>
          <w:color w:val="auto"/>
          <w:highlight w:val="none"/>
          <w:u w:val="none"/>
          <w:lang w:val="en-US" w:eastAsia="zh-CN"/>
        </w:rPr>
        <w:fldChar w:fldCharType="begin"/>
      </w:r>
      <w:r>
        <w:rPr>
          <w:rFonts w:hint="default" w:ascii="Times New Roman" w:hAnsi="Times New Roman" w:eastAsia="宋体" w:cs="Times New Roman"/>
          <w:color w:val="auto"/>
          <w:highlight w:val="none"/>
          <w:u w:val="none"/>
          <w:lang w:val="en-US" w:eastAsia="zh-CN"/>
        </w:rPr>
        <w:instrText xml:space="preserve"> REF _Ref15123 \n \h </w:instrText>
      </w:r>
      <w:r>
        <w:rPr>
          <w:rFonts w:hint="default" w:ascii="Times New Roman" w:hAnsi="Times New Roman" w:eastAsia="宋体" w:cs="Times New Roman"/>
          <w:color w:val="auto"/>
          <w:highlight w:val="none"/>
          <w:u w:val="none"/>
          <w:lang w:val="en-US" w:eastAsia="zh-CN"/>
        </w:rPr>
        <w:fldChar w:fldCharType="separate"/>
      </w:r>
      <w:r>
        <w:rPr>
          <w:rFonts w:hint="default" w:ascii="Times New Roman" w:hAnsi="Times New Roman" w:eastAsia="宋体" w:cs="Times New Roman"/>
          <w:color w:val="auto"/>
          <w:highlight w:val="none"/>
          <w:u w:val="none"/>
          <w:lang w:val="en-US" w:eastAsia="zh-CN"/>
        </w:rPr>
        <w:t>表5.4-2</w:t>
      </w:r>
      <w:r>
        <w:rPr>
          <w:rFonts w:hint="default" w:ascii="Times New Roman" w:hAnsi="Times New Roman" w:eastAsia="宋体" w:cs="Times New Roman"/>
          <w:color w:val="auto"/>
          <w:highlight w:val="none"/>
          <w:u w:val="none"/>
          <w:lang w:val="en-US" w:eastAsia="zh-CN"/>
        </w:rPr>
        <w:fldChar w:fldCharType="end"/>
      </w:r>
      <w:r>
        <w:rPr>
          <w:rFonts w:hint="default" w:ascii="Times New Roman" w:hAnsi="Times New Roman" w:eastAsia="宋体" w:cs="Times New Roman"/>
          <w:color w:val="auto"/>
          <w:highlight w:val="none"/>
          <w:u w:val="none"/>
          <w:lang w:val="en-US" w:eastAsia="zh-CN"/>
        </w:rPr>
        <w:t>。</w:t>
      </w:r>
    </w:p>
    <w:p>
      <w:pPr>
        <w:pStyle w:val="24"/>
        <w:numPr>
          <w:ilvl w:val="6"/>
          <w:numId w:val="5"/>
        </w:numPr>
        <w:tabs>
          <w:tab w:val="left" w:pos="420"/>
        </w:tabs>
        <w:bidi w:val="0"/>
        <w:rPr>
          <w:rFonts w:hint="default" w:ascii="Times New Roman" w:hAnsi="Times New Roman" w:cs="Times New Roman"/>
          <w:color w:val="auto"/>
          <w:highlight w:val="none"/>
          <w:lang w:val="en-US" w:eastAsia="zh-CN"/>
        </w:rPr>
      </w:pPr>
      <w:bookmarkStart w:id="577" w:name="_Ref15123"/>
      <w:r>
        <w:rPr>
          <w:rFonts w:hint="default" w:ascii="Times New Roman" w:hAnsi="Times New Roman" w:cs="Times New Roman"/>
          <w:color w:val="auto"/>
          <w:highlight w:val="none"/>
          <w:lang w:val="en-US" w:eastAsia="zh-CN"/>
        </w:rPr>
        <w:t>污染因子执行标准限值及检出限</w:t>
      </w:r>
      <w:bookmarkEnd w:id="577"/>
    </w:p>
    <w:tbl>
      <w:tblPr>
        <w:tblStyle w:val="18"/>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5"/>
        <w:gridCol w:w="2205"/>
        <w:gridCol w:w="4095"/>
        <w:gridCol w:w="15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4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污染因子</w:t>
            </w:r>
          </w:p>
        </w:tc>
        <w:tc>
          <w:tcPr>
            <w:tcW w:w="22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GB/T14848-2017</w:t>
            </w:r>
          </w:p>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Ⅲ类标准限值</w:t>
            </w:r>
          </w:p>
        </w:tc>
        <w:tc>
          <w:tcPr>
            <w:tcW w:w="4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检测方法</w:t>
            </w:r>
          </w:p>
        </w:tc>
        <w:tc>
          <w:tcPr>
            <w:tcW w:w="152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COD</w:t>
            </w:r>
          </w:p>
        </w:tc>
        <w:tc>
          <w:tcPr>
            <w:tcW w:w="22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 mg/L</w:t>
            </w:r>
          </w:p>
        </w:tc>
        <w:tc>
          <w:tcPr>
            <w:tcW w:w="409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生活饮用水标准检验方法 有机物综合指标  高锰酸钾滴定法 GB/T 5750.7-2006</w:t>
            </w:r>
          </w:p>
        </w:tc>
        <w:tc>
          <w:tcPr>
            <w:tcW w:w="152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0.05 mg/L</w:t>
            </w:r>
          </w:p>
        </w:tc>
      </w:tr>
    </w:tbl>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（6）预测方法与模型</w:t>
      </w:r>
    </w:p>
    <w:p>
      <w:pPr>
        <w:ind w:firstLine="480"/>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①水文地质条件概化</w:t>
      </w:r>
    </w:p>
    <w:p>
      <w:pPr>
        <w:ind w:firstLine="480"/>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项目场地地下水流呈一维流动，地下水位动态稳定，因此水流特征可以概化为一维稳定流。</w:t>
      </w:r>
    </w:p>
    <w:p>
      <w:pPr>
        <w:ind w:firstLine="480"/>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②污染源概化</w:t>
      </w:r>
    </w:p>
    <w:p>
      <w:pPr>
        <w:ind w:firstLine="480"/>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本项目主要的考虑因素是</w:t>
      </w:r>
      <w:r>
        <w:rPr>
          <w:rFonts w:hint="default" w:ascii="Times New Roman" w:hAnsi="Times New Roman" w:eastAsia="宋体" w:cs="Times New Roman"/>
          <w:color w:val="auto"/>
          <w:highlight w:val="none"/>
          <w:u w:val="none"/>
          <w:lang w:val="en-US" w:eastAsia="zh-CN"/>
        </w:rPr>
        <w:t>污水站调节池</w:t>
      </w:r>
      <w:r>
        <w:rPr>
          <w:rFonts w:hint="default" w:ascii="Times New Roman" w:hAnsi="Times New Roman" w:eastAsia="宋体" w:cs="Times New Roman"/>
          <w:color w:val="auto"/>
          <w:highlight w:val="none"/>
          <w:u w:val="none"/>
        </w:rPr>
        <w:t>防渗系统出现老化或开裂等非正常状况时</w:t>
      </w:r>
      <w:r>
        <w:rPr>
          <w:rFonts w:hint="default" w:ascii="Times New Roman" w:hAnsi="Times New Roman" w:eastAsia="宋体" w:cs="Times New Roman"/>
          <w:color w:val="auto"/>
          <w:highlight w:val="none"/>
          <w:u w:val="none"/>
          <w:lang w:val="en-US" w:eastAsia="zh-CN"/>
        </w:rPr>
        <w:t>污染物以入渗的方式进入含水层，预测时忽略污染物在包气带的运移过程，因此，</w:t>
      </w:r>
      <w:r>
        <w:rPr>
          <w:rFonts w:hint="default" w:ascii="Times New Roman" w:hAnsi="Times New Roman" w:eastAsia="宋体" w:cs="Times New Roman"/>
          <w:color w:val="auto"/>
          <w:highlight w:val="none"/>
          <w:u w:val="none"/>
        </w:rPr>
        <w:t>排放形式可视为点源</w:t>
      </w:r>
      <w:r>
        <w:rPr>
          <w:rFonts w:hint="default" w:ascii="Times New Roman" w:hAnsi="Times New Roman" w:eastAsia="宋体" w:cs="Times New Roman"/>
          <w:color w:val="auto"/>
          <w:highlight w:val="none"/>
          <w:u w:val="none"/>
          <w:lang w:eastAsia="zh-CN"/>
        </w:rPr>
        <w:t>。</w:t>
      </w:r>
      <w:r>
        <w:rPr>
          <w:rFonts w:hint="default" w:ascii="Times New Roman" w:hAnsi="Times New Roman" w:eastAsia="宋体" w:cs="Times New Roman"/>
          <w:color w:val="auto"/>
          <w:highlight w:val="none"/>
          <w:u w:val="none"/>
          <w:lang w:val="en-US" w:eastAsia="zh-CN"/>
        </w:rPr>
        <w:t>根据情景模拟，</w:t>
      </w:r>
      <w:r>
        <w:rPr>
          <w:rFonts w:hint="default" w:ascii="Times New Roman" w:hAnsi="Times New Roman" w:eastAsia="宋体" w:cs="Times New Roman"/>
          <w:b w:val="0"/>
          <w:bCs w:val="0"/>
          <w:color w:val="auto"/>
          <w:highlight w:val="none"/>
          <w:u w:val="none"/>
          <w:lang w:val="en-US" w:eastAsia="zh-CN"/>
        </w:rPr>
        <w:t>污水处理站调节池底部破损</w:t>
      </w:r>
      <w:r>
        <w:rPr>
          <w:rFonts w:hint="default" w:ascii="Times New Roman" w:hAnsi="Times New Roman" w:eastAsia="宋体" w:cs="Times New Roman"/>
          <w:color w:val="auto"/>
          <w:highlight w:val="none"/>
          <w:u w:val="none"/>
          <w:lang w:val="en-US" w:eastAsia="zh-CN"/>
        </w:rPr>
        <w:t>泄漏时间为30 d，在修复后，泄漏停止，因此，</w:t>
      </w:r>
      <w:r>
        <w:rPr>
          <w:rFonts w:hint="default" w:ascii="Times New Roman" w:hAnsi="Times New Roman" w:eastAsia="宋体" w:cs="Times New Roman"/>
          <w:color w:val="auto"/>
          <w:highlight w:val="none"/>
          <w:u w:val="none"/>
        </w:rPr>
        <w:t>排放规律可</w:t>
      </w:r>
      <w:r>
        <w:rPr>
          <w:rFonts w:hint="default" w:ascii="Times New Roman" w:hAnsi="Times New Roman" w:eastAsia="宋体" w:cs="Times New Roman"/>
          <w:color w:val="auto"/>
          <w:highlight w:val="none"/>
          <w:u w:val="none"/>
          <w:lang w:val="en-US" w:eastAsia="zh-CN"/>
        </w:rPr>
        <w:t>视为瞬时</w:t>
      </w:r>
      <w:r>
        <w:rPr>
          <w:rFonts w:hint="default" w:ascii="Times New Roman" w:hAnsi="Times New Roman" w:eastAsia="宋体" w:cs="Times New Roman"/>
          <w:color w:val="auto"/>
          <w:highlight w:val="none"/>
          <w:u w:val="none"/>
        </w:rPr>
        <w:t>排放。</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在非正常状况下，地下水流携带污染物的迁移过程中，机械弥散和分子扩散往往同时发生，机械弥散和分子扩散合称为水动力弥散。水动力弥散既发生在地下水流的流动方向，也发生在垂直于流动的方向上，因此会产生一个二维污染区。污染物在地下水系统中的迁移转化过程十分复杂，除了受到对流弥散的作用外，还受到化学、生物化学反应、吸附、生物降解等的影响，这些作用通常会使得污染浓度衰减。但是，对这些作用所进行的模拟需要很多难以获取的参数，因此，本次对特征污染物的模拟仅考虑其在地下水流中的对流弥散作用。</w:t>
      </w:r>
    </w:p>
    <w:p>
      <w:pPr>
        <w:ind w:firstLine="480"/>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rPr>
        <w:t>③预测模型</w:t>
      </w:r>
    </w:p>
    <w:p>
      <w:pPr>
        <w:ind w:firstLine="480"/>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rPr>
        <w:t>本项目地下水评价工作等级为</w:t>
      </w:r>
      <w:r>
        <w:rPr>
          <w:rFonts w:hint="default" w:ascii="Times New Roman" w:hAnsi="Times New Roman" w:cs="Times New Roman"/>
          <w:color w:val="auto"/>
          <w:highlight w:val="none"/>
          <w:u w:val="none"/>
          <w:lang w:val="en-US" w:eastAsia="zh-CN"/>
        </w:rPr>
        <w:t>三</w:t>
      </w:r>
      <w:r>
        <w:rPr>
          <w:rFonts w:hint="default" w:ascii="Times New Roman" w:hAnsi="Times New Roman" w:eastAsia="宋体" w:cs="Times New Roman"/>
          <w:color w:val="auto"/>
          <w:highlight w:val="none"/>
          <w:u w:val="none"/>
        </w:rPr>
        <w:t>级，</w:t>
      </w:r>
      <w:r>
        <w:rPr>
          <w:rFonts w:hint="default" w:ascii="Times New Roman" w:hAnsi="Times New Roman" w:cs="Times New Roman"/>
          <w:color w:val="auto"/>
          <w:highlight w:val="none"/>
          <w:u w:val="none"/>
          <w:lang w:val="en-US" w:eastAsia="zh-CN"/>
        </w:rPr>
        <w:t>水文地质条件比较简单，</w:t>
      </w:r>
      <w:r>
        <w:rPr>
          <w:rFonts w:hint="default" w:ascii="Times New Roman" w:hAnsi="Times New Roman" w:eastAsia="宋体" w:cs="Times New Roman"/>
          <w:color w:val="auto"/>
          <w:highlight w:val="none"/>
          <w:u w:val="none"/>
        </w:rPr>
        <w:t>采用解析法进行评价，</w:t>
      </w:r>
      <w:r>
        <w:rPr>
          <w:rFonts w:hint="default" w:ascii="Times New Roman" w:hAnsi="Times New Roman" w:eastAsia="宋体" w:cs="Times New Roman"/>
          <w:color w:val="auto"/>
          <w:highlight w:val="none"/>
          <w:u w:val="none"/>
          <w:lang w:val="en-US" w:eastAsia="zh-CN"/>
        </w:rPr>
        <w:t>通过上述分析，地下水流特征可以概化为一维稳定流，污染源可以概化为点源瞬时排放，污染特征为二维水动力弥散问题，预测模型选用《环境影响评价技术导则 地下水环境》（HJ610-2016）附录D中“瞬时注入示踪剂——平面瞬时点源”</w:t>
      </w:r>
      <w:r>
        <w:rPr>
          <w:rFonts w:hint="default" w:ascii="Times New Roman" w:hAnsi="Times New Roman" w:eastAsia="宋体" w:cs="Times New Roman"/>
          <w:color w:val="auto"/>
          <w:highlight w:val="none"/>
          <w:u w:val="none"/>
        </w:rPr>
        <w:t>，计算公式如下</w:t>
      </w:r>
      <w:r>
        <w:rPr>
          <w:rFonts w:hint="default" w:ascii="Times New Roman" w:hAnsi="Times New Roman" w:eastAsia="宋体" w:cs="Times New Roman"/>
          <w:color w:val="auto"/>
          <w:highlight w:val="none"/>
          <w:u w:val="none"/>
          <w:lang w:eastAsia="zh-CN"/>
        </w:rPr>
        <w:t>：</w:t>
      </w:r>
    </w:p>
    <w:p>
      <w:pPr>
        <w:ind w:left="0" w:leftChars="0" w:firstLine="0" w:firstLineChars="0"/>
        <w:jc w:val="center"/>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position w:val="-34"/>
          <w:highlight w:val="none"/>
          <w:u w:val="none"/>
          <w:lang w:eastAsia="zh-CN"/>
        </w:rPr>
        <w:object>
          <v:shape id="_x0000_i1076" o:spt="75" type="#_x0000_t75" style="height:44pt;width:203pt;" o:ole="t" filled="f" o:preferrelative="t" stroked="f" coordsize="21600,21600">
            <v:path/>
            <v:fill on="f" focussize="0,0"/>
            <v:stroke on="f"/>
            <v:imagedata r:id="rId136" o:title=""/>
            <o:lock v:ext="edit" aspectratio="t"/>
            <w10:wrap type="none"/>
            <w10:anchorlock/>
          </v:shape>
          <o:OLEObject Type="Embed" ProgID="Equation.KSEE3" ShapeID="_x0000_i1076" DrawAspect="Content" ObjectID="_1468075765" r:id="rId135">
            <o:LockedField>false</o:LockedField>
          </o:OLEObject>
        </w:objec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式中：</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10"/>
          <w:highlight w:val="none"/>
          <w:u w:val="none"/>
          <w:lang w:val="en-US" w:eastAsia="zh-CN"/>
        </w:rPr>
        <w:object>
          <v:shape id="_x0000_i1077" o:spt="75" type="#_x0000_t75" style="height:13pt;width:27pt;" o:ole="t" filled="f" o:preferrelative="t" stroked="f" coordsize="21600,21600">
            <v:path/>
            <v:fill on="f" focussize="0,0"/>
            <v:stroke on="f"/>
            <v:imagedata r:id="rId138" o:title=""/>
            <o:lock v:ext="edit" aspectratio="t"/>
            <w10:wrap type="none"/>
            <w10:anchorlock/>
          </v:shape>
          <o:OLEObject Type="Embed" ProgID="Equation.KSEE3" ShapeID="_x0000_i1077" DrawAspect="Content" ObjectID="_1468075766" r:id="rId137">
            <o:LockedField>false</o:LockedField>
          </o:OLEObject>
        </w:object>
      </w:r>
      <w:r>
        <w:rPr>
          <w:rFonts w:hint="default" w:ascii="Times New Roman" w:hAnsi="Times New Roman" w:eastAsia="宋体" w:cs="Times New Roman"/>
          <w:color w:val="auto"/>
          <w:highlight w:val="none"/>
          <w:u w:val="none"/>
          <w:lang w:val="en-US" w:eastAsia="zh-CN"/>
        </w:rPr>
        <w:t>——计算点处的位置坐标；</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6"/>
          <w:highlight w:val="none"/>
          <w:u w:val="none"/>
          <w:lang w:val="en-US" w:eastAsia="zh-CN"/>
        </w:rPr>
        <w:object>
          <v:shape id="_x0000_i1078" o:spt="75" type="#_x0000_t75" style="height:12pt;width:6.95pt;" o:ole="t" filled="f" o:preferrelative="t" stroked="f" coordsize="21600,21600">
            <v:path/>
            <v:fill on="f" focussize="0,0"/>
            <v:stroke on="f"/>
            <v:imagedata r:id="rId140" o:title=""/>
            <o:lock v:ext="edit" aspectratio="t"/>
            <w10:wrap type="none"/>
            <w10:anchorlock/>
          </v:shape>
          <o:OLEObject Type="Embed" ProgID="Equation.KSEE3" ShapeID="_x0000_i1078" DrawAspect="Content" ObjectID="_1468075767" r:id="rId139">
            <o:LockedField>false</o:LockedField>
          </o:OLEObject>
        </w:object>
      </w:r>
      <w:r>
        <w:rPr>
          <w:rFonts w:hint="default" w:ascii="Times New Roman" w:hAnsi="Times New Roman" w:eastAsia="宋体" w:cs="Times New Roman"/>
          <w:color w:val="auto"/>
          <w:highlight w:val="none"/>
          <w:u w:val="none"/>
          <w:lang w:val="en-US" w:eastAsia="zh-CN"/>
        </w:rPr>
        <w:t>——时间，d；</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10"/>
          <w:highlight w:val="none"/>
          <w:u w:val="none"/>
          <w:lang w:val="en-US" w:eastAsia="zh-CN"/>
        </w:rPr>
        <w:object>
          <v:shape id="_x0000_i1079" o:spt="75" type="#_x0000_t75" style="height:17pt;width:59pt;" o:ole="t" filled="f" o:preferrelative="t" stroked="f" coordsize="21600,21600">
            <v:path/>
            <v:fill on="f" focussize="0,0"/>
            <v:stroke on="f"/>
            <v:imagedata r:id="rId142" o:title=""/>
            <o:lock v:ext="edit" aspectratio="t"/>
            <w10:wrap type="none"/>
            <w10:anchorlock/>
          </v:shape>
          <o:OLEObject Type="Embed" ProgID="Equation.KSEE3" ShapeID="_x0000_i1079" DrawAspect="Content" ObjectID="_1468075768" r:id="rId141">
            <o:LockedField>false</o:LockedField>
          </o:OLEObject>
        </w:object>
      </w:r>
      <w:r>
        <w:rPr>
          <w:rFonts w:hint="default" w:ascii="Times New Roman" w:hAnsi="Times New Roman" w:eastAsia="宋体" w:cs="Times New Roman"/>
          <w:color w:val="auto"/>
          <w:highlight w:val="none"/>
          <w:u w:val="none"/>
          <w:lang w:val="en-US" w:eastAsia="zh-CN"/>
        </w:rPr>
        <w:t>——t时刻点</w:t>
      </w:r>
      <w:r>
        <w:rPr>
          <w:rFonts w:hint="default" w:ascii="Times New Roman" w:hAnsi="Times New Roman" w:eastAsia="宋体" w:cs="Times New Roman"/>
          <w:color w:val="auto"/>
          <w:position w:val="-10"/>
          <w:highlight w:val="none"/>
          <w:u w:val="none"/>
          <w:lang w:val="en-US" w:eastAsia="zh-CN"/>
        </w:rPr>
        <w:object>
          <v:shape id="_x0000_i1080" o:spt="75" type="#_x0000_t75" style="height:13pt;width:27pt;" o:ole="t" filled="f" o:preferrelative="t" stroked="f" coordsize="21600,21600">
            <v:path/>
            <v:fill on="f" focussize="0,0"/>
            <v:stroke on="f"/>
            <v:imagedata r:id="rId138" o:title=""/>
            <o:lock v:ext="edit" aspectratio="t"/>
            <w10:wrap type="none"/>
            <w10:anchorlock/>
          </v:shape>
          <o:OLEObject Type="Embed" ProgID="Equation.KSEE3" ShapeID="_x0000_i1080" DrawAspect="Content" ObjectID="_1468075769" r:id="rId143">
            <o:LockedField>false</o:LockedField>
          </o:OLEObject>
        </w:object>
      </w:r>
      <w:r>
        <w:rPr>
          <w:rFonts w:hint="default" w:ascii="Times New Roman" w:hAnsi="Times New Roman" w:eastAsia="宋体" w:cs="Times New Roman"/>
          <w:color w:val="auto"/>
          <w:highlight w:val="none"/>
          <w:u w:val="none"/>
          <w:lang w:val="en-US" w:eastAsia="zh-CN"/>
        </w:rPr>
        <w:t>处的示踪剂浓度，g/L；</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4"/>
          <w:highlight w:val="none"/>
          <w:u w:val="none"/>
          <w:lang w:val="en-US" w:eastAsia="zh-CN"/>
        </w:rPr>
        <w:object>
          <v:shape id="_x0000_i1081" o:spt="75" type="#_x0000_t75" style="height:13pt;width:16pt;" o:ole="t" filled="f" o:preferrelative="t" stroked="f" coordsize="21600,21600">
            <v:path/>
            <v:fill on="f" focussize="0,0"/>
            <v:stroke on="f"/>
            <v:imagedata r:id="rId145" o:title=""/>
            <o:lock v:ext="edit" aspectratio="t"/>
            <w10:wrap type="none"/>
            <w10:anchorlock/>
          </v:shape>
          <o:OLEObject Type="Embed" ProgID="Equation.KSEE3" ShapeID="_x0000_i1081" DrawAspect="Content" ObjectID="_1468075770" r:id="rId144">
            <o:LockedField>false</o:LockedField>
          </o:OLEObject>
        </w:object>
      </w:r>
      <w:r>
        <w:rPr>
          <w:rFonts w:hint="default" w:ascii="Times New Roman" w:hAnsi="Times New Roman" w:eastAsia="宋体" w:cs="Times New Roman"/>
          <w:color w:val="auto"/>
          <w:highlight w:val="none"/>
          <w:u w:val="none"/>
          <w:lang w:val="en-US" w:eastAsia="zh-CN"/>
        </w:rPr>
        <w:t>——承压含水层的厚度，m；</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10"/>
          <w:highlight w:val="none"/>
          <w:u w:val="none"/>
          <w:lang w:val="en-US" w:eastAsia="zh-CN"/>
        </w:rPr>
        <w:object>
          <v:shape id="_x0000_i1082" o:spt="75" type="#_x0000_t75" style="height:17pt;width:20pt;" o:ole="t" filled="f" o:preferrelative="t" stroked="f" coordsize="21600,21600">
            <v:path/>
            <v:fill on="f" focussize="0,0"/>
            <v:stroke on="f"/>
            <v:imagedata r:id="rId147" o:title=""/>
            <o:lock v:ext="edit" aspectratio="t"/>
            <w10:wrap type="none"/>
            <w10:anchorlock/>
          </v:shape>
          <o:OLEObject Type="Embed" ProgID="Equation.KSEE3" ShapeID="_x0000_i1082" DrawAspect="Content" ObjectID="_1468075771" r:id="rId146">
            <o:LockedField>false</o:LockedField>
          </o:OLEObject>
        </w:object>
      </w:r>
      <w:r>
        <w:rPr>
          <w:rFonts w:hint="default" w:ascii="Times New Roman" w:hAnsi="Times New Roman" w:eastAsia="宋体" w:cs="Times New Roman"/>
          <w:color w:val="auto"/>
          <w:highlight w:val="none"/>
          <w:u w:val="none"/>
          <w:lang w:val="en-US" w:eastAsia="zh-CN"/>
        </w:rPr>
        <w:t>——长度为M的线源瞬时注入的示踪剂质量，kg，详见</w:t>
      </w:r>
      <w:r>
        <w:rPr>
          <w:rFonts w:hint="default" w:ascii="Times New Roman" w:hAnsi="Times New Roman" w:eastAsia="宋体" w:cs="Times New Roman"/>
          <w:color w:val="auto"/>
          <w:highlight w:val="none"/>
          <w:u w:val="none"/>
          <w:lang w:val="en-US" w:eastAsia="zh-CN"/>
        </w:rPr>
        <w:fldChar w:fldCharType="begin"/>
      </w:r>
      <w:r>
        <w:rPr>
          <w:rFonts w:hint="default" w:ascii="Times New Roman" w:hAnsi="Times New Roman" w:eastAsia="宋体" w:cs="Times New Roman"/>
          <w:color w:val="auto"/>
          <w:highlight w:val="none"/>
          <w:u w:val="none"/>
          <w:lang w:val="en-US" w:eastAsia="zh-CN"/>
        </w:rPr>
        <w:instrText xml:space="preserve"> REF _Ref15913 \n \h </w:instrText>
      </w:r>
      <w:r>
        <w:rPr>
          <w:rFonts w:hint="default" w:ascii="Times New Roman" w:hAnsi="Times New Roman" w:eastAsia="宋体" w:cs="Times New Roman"/>
          <w:color w:val="auto"/>
          <w:highlight w:val="none"/>
          <w:u w:val="none"/>
          <w:lang w:val="en-US" w:eastAsia="zh-CN"/>
        </w:rPr>
        <w:fldChar w:fldCharType="separate"/>
      </w:r>
      <w:r>
        <w:rPr>
          <w:rFonts w:hint="default" w:ascii="Times New Roman" w:hAnsi="Times New Roman" w:eastAsia="宋体" w:cs="Times New Roman"/>
          <w:color w:val="auto"/>
          <w:highlight w:val="none"/>
          <w:u w:val="none"/>
          <w:lang w:val="en-US" w:eastAsia="zh-CN"/>
        </w:rPr>
        <w:t>表5.4-1</w:t>
      </w:r>
      <w:r>
        <w:rPr>
          <w:rFonts w:hint="default" w:ascii="Times New Roman" w:hAnsi="Times New Roman" w:eastAsia="宋体" w:cs="Times New Roman"/>
          <w:color w:val="auto"/>
          <w:highlight w:val="none"/>
          <w:u w:val="none"/>
          <w:lang w:val="en-US" w:eastAsia="zh-CN"/>
        </w:rPr>
        <w:fldChar w:fldCharType="end"/>
      </w:r>
      <w:r>
        <w:rPr>
          <w:rFonts w:hint="default" w:ascii="Times New Roman" w:hAnsi="Times New Roman" w:eastAsia="宋体" w:cs="Times New Roman"/>
          <w:color w:val="auto"/>
          <w:highlight w:val="none"/>
          <w:u w:val="none"/>
          <w:lang w:val="en-US" w:eastAsia="zh-CN"/>
        </w:rPr>
        <w:t>；</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6"/>
          <w:highlight w:val="none"/>
          <w:u w:val="none"/>
          <w:lang w:val="en-US" w:eastAsia="zh-CN"/>
        </w:rPr>
        <w:object>
          <v:shape id="_x0000_i1083" o:spt="75" type="#_x0000_t75" style="height:11pt;width:10pt;" o:ole="t" filled="f" o:preferrelative="t" stroked="f" coordsize="21600,21600">
            <v:path/>
            <v:fill on="f" focussize="0,0"/>
            <v:stroke on="f"/>
            <v:imagedata r:id="rId149" o:title=""/>
            <o:lock v:ext="edit" aspectratio="t"/>
            <w10:wrap type="none"/>
            <w10:anchorlock/>
          </v:shape>
          <o:OLEObject Type="Embed" ProgID="Equation.KSEE3" ShapeID="_x0000_i1083" DrawAspect="Content" ObjectID="_1468075772" r:id="rId148">
            <o:LockedField>false</o:LockedField>
          </o:OLEObject>
        </w:object>
      </w:r>
      <w:r>
        <w:rPr>
          <w:rFonts w:hint="default" w:ascii="Times New Roman" w:hAnsi="Times New Roman" w:eastAsia="宋体" w:cs="Times New Roman"/>
          <w:color w:val="auto"/>
          <w:highlight w:val="none"/>
          <w:u w:val="none"/>
          <w:lang w:val="en-US" w:eastAsia="zh-CN"/>
        </w:rPr>
        <w:t>——水流速度，m/d；</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12"/>
          <w:highlight w:val="none"/>
          <w:u w:val="none"/>
          <w:lang w:val="en-US" w:eastAsia="zh-CN"/>
        </w:rPr>
        <w:object>
          <v:shape id="_x0000_i1084" o:spt="75" type="#_x0000_t75" style="height:18pt;width:13pt;" o:ole="t" filled="f" o:preferrelative="t" stroked="f" coordsize="21600,21600">
            <v:path/>
            <v:fill on="f" focussize="0,0"/>
            <v:stroke on="f"/>
            <v:imagedata r:id="rId151" o:title=""/>
            <o:lock v:ext="edit" aspectratio="t"/>
            <w10:wrap type="none"/>
            <w10:anchorlock/>
          </v:shape>
          <o:OLEObject Type="Embed" ProgID="Equation.KSEE3" ShapeID="_x0000_i1084" DrawAspect="Content" ObjectID="_1468075773" r:id="rId150">
            <o:LockedField>false</o:LockedField>
          </o:OLEObject>
        </w:object>
      </w:r>
      <w:r>
        <w:rPr>
          <w:rFonts w:hint="default" w:ascii="Times New Roman" w:hAnsi="Times New Roman" w:eastAsia="宋体" w:cs="Times New Roman"/>
          <w:color w:val="auto"/>
          <w:highlight w:val="none"/>
          <w:u w:val="none"/>
          <w:lang w:val="en-US" w:eastAsia="zh-CN"/>
        </w:rPr>
        <w:t>——有效孔隙度，无量纲；</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10"/>
          <w:highlight w:val="none"/>
          <w:u w:val="none"/>
          <w:lang w:val="en-US" w:eastAsia="zh-CN"/>
        </w:rPr>
        <w:object>
          <v:shape id="_x0000_i1085" o:spt="75" type="#_x0000_t75" style="height:17pt;width:17pt;" o:ole="t" filled="f" o:preferrelative="t" stroked="f" coordsize="21600,21600">
            <v:path/>
            <v:fill on="f" focussize="0,0"/>
            <v:stroke on="f"/>
            <v:imagedata r:id="rId153" o:title=""/>
            <o:lock v:ext="edit" aspectratio="t"/>
            <w10:wrap type="none"/>
            <w10:anchorlock/>
          </v:shape>
          <o:OLEObject Type="Embed" ProgID="Equation.KSEE3" ShapeID="_x0000_i1085" DrawAspect="Content" ObjectID="_1468075774" r:id="rId152">
            <o:LockedField>false</o:LockedField>
          </o:OLEObject>
        </w:object>
      </w:r>
      <w:r>
        <w:rPr>
          <w:rFonts w:hint="default" w:ascii="Times New Roman" w:hAnsi="Times New Roman" w:eastAsia="宋体" w:cs="Times New Roman"/>
          <w:color w:val="auto"/>
          <w:highlight w:val="none"/>
          <w:u w:val="none"/>
          <w:lang w:val="en-US" w:eastAsia="zh-CN"/>
        </w:rPr>
        <w:t>——纵向弥散系数，m</w:t>
      </w:r>
      <w:r>
        <w:rPr>
          <w:rFonts w:hint="default" w:ascii="Times New Roman" w:hAnsi="Times New Roman" w:eastAsia="宋体" w:cs="Times New Roman"/>
          <w:color w:val="auto"/>
          <w:highlight w:val="none"/>
          <w:u w:val="none"/>
          <w:vertAlign w:val="superscript"/>
          <w:lang w:val="en-US" w:eastAsia="zh-CN"/>
        </w:rPr>
        <w:t>2</w:t>
      </w:r>
      <w:r>
        <w:rPr>
          <w:rFonts w:hint="default" w:ascii="Times New Roman" w:hAnsi="Times New Roman" w:eastAsia="宋体" w:cs="Times New Roman"/>
          <w:color w:val="auto"/>
          <w:highlight w:val="none"/>
          <w:u w:val="none"/>
          <w:lang w:val="en-US" w:eastAsia="zh-CN"/>
        </w:rPr>
        <w:t>/d；</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10"/>
          <w:highlight w:val="none"/>
          <w:u w:val="none"/>
          <w:lang w:val="en-US" w:eastAsia="zh-CN"/>
        </w:rPr>
        <w:object>
          <v:shape id="_x0000_i1086" o:spt="75" type="#_x0000_t75" style="height:17pt;width:17pt;" o:ole="t" filled="f" o:preferrelative="t" stroked="f" coordsize="21600,21600">
            <v:path/>
            <v:fill on="f" focussize="0,0"/>
            <v:stroke on="f"/>
            <v:imagedata r:id="rId155" o:title=""/>
            <o:lock v:ext="edit" aspectratio="t"/>
            <w10:wrap type="none"/>
            <w10:anchorlock/>
          </v:shape>
          <o:OLEObject Type="Embed" ProgID="Equation.KSEE3" ShapeID="_x0000_i1086" DrawAspect="Content" ObjectID="_1468075775" r:id="rId154">
            <o:LockedField>false</o:LockedField>
          </o:OLEObject>
        </w:object>
      </w:r>
      <w:r>
        <w:rPr>
          <w:rFonts w:hint="default" w:ascii="Times New Roman" w:hAnsi="Times New Roman" w:eastAsia="宋体" w:cs="Times New Roman"/>
          <w:color w:val="auto"/>
          <w:highlight w:val="none"/>
          <w:u w:val="none"/>
          <w:lang w:val="en-US" w:eastAsia="zh-CN"/>
        </w:rPr>
        <w:t>——横向y方向的弥散系数，m</w:t>
      </w:r>
      <w:r>
        <w:rPr>
          <w:rFonts w:hint="default" w:ascii="Times New Roman" w:hAnsi="Times New Roman" w:eastAsia="宋体" w:cs="Times New Roman"/>
          <w:color w:val="auto"/>
          <w:highlight w:val="none"/>
          <w:u w:val="none"/>
          <w:vertAlign w:val="superscript"/>
          <w:lang w:val="en-US" w:eastAsia="zh-CN"/>
        </w:rPr>
        <w:t>2</w:t>
      </w:r>
      <w:r>
        <w:rPr>
          <w:rFonts w:hint="default" w:ascii="Times New Roman" w:hAnsi="Times New Roman" w:eastAsia="宋体" w:cs="Times New Roman"/>
          <w:color w:val="auto"/>
          <w:highlight w:val="none"/>
          <w:u w:val="none"/>
          <w:lang w:val="en-US" w:eastAsia="zh-CN"/>
        </w:rPr>
        <w:t>/d；</w:t>
      </w:r>
    </w:p>
    <w:p>
      <w:pPr>
        <w:keepNext w:val="0"/>
        <w:keepLines w:val="0"/>
        <w:pageBreakBefore w:val="0"/>
        <w:widowControl w:val="0"/>
        <w:kinsoku/>
        <w:wordWrap/>
        <w:overflowPunct/>
        <w:topLinePunct w:val="0"/>
        <w:autoSpaceDE/>
        <w:autoSpaceDN/>
        <w:bidi w:val="0"/>
        <w:adjustRightInd/>
        <w:snapToGrid/>
        <w:ind w:left="480" w:leftChars="200" w:firstLine="480"/>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position w:val="-6"/>
          <w:highlight w:val="none"/>
          <w:u w:val="none"/>
          <w:lang w:val="en-US" w:eastAsia="zh-CN"/>
        </w:rPr>
        <w:object>
          <v:shape id="_x0000_i1087" o:spt="75" type="#_x0000_t75" style="height:11pt;width:11pt;" o:ole="t" filled="f" o:preferrelative="t" stroked="f" coordsize="21600,21600">
            <v:path/>
            <v:fill on="f" focussize="0,0"/>
            <v:stroke on="f"/>
            <v:imagedata r:id="rId157" o:title=""/>
            <o:lock v:ext="edit" aspectratio="t"/>
            <w10:wrap type="none"/>
            <w10:anchorlock/>
          </v:shape>
          <o:OLEObject Type="Embed" ProgID="Equation.KSEE3" ShapeID="_x0000_i1087" DrawAspect="Content" ObjectID="_1468075776" r:id="rId156">
            <o:LockedField>false</o:LockedField>
          </o:OLEObject>
        </w:object>
      </w:r>
      <w:r>
        <w:rPr>
          <w:rFonts w:hint="default" w:ascii="Times New Roman" w:hAnsi="Times New Roman" w:eastAsia="宋体" w:cs="Times New Roman"/>
          <w:color w:val="auto"/>
          <w:highlight w:val="none"/>
          <w:u w:val="none"/>
          <w:lang w:val="en-US" w:eastAsia="zh-CN"/>
        </w:rPr>
        <w:t>——圆周率。</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④水文地质参数的确定</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《霞浦县牙城镇污水处理厂及配套管网工程岩土工程勘察报告》</w:t>
      </w:r>
      <w:r>
        <w:rPr>
          <w:rFonts w:hint="default" w:ascii="Times New Roman" w:hAnsi="Times New Roman" w:cs="Times New Roman"/>
          <w:color w:val="auto"/>
          <w:highlight w:val="none"/>
          <w:lang w:val="en-US" w:eastAsia="zh-CN"/>
        </w:rPr>
        <w:t>、《水文地质手册》等水文地质资料，确定水文地质参数如下：</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A.渗透系数K：</w:t>
      </w:r>
      <w:r>
        <w:rPr>
          <w:rFonts w:hint="default" w:ascii="Times New Roman" w:hAnsi="Times New Roman" w:cs="Times New Roman"/>
          <w:color w:val="auto"/>
          <w:kern w:val="0"/>
          <w:position w:val="-30"/>
          <w:sz w:val="24"/>
          <w:szCs w:val="24"/>
          <w:highlight w:val="none"/>
          <w:lang w:val="en-US" w:eastAsia="zh-CN" w:bidi="ar"/>
        </w:rPr>
        <w:object>
          <v:shape id="_x0000_i1088" o:spt="75" type="#_x0000_t75" style="height:34pt;width:53pt;" o:ole="t" filled="f" o:preferrelative="t" stroked="f" coordsize="21600,21600">
            <v:path/>
            <v:fill on="f" focussize="0,0"/>
            <v:stroke on="f"/>
            <v:imagedata r:id="rId159" o:title=""/>
            <o:lock v:ext="edit" aspectratio="t"/>
            <w10:wrap type="none"/>
            <w10:anchorlock/>
          </v:shape>
          <o:OLEObject Type="Embed" ProgID="Equation.KSEE3" ShapeID="_x0000_i1088" DrawAspect="Content" ObjectID="_1468075777" r:id="rId158">
            <o:LockedField>false</o:LockedField>
          </o:OLEObject>
        </w:object>
      </w:r>
      <w:r>
        <w:rPr>
          <w:rFonts w:hint="default" w:ascii="Times New Roman" w:hAnsi="Times New Roman" w:eastAsia="宋体" w:cs="Times New Roman"/>
          <w:color w:val="auto"/>
          <w:highlight w:val="none"/>
          <w:u w:val="none"/>
          <w:lang w:val="en-US" w:eastAsia="zh-CN"/>
        </w:rPr>
        <w:t>，计算得9.6 m/d；</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B.有效孔隙度</w:t>
      </w:r>
      <w:r>
        <w:rPr>
          <w:rFonts w:hint="default" w:ascii="Times New Roman" w:hAnsi="Times New Roman" w:eastAsia="宋体" w:cs="Times New Roman"/>
          <w:color w:val="auto"/>
          <w:position w:val="-12"/>
          <w:highlight w:val="none"/>
          <w:u w:val="none"/>
          <w:lang w:val="en-US" w:eastAsia="zh-CN"/>
        </w:rPr>
        <w:object>
          <v:shape id="_x0000_i1089" o:spt="75" type="#_x0000_t75" style="height:18pt;width:13pt;" o:ole="t" filled="f" o:preferrelative="t" stroked="f" coordsize="21600,21600">
            <v:path/>
            <v:fill on="f" focussize="0,0"/>
            <v:stroke on="f"/>
            <v:imagedata r:id="rId151" o:title=""/>
            <o:lock v:ext="edit" aspectratio="t"/>
            <w10:wrap type="none"/>
            <w10:anchorlock/>
          </v:shape>
          <o:OLEObject Type="Embed" ProgID="Equation.KSEE3" ShapeID="_x0000_i1089" DrawAspect="Content" ObjectID="_1468075778" r:id="rId160">
            <o:LockedField>false</o:LockedField>
          </o:OLEObject>
        </w:object>
      </w:r>
      <w:r>
        <w:rPr>
          <w:rFonts w:hint="default" w:ascii="Times New Roman" w:hAnsi="Times New Roman" w:eastAsia="宋体" w:cs="Times New Roman"/>
          <w:color w:val="auto"/>
          <w:highlight w:val="none"/>
          <w:u w:val="none"/>
          <w:lang w:val="en-US" w:eastAsia="zh-CN"/>
        </w:rPr>
        <w:t>：根据牙城镇污水处理厂地勘报告，有效孔隙度取0.4</w:t>
      </w:r>
      <w:r>
        <w:rPr>
          <w:rFonts w:hint="default" w:ascii="Times New Roman" w:hAnsi="Times New Roman" w:cs="Times New Roman"/>
          <w:color w:val="auto"/>
          <w:highlight w:val="none"/>
          <w:u w:val="none"/>
          <w:lang w:val="en-US" w:eastAsia="zh-CN"/>
        </w:rPr>
        <w:t>5</w:t>
      </w:r>
      <w:r>
        <w:rPr>
          <w:rFonts w:hint="default" w:ascii="Times New Roman" w:hAnsi="Times New Roman" w:eastAsia="宋体" w:cs="Times New Roman"/>
          <w:color w:val="auto"/>
          <w:highlight w:val="none"/>
          <w:u w:val="none"/>
          <w:lang w:val="en-US" w:eastAsia="zh-CN"/>
        </w:rPr>
        <w:t>；</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C.水力坡度I：根据地形估算I=0.</w:t>
      </w:r>
      <w:r>
        <w:rPr>
          <w:rFonts w:hint="default" w:ascii="Times New Roman" w:hAnsi="Times New Roman" w:cs="Times New Roman"/>
          <w:color w:val="auto"/>
          <w:highlight w:val="none"/>
          <w:u w:val="none"/>
          <w:lang w:val="en-US" w:eastAsia="zh-CN"/>
        </w:rPr>
        <w:t>015</w:t>
      </w:r>
      <w:r>
        <w:rPr>
          <w:rFonts w:hint="default" w:ascii="Times New Roman" w:hAnsi="Times New Roman" w:eastAsia="宋体" w:cs="Times New Roman"/>
          <w:color w:val="auto"/>
          <w:highlight w:val="none"/>
          <w:u w:val="none"/>
          <w:lang w:val="en-US" w:eastAsia="zh-CN"/>
        </w:rPr>
        <w:t>；</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D.水流速度u：牙城镇工业园地下水主要为赋存于第四系覆盖层杂填土层中的上层滞水，埋深为0.55~5.05 m，稳定水位埋深0.4~4.1 m。参照刘森、高茂生等人关于围填海工程地下水流场、水质规律研究成果，牙城镇污水处理厂场地属于填海造地，地下水流速在0.25~0.38 m/d，本次评价参照牙城镇污水处理厂的水流速度，取0.</w:t>
      </w:r>
      <w:r>
        <w:rPr>
          <w:rFonts w:hint="default" w:ascii="Times New Roman" w:hAnsi="Times New Roman" w:cs="Times New Roman"/>
          <w:color w:val="auto"/>
          <w:highlight w:val="none"/>
          <w:u w:val="none"/>
          <w:lang w:val="en-US" w:eastAsia="zh-CN"/>
        </w:rPr>
        <w:t>32</w:t>
      </w:r>
      <w:r>
        <w:rPr>
          <w:rFonts w:hint="default" w:ascii="Times New Roman" w:hAnsi="Times New Roman" w:eastAsia="宋体" w:cs="Times New Roman"/>
          <w:color w:val="auto"/>
          <w:highlight w:val="none"/>
          <w:u w:val="none"/>
          <w:lang w:val="en-US" w:eastAsia="zh-CN"/>
        </w:rPr>
        <w:t xml:space="preserve"> m/d；</w:t>
      </w:r>
    </w:p>
    <w:p>
      <w:pPr>
        <w:bidi w:val="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lang w:val="en-US" w:eastAsia="zh-CN"/>
        </w:rPr>
        <w:t>E.纵向弥散系数</w:t>
      </w:r>
      <w:r>
        <w:rPr>
          <w:rFonts w:hint="default" w:ascii="Times New Roman" w:hAnsi="Times New Roman" w:eastAsia="宋体" w:cs="Times New Roman"/>
          <w:color w:val="auto"/>
          <w:position w:val="-10"/>
          <w:highlight w:val="none"/>
          <w:u w:val="none"/>
          <w:lang w:val="en-US" w:eastAsia="zh-CN"/>
        </w:rPr>
        <w:object>
          <v:shape id="_x0000_i1090" o:spt="75" type="#_x0000_t75" style="height:17pt;width:17pt;" o:ole="t" filled="f" o:preferrelative="t" stroked="f" coordsize="21600,21600">
            <v:path/>
            <v:fill on="f" focussize="0,0"/>
            <v:stroke on="f"/>
            <v:imagedata r:id="rId153" o:title=""/>
            <o:lock v:ext="edit" aspectratio="t"/>
            <w10:wrap type="none"/>
            <w10:anchorlock/>
          </v:shape>
          <o:OLEObject Type="Embed" ProgID="Equation.KSEE3" ShapeID="_x0000_i1090" DrawAspect="Content" ObjectID="_1468075779" r:id="rId161">
            <o:LockedField>false</o:LockedField>
          </o:OLEObject>
        </w:object>
      </w:r>
      <w:r>
        <w:rPr>
          <w:rFonts w:hint="default" w:ascii="Times New Roman" w:hAnsi="Times New Roman" w:cs="Times New Roman"/>
          <w:color w:val="auto"/>
          <w:highlight w:val="none"/>
          <w:lang w:val="en-US" w:eastAsia="zh-CN"/>
        </w:rPr>
        <w:t>：根据弥散度与观测尺度图，水流速度取值，选取纵向弥散度（α</w:t>
      </w:r>
      <w:r>
        <w:rPr>
          <w:rFonts w:hint="default" w:ascii="Times New Roman" w:hAnsi="Times New Roman" w:cs="Times New Roman"/>
          <w:color w:val="auto"/>
          <w:highlight w:val="none"/>
          <w:vertAlign w:val="subscript"/>
          <w:lang w:val="en-US" w:eastAsia="zh-CN"/>
        </w:rPr>
        <w:t>L</w:t>
      </w:r>
      <w:r>
        <w:rPr>
          <w:rFonts w:hint="default" w:ascii="Times New Roman" w:hAnsi="Times New Roman" w:cs="Times New Roman"/>
          <w:color w:val="auto"/>
          <w:highlight w:val="none"/>
          <w:lang w:val="en-US" w:eastAsia="zh-CN"/>
        </w:rPr>
        <w:t>）为10</w:t>
      </w:r>
      <w:r>
        <w:rPr>
          <w:rFonts w:hint="default" w:ascii="Times New Roman" w:hAnsi="Times New Roman" w:cs="Times New Roman"/>
          <w:color w:val="auto"/>
          <w:highlight w:val="none"/>
          <w:vertAlign w:val="superscript"/>
          <w:lang w:val="en-US" w:eastAsia="zh-CN"/>
        </w:rPr>
        <w:t>0</w:t>
      </w:r>
      <w:r>
        <w:rPr>
          <w:rFonts w:hint="default" w:ascii="Times New Roman" w:hAnsi="Times New Roman" w:cs="Times New Roman"/>
          <w:color w:val="auto"/>
          <w:highlight w:val="none"/>
          <w:lang w:val="en-US" w:eastAsia="zh-CN"/>
        </w:rPr>
        <w:t xml:space="preserve"> m纵向弥散系数D</w:t>
      </w:r>
      <w:r>
        <w:rPr>
          <w:rFonts w:hint="default" w:ascii="Times New Roman" w:hAnsi="Times New Roman" w:cs="Times New Roman"/>
          <w:color w:val="auto"/>
          <w:highlight w:val="none"/>
          <w:vertAlign w:val="subscript"/>
          <w:lang w:val="en-US" w:eastAsia="zh-CN"/>
        </w:rPr>
        <w:t>L</w:t>
      </w:r>
      <w:r>
        <w:rPr>
          <w:rFonts w:hint="default" w:ascii="Times New Roman" w:hAnsi="Times New Roman" w:cs="Times New Roman"/>
          <w:color w:val="auto"/>
          <w:highlight w:val="none"/>
          <w:lang w:val="en-US" w:eastAsia="zh-CN"/>
        </w:rPr>
        <w:t>=α</w:t>
      </w:r>
      <w:r>
        <w:rPr>
          <w:rFonts w:hint="default" w:ascii="Times New Roman" w:hAnsi="Times New Roman" w:cs="Times New Roman"/>
          <w:color w:val="auto"/>
          <w:highlight w:val="none"/>
          <w:vertAlign w:val="subscript"/>
          <w:lang w:val="en-US" w:eastAsia="zh-CN"/>
        </w:rPr>
        <w:t>L×</w:t>
      </w:r>
      <w:r>
        <w:rPr>
          <w:rFonts w:hint="default" w:ascii="Times New Roman" w:hAnsi="Times New Roman" w:cs="Times New Roman"/>
          <w:color w:val="auto"/>
          <w:highlight w:val="none"/>
          <w:lang w:val="en-US" w:eastAsia="zh-CN"/>
        </w:rPr>
        <w:t>u=0.32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 xml:space="preserve"> </w:t>
      </w:r>
      <w:r>
        <w:rPr>
          <w:rFonts w:hint="default" w:ascii="Times New Roman" w:hAnsi="Times New Roman" w:eastAsia="宋体" w:cs="Times New Roman"/>
          <w:color w:val="auto"/>
          <w:highlight w:val="none"/>
          <w:u w:val="none"/>
          <w:lang w:val="en-US" w:eastAsia="zh-CN"/>
        </w:rPr>
        <w:t>/d。根据经验，横向弥散系数</w:t>
      </w:r>
      <w:r>
        <w:rPr>
          <w:rFonts w:hint="default" w:ascii="Times New Roman" w:hAnsi="Times New Roman" w:eastAsia="宋体" w:cs="Times New Roman"/>
          <w:color w:val="auto"/>
          <w:position w:val="-10"/>
          <w:highlight w:val="none"/>
          <w:u w:val="none"/>
          <w:lang w:val="en-US" w:eastAsia="zh-CN"/>
        </w:rPr>
        <w:object>
          <v:shape id="_x0000_i1091" o:spt="75" type="#_x0000_t75" style="height:17pt;width:67.95pt;" o:ole="t" filled="f" o:preferrelative="t" stroked="f" coordsize="21600,21600">
            <v:path/>
            <v:fill on="f" focussize="0,0"/>
            <v:stroke on="f"/>
            <v:imagedata r:id="rId163" o:title=""/>
            <o:lock v:ext="edit" aspectratio="t"/>
            <w10:wrap type="none"/>
            <w10:anchorlock/>
          </v:shape>
          <o:OLEObject Type="Embed" ProgID="Equation.KSEE3" ShapeID="_x0000_i1091" DrawAspect="Content" ObjectID="_1468075780" r:id="rId162">
            <o:LockedField>false</o:LockedField>
          </o:OLEObject>
        </w:object>
      </w:r>
      <w:r>
        <w:rPr>
          <w:rFonts w:hint="default" w:ascii="Times New Roman" w:hAnsi="Times New Roman" w:eastAsia="宋体"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0.032</w:t>
      </w:r>
      <w:r>
        <w:rPr>
          <w:rFonts w:hint="default" w:ascii="Times New Roman" w:hAnsi="Times New Roman" w:eastAsia="宋体" w:cs="Times New Roman"/>
          <w:color w:val="auto"/>
          <w:highlight w:val="none"/>
          <w:u w:val="none"/>
          <w:lang w:val="en-US" w:eastAsia="zh-CN"/>
        </w:rPr>
        <w:t xml:space="preserve"> m</w:t>
      </w:r>
      <w:r>
        <w:rPr>
          <w:rFonts w:hint="default" w:ascii="Times New Roman" w:hAnsi="Times New Roman" w:eastAsia="宋体" w:cs="Times New Roman"/>
          <w:color w:val="auto"/>
          <w:highlight w:val="none"/>
          <w:u w:val="none"/>
          <w:vertAlign w:val="superscript"/>
          <w:lang w:val="en-US" w:eastAsia="zh-CN"/>
        </w:rPr>
        <w:t>2</w:t>
      </w:r>
      <w:r>
        <w:rPr>
          <w:rFonts w:hint="default" w:ascii="Times New Roman" w:hAnsi="Times New Roman" w:eastAsia="宋体" w:cs="Times New Roman"/>
          <w:color w:val="auto"/>
          <w:highlight w:val="none"/>
          <w:u w:val="none"/>
          <w:lang w:val="en-US" w:eastAsia="zh-CN"/>
        </w:rPr>
        <w:t xml:space="preserve"> /d；</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F.承压含水层的厚度M：评价区含水层的厚度约为0.55-5.05 m</w:t>
      </w:r>
      <w:r>
        <w:rPr>
          <w:rFonts w:hint="eastAsia" w:cs="Times New Roman"/>
          <w:color w:val="auto"/>
          <w:highlight w:val="none"/>
          <w:u w:val="none"/>
          <w:lang w:val="en-US" w:eastAsia="zh-CN"/>
        </w:rPr>
        <w:t>，</w:t>
      </w:r>
      <w:r>
        <w:rPr>
          <w:rFonts w:hint="default" w:ascii="Times New Roman" w:hAnsi="Times New Roman" w:eastAsia="宋体" w:cs="Times New Roman"/>
          <w:color w:val="auto"/>
          <w:highlight w:val="none"/>
          <w:u w:val="none"/>
        </w:rPr>
        <w:t>本次评价取</w:t>
      </w:r>
      <w:r>
        <w:rPr>
          <w:rFonts w:hint="default" w:ascii="Times New Roman" w:hAnsi="Times New Roman" w:eastAsia="宋体" w:cs="Times New Roman"/>
          <w:color w:val="auto"/>
          <w:highlight w:val="none"/>
          <w:u w:val="none"/>
          <w:lang w:val="en-US" w:eastAsia="zh-CN"/>
        </w:rPr>
        <w:t xml:space="preserve">平均值2.8 </w:t>
      </w:r>
      <w:r>
        <w:rPr>
          <w:rFonts w:hint="default" w:ascii="Times New Roman" w:hAnsi="Times New Roman" w:eastAsia="宋体" w:cs="Times New Roman"/>
          <w:color w:val="auto"/>
          <w:highlight w:val="none"/>
          <w:u w:val="none"/>
        </w:rPr>
        <w:t>m</w:t>
      </w:r>
      <w:r>
        <w:rPr>
          <w:rFonts w:hint="default" w:ascii="Times New Roman" w:hAnsi="Times New Roman" w:eastAsia="宋体" w:cs="Times New Roman"/>
          <w:color w:val="auto"/>
          <w:highlight w:val="none"/>
          <w:u w:val="none"/>
          <w:lang w:eastAsia="zh-CN"/>
        </w:rPr>
        <w:t>。</w:t>
      </w:r>
    </w:p>
    <w:p>
      <w:pPr>
        <w:ind w:firstLine="48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水文地质参数详见</w:t>
      </w:r>
      <w:r>
        <w:rPr>
          <w:rFonts w:hint="default" w:ascii="Times New Roman" w:hAnsi="Times New Roman" w:eastAsia="宋体" w:cs="Times New Roman"/>
          <w:color w:val="auto"/>
          <w:highlight w:val="none"/>
          <w:u w:val="none"/>
          <w:lang w:val="en-US" w:eastAsia="zh-CN"/>
        </w:rPr>
        <w:fldChar w:fldCharType="begin"/>
      </w:r>
      <w:r>
        <w:rPr>
          <w:rFonts w:hint="default" w:ascii="Times New Roman" w:hAnsi="Times New Roman" w:eastAsia="宋体" w:cs="Times New Roman"/>
          <w:color w:val="auto"/>
          <w:highlight w:val="none"/>
          <w:u w:val="none"/>
          <w:lang w:val="en-US" w:eastAsia="zh-CN"/>
        </w:rPr>
        <w:instrText xml:space="preserve"> REF _Ref23499 \n \h </w:instrText>
      </w:r>
      <w:r>
        <w:rPr>
          <w:rFonts w:hint="default" w:ascii="Times New Roman" w:hAnsi="Times New Roman" w:eastAsia="宋体" w:cs="Times New Roman"/>
          <w:color w:val="auto"/>
          <w:highlight w:val="none"/>
          <w:u w:val="none"/>
          <w:lang w:val="en-US" w:eastAsia="zh-CN"/>
        </w:rPr>
        <w:fldChar w:fldCharType="separate"/>
      </w:r>
      <w:r>
        <w:rPr>
          <w:rFonts w:hint="default" w:ascii="Times New Roman" w:hAnsi="Times New Roman" w:eastAsia="宋体" w:cs="Times New Roman"/>
          <w:color w:val="auto"/>
          <w:highlight w:val="none"/>
          <w:u w:val="none"/>
          <w:lang w:val="en-US" w:eastAsia="zh-CN"/>
        </w:rPr>
        <w:t>表5.4-3</w:t>
      </w:r>
      <w:r>
        <w:rPr>
          <w:rFonts w:hint="default" w:ascii="Times New Roman" w:hAnsi="Times New Roman" w:eastAsia="宋体" w:cs="Times New Roman"/>
          <w:color w:val="auto"/>
          <w:highlight w:val="none"/>
          <w:u w:val="none"/>
          <w:lang w:val="en-US" w:eastAsia="zh-CN"/>
        </w:rPr>
        <w:fldChar w:fldCharType="end"/>
      </w:r>
      <w:r>
        <w:rPr>
          <w:rFonts w:hint="default" w:ascii="Times New Roman" w:hAnsi="Times New Roman" w:eastAsia="宋体" w:cs="Times New Roman"/>
          <w:color w:val="auto"/>
          <w:highlight w:val="none"/>
          <w:u w:val="none"/>
          <w:lang w:val="en-US" w:eastAsia="zh-CN"/>
        </w:rPr>
        <w:t>。</w:t>
      </w:r>
    </w:p>
    <w:p>
      <w:pPr>
        <w:pStyle w:val="24"/>
        <w:numPr>
          <w:ilvl w:val="6"/>
          <w:numId w:val="5"/>
        </w:numPr>
        <w:tabs>
          <w:tab w:val="left" w:pos="420"/>
        </w:tabs>
        <w:bidi w:val="0"/>
        <w:rPr>
          <w:rFonts w:hint="default" w:ascii="Times New Roman" w:hAnsi="Times New Roman" w:cs="Times New Roman"/>
          <w:color w:val="auto"/>
          <w:highlight w:val="none"/>
          <w:lang w:val="en-US" w:eastAsia="zh-CN"/>
        </w:rPr>
      </w:pPr>
      <w:bookmarkStart w:id="578" w:name="_Ref23499"/>
      <w:r>
        <w:rPr>
          <w:rFonts w:hint="default" w:ascii="Times New Roman" w:hAnsi="Times New Roman" w:cs="Times New Roman"/>
          <w:color w:val="auto"/>
          <w:highlight w:val="none"/>
          <w:lang w:val="en-US" w:eastAsia="zh-CN"/>
        </w:rPr>
        <w:t>预测区水文地质参数表</w:t>
      </w:r>
      <w:bookmarkEnd w:id="578"/>
    </w:p>
    <w:tbl>
      <w:tblPr>
        <w:tblStyle w:val="18"/>
        <w:tblW w:w="927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1411"/>
        <w:gridCol w:w="1049"/>
        <w:gridCol w:w="901"/>
        <w:gridCol w:w="1417"/>
        <w:gridCol w:w="1590"/>
        <w:gridCol w:w="15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渗透系数（m/d）</w:t>
            </w:r>
          </w:p>
        </w:tc>
        <w:tc>
          <w:tcPr>
            <w:tcW w:w="141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水流速度（m/d）</w:t>
            </w:r>
          </w:p>
        </w:tc>
        <w:tc>
          <w:tcPr>
            <w:tcW w:w="104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有效孔隙度</w:t>
            </w:r>
          </w:p>
        </w:tc>
        <w:tc>
          <w:tcPr>
            <w:tcW w:w="90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水力坡度</w:t>
            </w:r>
          </w:p>
        </w:tc>
        <w:tc>
          <w:tcPr>
            <w:tcW w:w="14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承压含水层厚度（m）</w:t>
            </w:r>
          </w:p>
        </w:tc>
        <w:tc>
          <w:tcPr>
            <w:tcW w:w="15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纵向弥散系数（m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/d）</w:t>
            </w:r>
          </w:p>
        </w:tc>
        <w:tc>
          <w:tcPr>
            <w:tcW w:w="159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横向弥散系数（m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9.6</w:t>
            </w:r>
          </w:p>
        </w:tc>
        <w:tc>
          <w:tcPr>
            <w:tcW w:w="141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0.32</w:t>
            </w:r>
          </w:p>
        </w:tc>
        <w:tc>
          <w:tcPr>
            <w:tcW w:w="104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0.45</w:t>
            </w:r>
          </w:p>
        </w:tc>
        <w:tc>
          <w:tcPr>
            <w:tcW w:w="90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0.015</w:t>
            </w:r>
          </w:p>
        </w:tc>
        <w:tc>
          <w:tcPr>
            <w:tcW w:w="14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2.8</w:t>
            </w:r>
          </w:p>
        </w:tc>
        <w:tc>
          <w:tcPr>
            <w:tcW w:w="15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0.32</w:t>
            </w:r>
          </w:p>
        </w:tc>
        <w:tc>
          <w:tcPr>
            <w:tcW w:w="1591"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0.032</w:t>
            </w:r>
          </w:p>
        </w:tc>
      </w:tr>
    </w:tbl>
    <w:p>
      <w:pPr>
        <w:ind w:firstLine="480"/>
        <w:rPr>
          <w:rFonts w:hint="default" w:ascii="Times New Roman" w:hAnsi="Times New Roman" w:eastAsia="宋体" w:cs="Times New Roman"/>
          <w:color w:val="auto"/>
          <w:szCs w:val="24"/>
          <w:highlight w:val="none"/>
          <w:u w:val="none"/>
          <w:lang w:val="en-US" w:eastAsia="zh-CN"/>
        </w:rPr>
      </w:pPr>
      <w:r>
        <w:rPr>
          <w:rFonts w:hint="default" w:ascii="Times New Roman" w:hAnsi="Times New Roman" w:eastAsia="宋体" w:cs="Times New Roman"/>
          <w:color w:val="auto"/>
          <w:highlight w:val="none"/>
          <w:u w:val="none"/>
          <w:lang w:eastAsia="zh-CN"/>
        </w:rPr>
        <w:t>（</w:t>
      </w:r>
      <w:r>
        <w:rPr>
          <w:rFonts w:hint="default" w:ascii="Times New Roman" w:hAnsi="Times New Roman" w:eastAsia="宋体" w:cs="Times New Roman"/>
          <w:color w:val="auto"/>
          <w:highlight w:val="none"/>
          <w:u w:val="none"/>
          <w:lang w:val="en-US" w:eastAsia="zh-CN"/>
        </w:rPr>
        <w:t>7</w:t>
      </w:r>
      <w:r>
        <w:rPr>
          <w:rFonts w:hint="default" w:ascii="Times New Roman" w:hAnsi="Times New Roman" w:eastAsia="宋体" w:cs="Times New Roman"/>
          <w:color w:val="auto"/>
          <w:highlight w:val="none"/>
          <w:u w:val="none"/>
          <w:lang w:eastAsia="zh-CN"/>
        </w:rPr>
        <w:t>）</w:t>
      </w:r>
      <w:r>
        <w:rPr>
          <w:rFonts w:hint="default" w:ascii="Times New Roman" w:hAnsi="Times New Roman" w:eastAsia="宋体" w:cs="Times New Roman"/>
          <w:color w:val="auto"/>
          <w:highlight w:val="none"/>
          <w:u w:val="none"/>
        </w:rPr>
        <w:t>预测</w:t>
      </w:r>
      <w:r>
        <w:rPr>
          <w:rFonts w:hint="default" w:ascii="Times New Roman" w:hAnsi="Times New Roman" w:eastAsia="宋体" w:cs="Times New Roman"/>
          <w:color w:val="auto"/>
          <w:highlight w:val="none"/>
          <w:u w:val="none"/>
          <w:lang w:val="en-US" w:eastAsia="zh-CN"/>
        </w:rPr>
        <w:t>结果与评价</w:t>
      </w:r>
    </w:p>
    <w:p>
      <w:pPr>
        <w:spacing w:after="0" w:line="360" w:lineRule="auto"/>
        <w:ind w:firstLine="480" w:firstLineChars="200"/>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highlight w:val="none"/>
          <w:u w:val="none"/>
        </w:rPr>
        <w:t>将上述</w:t>
      </w:r>
      <w:r>
        <w:rPr>
          <w:rFonts w:hint="default" w:ascii="Times New Roman" w:hAnsi="Times New Roman" w:eastAsia="宋体" w:cs="Times New Roman"/>
          <w:color w:val="auto"/>
          <w:sz w:val="24"/>
          <w:szCs w:val="24"/>
          <w:highlight w:val="none"/>
          <w:u w:val="none"/>
          <w:lang w:val="en-US" w:eastAsia="zh-CN"/>
        </w:rPr>
        <w:t>水文地质</w:t>
      </w:r>
      <w:r>
        <w:rPr>
          <w:rFonts w:hint="default" w:ascii="Times New Roman" w:hAnsi="Times New Roman" w:eastAsia="宋体" w:cs="Times New Roman"/>
          <w:color w:val="auto"/>
          <w:sz w:val="24"/>
          <w:szCs w:val="24"/>
          <w:highlight w:val="none"/>
          <w:u w:val="none"/>
        </w:rPr>
        <w:t>参数和源强</w:t>
      </w:r>
      <w:r>
        <w:rPr>
          <w:rFonts w:hint="default" w:ascii="Times New Roman" w:hAnsi="Times New Roman" w:cs="Times New Roman"/>
          <w:color w:val="auto"/>
          <w:highlight w:val="none"/>
        </w:rPr>
        <w:t>代入“</w:t>
      </w:r>
      <w:r>
        <w:rPr>
          <w:rFonts w:hint="default" w:ascii="Times New Roman" w:hAnsi="Times New Roman" w:cs="Times New Roman"/>
          <w:color w:val="auto"/>
          <w:highlight w:val="none"/>
          <w:lang w:val="en-US" w:eastAsia="zh-CN"/>
        </w:rPr>
        <w:t>瞬时注入示踪剂——平面瞬时点源</w:t>
      </w:r>
      <w:r>
        <w:rPr>
          <w:rFonts w:hint="default" w:ascii="Times New Roman" w:hAnsi="Times New Roman" w:cs="Times New Roman"/>
          <w:color w:val="auto"/>
          <w:highlight w:val="none"/>
        </w:rPr>
        <w:t>”模</w:t>
      </w:r>
      <w:r>
        <w:rPr>
          <w:rFonts w:hint="default" w:ascii="Times New Roman" w:hAnsi="Times New Roman" w:eastAsia="宋体" w:cs="Times New Roman"/>
          <w:color w:val="auto"/>
          <w:sz w:val="24"/>
          <w:szCs w:val="24"/>
          <w:highlight w:val="none"/>
          <w:u w:val="none"/>
        </w:rPr>
        <w:t>型公式，预测不同时刻COD的超标范围和影响范围</w:t>
      </w:r>
      <w:r>
        <w:rPr>
          <w:rFonts w:hint="default" w:ascii="Times New Roman" w:hAnsi="Times New Roman" w:eastAsia="宋体" w:cs="Times New Roman"/>
          <w:color w:val="auto"/>
          <w:sz w:val="24"/>
          <w:szCs w:val="24"/>
          <w:highlight w:val="none"/>
          <w:u w:val="none"/>
          <w:lang w:eastAsia="zh-CN"/>
        </w:rPr>
        <w:t>。</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①泄漏发生后100 d</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污染中心点COD浓度为</w:t>
      </w:r>
      <w:r>
        <w:rPr>
          <w:rFonts w:hint="eastAsia" w:cs="Times New Roman"/>
          <w:color w:val="auto"/>
          <w:highlight w:val="none"/>
          <w:lang w:val="en-US" w:eastAsia="zh-CN"/>
        </w:rPr>
        <w:t>4.95</w:t>
      </w:r>
      <w:r>
        <w:rPr>
          <w:rFonts w:hint="default" w:ascii="Times New Roman" w:hAnsi="Times New Roman" w:cs="Times New Roman"/>
          <w:color w:val="auto"/>
          <w:highlight w:val="none"/>
          <w:lang w:val="en-US" w:eastAsia="zh-CN"/>
        </w:rPr>
        <w:t xml:space="preserve"> mg/L，</w:t>
      </w:r>
      <w:r>
        <w:rPr>
          <w:rFonts w:hint="eastAsia" w:cs="Times New Roman"/>
          <w:color w:val="auto"/>
          <w:highlight w:val="none"/>
          <w:lang w:val="en-US" w:eastAsia="zh-CN"/>
        </w:rPr>
        <w:t>大于</w:t>
      </w:r>
      <w:r>
        <w:rPr>
          <w:rFonts w:hint="default" w:ascii="Times New Roman" w:hAnsi="Times New Roman" w:cs="Times New Roman"/>
          <w:color w:val="auto"/>
          <w:highlight w:val="none"/>
          <w:lang w:val="en-US" w:eastAsia="zh-CN"/>
        </w:rPr>
        <w:t>标准值3.0 mg/L，超标</w:t>
      </w:r>
      <w:r>
        <w:rPr>
          <w:rFonts w:hint="eastAsia" w:cs="Times New Roman"/>
          <w:color w:val="auto"/>
          <w:highlight w:val="none"/>
          <w:lang w:val="en-US" w:eastAsia="zh-CN"/>
        </w:rPr>
        <w:t>距离最远为41 m</w:t>
      </w:r>
      <w:r>
        <w:rPr>
          <w:rFonts w:hint="default" w:ascii="Times New Roman" w:hAnsi="Times New Roman" w:cs="Times New Roman"/>
          <w:color w:val="auto"/>
          <w:highlight w:val="none"/>
          <w:lang w:val="en-US" w:eastAsia="zh-CN"/>
        </w:rPr>
        <w:t>；影响距离最远为下游</w:t>
      </w:r>
      <w:r>
        <w:rPr>
          <w:rFonts w:hint="eastAsia" w:cs="Times New Roman"/>
          <w:color w:val="auto"/>
          <w:highlight w:val="none"/>
          <w:lang w:val="en-US" w:eastAsia="zh-CN"/>
        </w:rPr>
        <w:t>57</w:t>
      </w:r>
      <w:r>
        <w:rPr>
          <w:rFonts w:hint="default" w:ascii="Times New Roman" w:hAnsi="Times New Roman" w:cs="Times New Roman"/>
          <w:color w:val="auto"/>
          <w:highlight w:val="none"/>
          <w:lang w:val="en-US" w:eastAsia="zh-CN"/>
        </w:rPr>
        <w:t xml:space="preserve"> m。</w:t>
      </w:r>
    </w:p>
    <w:p>
      <w:pPr>
        <w:bidi w:val="0"/>
        <w:rPr>
          <w:rFonts w:hint="default" w:ascii="Times New Roman" w:hAnsi="Times New Roman" w:cs="Times New Roman"/>
          <w:strike w:val="0"/>
          <w:dstrike w:val="0"/>
          <w:color w:val="auto"/>
          <w:highlight w:val="none"/>
          <w:u w:val="none"/>
          <w:lang w:val="en-US" w:eastAsia="zh-CN"/>
        </w:rPr>
      </w:pPr>
      <w:r>
        <w:rPr>
          <w:rFonts w:hint="default" w:ascii="Times New Roman" w:hAnsi="Times New Roman" w:cs="Times New Roman"/>
          <w:strike w:val="0"/>
          <w:dstrike w:val="0"/>
          <w:color w:val="auto"/>
          <w:highlight w:val="none"/>
          <w:u w:val="none"/>
          <w:lang w:val="en-US" w:eastAsia="zh-CN"/>
        </w:rPr>
        <w:t>②泄漏发生后1000 d</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a.污染中心点COD浓度为0</w:t>
      </w:r>
      <w:r>
        <w:rPr>
          <w:rFonts w:hint="eastAsia" w:cs="Times New Roman"/>
          <w:color w:val="auto"/>
          <w:highlight w:val="none"/>
          <w:lang w:val="en-US" w:eastAsia="zh-CN"/>
        </w:rPr>
        <w:t>.495</w:t>
      </w:r>
      <w:r>
        <w:rPr>
          <w:rFonts w:hint="default" w:ascii="Times New Roman" w:hAnsi="Times New Roman" w:cs="Times New Roman"/>
          <w:color w:val="auto"/>
          <w:highlight w:val="none"/>
          <w:lang w:val="en-US" w:eastAsia="zh-CN"/>
        </w:rPr>
        <w:t xml:space="preserve"> mg/L，小于标准值3.0 mg/L，未超标；影响距离最远为下游3</w:t>
      </w:r>
      <w:r>
        <w:rPr>
          <w:rFonts w:hint="eastAsia" w:cs="Times New Roman"/>
          <w:color w:val="auto"/>
          <w:highlight w:val="none"/>
          <w:lang w:val="en-US" w:eastAsia="zh-CN"/>
        </w:rPr>
        <w:t>75</w:t>
      </w:r>
      <w:r>
        <w:rPr>
          <w:rFonts w:hint="default" w:ascii="Times New Roman" w:hAnsi="Times New Roman" w:cs="Times New Roman"/>
          <w:color w:val="auto"/>
          <w:highlight w:val="none"/>
          <w:lang w:val="en-US" w:eastAsia="zh-CN"/>
        </w:rPr>
        <w:t xml:space="preserve"> m。</w:t>
      </w:r>
    </w:p>
    <w:p>
      <w:pPr>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rPr>
        <w:t>污水处理站调节池</w:t>
      </w:r>
      <w:r>
        <w:rPr>
          <w:rFonts w:hint="default" w:ascii="Times New Roman" w:hAnsi="Times New Roman" w:cs="Times New Roman"/>
          <w:b w:val="0"/>
          <w:bCs w:val="0"/>
          <w:color w:val="auto"/>
          <w:highlight w:val="none"/>
          <w:lang w:val="en-US" w:eastAsia="zh-CN"/>
        </w:rPr>
        <w:t>中COD泄漏后100 d、1</w:t>
      </w:r>
      <w:r>
        <w:rPr>
          <w:rFonts w:hint="default" w:ascii="Times New Roman" w:hAnsi="Times New Roman" w:cs="Times New Roman"/>
          <w:color w:val="auto"/>
          <w:highlight w:val="none"/>
          <w:lang w:val="en-US" w:eastAsia="zh-CN"/>
        </w:rPr>
        <w:t>000 d预测结果详见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_Ref27365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表5.4-4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_Ref27375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表5.4-5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5"/>
        </w:numPr>
        <w:tabs>
          <w:tab w:val="left" w:pos="420"/>
        </w:tabs>
        <w:bidi w:val="0"/>
        <w:rPr>
          <w:rFonts w:hint="default" w:ascii="Times New Roman" w:hAnsi="Times New Roman" w:cs="Times New Roman"/>
          <w:color w:val="auto"/>
          <w:highlight w:val="none"/>
          <w:lang w:val="en-US" w:eastAsia="zh-CN"/>
        </w:rPr>
      </w:pPr>
      <w:bookmarkStart w:id="579" w:name="_Ref27365"/>
      <w:r>
        <w:rPr>
          <w:rFonts w:hint="default" w:ascii="Times New Roman" w:hAnsi="Times New Roman" w:cs="Times New Roman"/>
          <w:color w:val="auto"/>
          <w:highlight w:val="none"/>
        </w:rPr>
        <w:t>污水处理站调节池</w:t>
      </w:r>
      <w:r>
        <w:rPr>
          <w:rFonts w:hint="default" w:ascii="Times New Roman" w:hAnsi="Times New Roman" w:cs="Times New Roman"/>
          <w:color w:val="auto"/>
          <w:highlight w:val="none"/>
          <w:lang w:val="en-US" w:eastAsia="zh-CN"/>
        </w:rPr>
        <w:t>泄漏100 d后COD浓度预测结果</w:t>
      </w:r>
      <w:bookmarkEnd w:id="579"/>
    </w:p>
    <w:p>
      <w:pPr>
        <w:bidi w:val="0"/>
        <w:jc w:val="right"/>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单位：mg/L</w:t>
      </w:r>
    </w:p>
    <w:tbl>
      <w:tblPr>
        <w:tblStyle w:val="18"/>
        <w:tblW w:w="927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1"/>
        <w:gridCol w:w="1413"/>
        <w:gridCol w:w="2300"/>
        <w:gridCol w:w="2300"/>
        <w:gridCol w:w="23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374" w:type="dxa"/>
            <w:gridSpan w:val="2"/>
            <w:vMerge w:val="restart"/>
            <w:tcBorders>
              <w:tl2br w:val="single" w:color="auto" w:sz="2" w:space="0"/>
            </w:tcBorders>
            <w:vAlign w:val="center"/>
          </w:tcPr>
          <w:p>
            <w:pPr>
              <w:pStyle w:val="21"/>
              <w:keepNext w:val="0"/>
              <w:keepLines w:val="0"/>
              <w:widowControl w:val="0"/>
              <w:suppressLineNumbers w:val="0"/>
              <w:bidi w:val="0"/>
              <w:spacing w:before="0" w:beforeAutospacing="0" w:after="0" w:afterAutospacing="0"/>
              <w:ind w:right="0"/>
              <w:jc w:val="righ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纵向距离</w:t>
            </w:r>
          </w:p>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横向距离</w:t>
            </w:r>
          </w:p>
        </w:tc>
        <w:tc>
          <w:tcPr>
            <w:tcW w:w="6905"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纵向（m）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374" w:type="dxa"/>
            <w:gridSpan w:val="2"/>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横向（m）</w:t>
            </w: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0.0017</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0.0002</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0.0166</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0.0024</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0.1129</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0.0160</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0.5179</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0.0735</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1.6078</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0.2280</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3.3772</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0.4790</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4.8000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0.6808</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4.6161</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0.6547</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3.0038</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0.4260</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1.3225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0.1876</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0.3940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0.0559</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0.0794</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0.0113</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0.0108</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0.0015</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0.0001</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1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c>
          <w:tcPr>
            <w:tcW w:w="230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c>
          <w:tcPr>
            <w:tcW w:w="230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bl>
    <w:p>
      <w:pPr>
        <w:pStyle w:val="24"/>
        <w:numPr>
          <w:ilvl w:val="6"/>
          <w:numId w:val="5"/>
        </w:numPr>
        <w:tabs>
          <w:tab w:val="left" w:pos="420"/>
        </w:tabs>
        <w:bidi w:val="0"/>
        <w:rPr>
          <w:rFonts w:hint="default" w:ascii="Times New Roman" w:hAnsi="Times New Roman" w:cs="Times New Roman"/>
          <w:color w:val="auto"/>
          <w:highlight w:val="none"/>
          <w:lang w:val="en-US" w:eastAsia="zh-CN"/>
        </w:rPr>
      </w:pPr>
      <w:bookmarkStart w:id="580" w:name="_Ref27375"/>
      <w:r>
        <w:rPr>
          <w:rFonts w:hint="default" w:ascii="Times New Roman" w:hAnsi="Times New Roman" w:cs="Times New Roman"/>
          <w:color w:val="auto"/>
          <w:highlight w:val="none"/>
        </w:rPr>
        <w:t>污水处理站调节池</w:t>
      </w:r>
      <w:r>
        <w:rPr>
          <w:rFonts w:hint="default" w:ascii="Times New Roman" w:hAnsi="Times New Roman" w:cs="Times New Roman"/>
          <w:color w:val="auto"/>
          <w:highlight w:val="none"/>
          <w:lang w:val="en-US" w:eastAsia="zh-CN"/>
        </w:rPr>
        <w:t>泄漏1000 d后COD浓度预测结果</w:t>
      </w:r>
      <w:bookmarkEnd w:id="580"/>
    </w:p>
    <w:p>
      <w:pPr>
        <w:bidi w:val="0"/>
        <w:jc w:val="righ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单位：mg/L</w:t>
      </w:r>
    </w:p>
    <w:tbl>
      <w:tblPr>
        <w:tblStyle w:val="18"/>
        <w:tblW w:w="928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1408"/>
        <w:gridCol w:w="1692"/>
        <w:gridCol w:w="1692"/>
        <w:gridCol w:w="1697"/>
        <w:gridCol w:w="17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00" w:type="dxa"/>
            <w:gridSpan w:val="2"/>
            <w:vMerge w:val="restart"/>
            <w:tcBorders>
              <w:tl2br w:val="single" w:color="auto" w:sz="2" w:space="0"/>
            </w:tcBorders>
            <w:vAlign w:val="center"/>
          </w:tcPr>
          <w:p>
            <w:pPr>
              <w:pStyle w:val="21"/>
              <w:keepNext w:val="0"/>
              <w:keepLines w:val="0"/>
              <w:widowControl w:val="0"/>
              <w:suppressLineNumbers w:val="0"/>
              <w:bidi w:val="0"/>
              <w:spacing w:before="0" w:beforeAutospacing="0" w:after="0" w:afterAutospacing="0"/>
              <w:ind w:right="0"/>
              <w:jc w:val="righ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纵向距离</w:t>
            </w:r>
          </w:p>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横向距离</w:t>
            </w:r>
          </w:p>
        </w:tc>
        <w:tc>
          <w:tcPr>
            <w:tcW w:w="6784" w:type="dxa"/>
            <w:gridSpan w:val="4"/>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纵向（m）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00" w:type="dxa"/>
            <w:gridSpan w:val="2"/>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横向（m）</w:t>
            </w: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r>
              <w:rPr>
                <w:rFonts w:hint="eastAsia" w:cs="Times New Roman"/>
                <w:color w:val="auto"/>
                <w:szCs w:val="20"/>
                <w:highlight w:val="none"/>
                <w:lang w:val="en-US" w:eastAsia="zh-CN"/>
              </w:rPr>
              <w:t>16</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0.0001</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240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0033</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0.0027</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0.0015</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260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cs="Times New Roman"/>
                <w:color w:val="auto"/>
                <w:kern w:val="2"/>
                <w:sz w:val="21"/>
                <w:szCs w:val="21"/>
                <w:highlight w:val="none"/>
                <w:lang w:val="en-US" w:eastAsia="zh-CN" w:bidi="ar-SA"/>
              </w:rPr>
              <w:t>297</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0.0245</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0.0136</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280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0.1419</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0.1167</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0.0650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0.3623</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0.2980</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0.1659</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320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0.4952</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0.4074</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0.2267</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0.0218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330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0.4952</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0.3768</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0.2100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0.0201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340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0.3623</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0.2980</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0.1659</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0.2452</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0.2017</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0.1122</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360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0.1419</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0.1167</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0.0650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370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0.0702</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0.0578</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0.0322</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380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0.0297</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0.0245</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0.0136</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390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0.0108</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0.0089</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0.0049</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0.0033</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0.0027</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0.0015</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410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0.0009</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0.0007</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0.0004</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40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r>
              <w:rPr>
                <w:rFonts w:hint="eastAsia" w:cs="Times New Roman"/>
                <w:color w:val="auto"/>
                <w:szCs w:val="20"/>
                <w:highlight w:val="none"/>
                <w:lang w:val="en-US" w:eastAsia="zh-CN"/>
              </w:rPr>
              <w:t>3</w:t>
            </w:r>
            <w:r>
              <w:rPr>
                <w:rFonts w:hint="default" w:ascii="Times New Roman" w:hAnsi="Times New Roman" w:cs="Times New Roman"/>
                <w:color w:val="auto"/>
                <w:szCs w:val="20"/>
                <w:highlight w:val="none"/>
                <w:lang w:val="en-US" w:eastAsia="zh-CN"/>
              </w:rPr>
              <w:t>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6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69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c>
          <w:tcPr>
            <w:tcW w:w="170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r>
    </w:tbl>
    <w:p>
      <w:pPr>
        <w:ind w:firstLine="48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u w:val="none"/>
          <w:lang w:val="en-US" w:eastAsia="zh-CN"/>
        </w:rPr>
        <w:t>由</w:t>
      </w:r>
      <w:r>
        <w:rPr>
          <w:rFonts w:hint="default" w:ascii="Times New Roman" w:hAnsi="Times New Roman" w:eastAsia="宋体" w:cs="Times New Roman"/>
          <w:b w:val="0"/>
          <w:bCs w:val="0"/>
          <w:color w:val="auto"/>
          <w:highlight w:val="none"/>
          <w:u w:val="none"/>
        </w:rPr>
        <w:t>预测</w:t>
      </w:r>
      <w:r>
        <w:rPr>
          <w:rFonts w:hint="default" w:ascii="Times New Roman" w:hAnsi="Times New Roman" w:eastAsia="宋体" w:cs="Times New Roman"/>
          <w:b w:val="0"/>
          <w:bCs w:val="0"/>
          <w:color w:val="auto"/>
          <w:highlight w:val="none"/>
          <w:u w:val="none"/>
        </w:rPr>
        <w:t>结果表明，</w:t>
      </w:r>
      <w:r>
        <w:rPr>
          <w:rFonts w:hint="default" w:ascii="Times New Roman" w:hAnsi="Times New Roman" w:cs="Times New Roman"/>
          <w:b w:val="0"/>
          <w:bCs w:val="0"/>
          <w:color w:val="auto"/>
          <w:highlight w:val="none"/>
          <w:u w:val="none"/>
          <w:lang w:val="en-US" w:eastAsia="zh-CN"/>
        </w:rPr>
        <w:t>污</w:t>
      </w:r>
      <w:r>
        <w:rPr>
          <w:rFonts w:hint="default" w:ascii="Times New Roman" w:hAnsi="Times New Roman" w:cs="Times New Roman"/>
          <w:b w:val="0"/>
          <w:bCs w:val="0"/>
          <w:color w:val="auto"/>
          <w:highlight w:val="none"/>
        </w:rPr>
        <w:t>水处理站调节池底部破损</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在设置的泄漏情景下：泄漏发生后100 d、1000 d时，COD影响范围不断扩大</w:t>
      </w:r>
      <w:r>
        <w:rPr>
          <w:rFonts w:hint="eastAsia" w:cs="Times New Roman"/>
          <w:b w:val="0"/>
          <w:bCs w:val="0"/>
          <w:color w:val="auto"/>
          <w:highlight w:val="none"/>
          <w:lang w:val="en-US" w:eastAsia="zh-CN"/>
        </w:rPr>
        <w:t>（其中泄漏发生后100 d时，超标距离最远为41 m；泄漏发生后1000 d时未出现超标）</w:t>
      </w:r>
      <w:r>
        <w:rPr>
          <w:rFonts w:hint="default" w:ascii="Times New Roman" w:hAnsi="Times New Roman" w:cs="Times New Roman"/>
          <w:b w:val="0"/>
          <w:bCs w:val="0"/>
          <w:color w:val="auto"/>
          <w:highlight w:val="none"/>
          <w:lang w:val="en-US" w:eastAsia="zh-CN"/>
        </w:rPr>
        <w:t>，影响距离最远分别为下游5</w:t>
      </w:r>
      <w:r>
        <w:rPr>
          <w:rFonts w:hint="eastAsia" w:cs="Times New Roman"/>
          <w:b w:val="0"/>
          <w:bCs w:val="0"/>
          <w:color w:val="auto"/>
          <w:highlight w:val="none"/>
          <w:lang w:val="en-US" w:eastAsia="zh-CN"/>
        </w:rPr>
        <w:t>7</w:t>
      </w:r>
      <w:r>
        <w:rPr>
          <w:rFonts w:hint="default" w:ascii="Times New Roman" w:hAnsi="Times New Roman" w:cs="Times New Roman"/>
          <w:b w:val="0"/>
          <w:bCs w:val="0"/>
          <w:color w:val="auto"/>
          <w:highlight w:val="none"/>
          <w:lang w:val="en-US" w:eastAsia="zh-CN"/>
        </w:rPr>
        <w:t xml:space="preserve"> m、3</w:t>
      </w:r>
      <w:r>
        <w:rPr>
          <w:rFonts w:hint="eastAsia" w:cs="Times New Roman"/>
          <w:b w:val="0"/>
          <w:bCs w:val="0"/>
          <w:color w:val="auto"/>
          <w:highlight w:val="none"/>
          <w:lang w:val="en-US" w:eastAsia="zh-CN"/>
        </w:rPr>
        <w:t xml:space="preserve">75 </w:t>
      </w:r>
      <w:r>
        <w:rPr>
          <w:rFonts w:hint="default" w:ascii="Times New Roman" w:hAnsi="Times New Roman" w:cs="Times New Roman"/>
          <w:b w:val="0"/>
          <w:bCs w:val="0"/>
          <w:color w:val="auto"/>
          <w:highlight w:val="none"/>
          <w:lang w:val="en-US" w:eastAsia="zh-CN"/>
        </w:rPr>
        <w:t>m。</w:t>
      </w:r>
    </w:p>
    <w:p>
      <w:pPr>
        <w:ind w:firstLine="48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在非正常状况下，污染物会先进入土壤而后通过下渗污染地下水，随后随着地下水的运移方向运移，进而影响地下水水质。本项目厂界与南侧猫垅溪距离约15 m，与南侧牙城湾距离约200 m，根据地下水现状监测数据，南侧D3一层村高锰酸盐指数为2.44 mg/L，根据预测结果，当渗漏发生100 d后，泄漏点附近地下水中的污染物浓度升高，在叠加背景值后</w:t>
      </w:r>
      <w:r>
        <w:rPr>
          <w:rFonts w:hint="eastAsia" w:cs="Times New Roman"/>
          <w:b w:val="0"/>
          <w:bCs w:val="0"/>
          <w:color w:val="auto"/>
          <w:highlight w:val="none"/>
          <w:lang w:val="en-US" w:eastAsia="zh-CN"/>
        </w:rPr>
        <w:t>（叠加后COD污染中心点浓度7.39 mg/L）</w:t>
      </w:r>
      <w:r>
        <w:rPr>
          <w:rFonts w:hint="default" w:ascii="Times New Roman" w:hAnsi="Times New Roman" w:cs="Times New Roman"/>
          <w:b w:val="0"/>
          <w:bCs w:val="0"/>
          <w:color w:val="auto"/>
          <w:highlight w:val="none"/>
          <w:lang w:val="en-US" w:eastAsia="zh-CN"/>
        </w:rPr>
        <w:t>，部分区域可能会出现超标</w:t>
      </w:r>
      <w:r>
        <w:rPr>
          <w:rFonts w:hint="eastAsia" w:cs="Times New Roman"/>
          <w:b w:val="0"/>
          <w:bCs w:val="0"/>
          <w:color w:val="auto"/>
          <w:highlight w:val="none"/>
          <w:lang w:val="en-US" w:eastAsia="zh-CN"/>
        </w:rPr>
        <w:t>现象</w:t>
      </w:r>
      <w:r>
        <w:rPr>
          <w:rFonts w:hint="default" w:ascii="Times New Roman" w:hAnsi="Times New Roman" w:cs="Times New Roman"/>
          <w:b w:val="0"/>
          <w:bCs w:val="0"/>
          <w:color w:val="auto"/>
          <w:highlight w:val="none"/>
          <w:lang w:val="en-US" w:eastAsia="zh-CN"/>
        </w:rPr>
        <w:t>，进而可能导致猫垅溪和牙城湾水质变差。因此，建设单位应严格落实扩建工程地下水污染防治措施，将地下水污染事故发生的可能性降到最低。</w:t>
      </w:r>
    </w:p>
    <w:p>
      <w:pPr>
        <w:pStyle w:val="4"/>
        <w:numPr>
          <w:ilvl w:val="2"/>
          <w:numId w:val="5"/>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小结</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项目在严格按工程设计和环保要求对各工程及生产场所采取切实有效的防渗措施，并按设计建设、运行，正常状况下，基本不会造成地下水污染；在非正常状况下，根据预测</w:t>
      </w:r>
      <w:r>
        <w:rPr>
          <w:rFonts w:hint="default" w:ascii="Times New Roman" w:hAnsi="Times New Roman" w:cs="Times New Roman"/>
          <w:color w:val="auto"/>
          <w:highlight w:val="none"/>
          <w:lang w:val="en-US" w:eastAsia="zh-CN"/>
        </w:rPr>
        <w:t>结果，发生泄漏后会对区域地下水造成一定的影响，在叠加现状背景值后</w:t>
      </w:r>
      <w:r>
        <w:rPr>
          <w:rFonts w:hint="eastAsia" w:cs="Times New Roman"/>
          <w:b w:val="0"/>
          <w:bCs w:val="0"/>
          <w:color w:val="auto"/>
          <w:highlight w:val="none"/>
          <w:lang w:val="en-US" w:eastAsia="zh-CN"/>
        </w:rPr>
        <w:t>（叠加后污染中心点浓度7.39 mg/L）</w:t>
      </w:r>
      <w:r>
        <w:rPr>
          <w:rFonts w:hint="default" w:ascii="Times New Roman" w:hAnsi="Times New Roman" w:cs="Times New Roman"/>
          <w:color w:val="auto"/>
          <w:highlight w:val="none"/>
          <w:lang w:val="en-US" w:eastAsia="zh-CN"/>
        </w:rPr>
        <w:t>，可能</w:t>
      </w:r>
      <w:r>
        <w:rPr>
          <w:rFonts w:hint="default" w:ascii="Times New Roman" w:hAnsi="Times New Roman" w:cs="Times New Roman"/>
          <w:color w:val="auto"/>
          <w:highlight w:val="none"/>
          <w:lang w:val="en-US" w:eastAsia="zh-CN"/>
        </w:rPr>
        <w:t>会造成部分区域地下水超标，因本项目距离猫垅溪和牙城湾较近，当发生渗漏后，也可能会对其产生一定的影响。因此，建设单位在严格按照工程设计、环保要求和防渗要求，做好相应的水平防渗措施，并加强风向管理的前提下，本项目的建设对区域地下水的影响是可控的，能接受的。</w:t>
      </w:r>
    </w:p>
    <w:p>
      <w:pPr>
        <w:pStyle w:val="3"/>
        <w:numPr>
          <w:ilvl w:val="1"/>
          <w:numId w:val="5"/>
        </w:numPr>
        <w:bidi w:val="0"/>
        <w:rPr>
          <w:rFonts w:hint="default" w:ascii="Times New Roman" w:hAnsi="Times New Roman" w:cs="Times New Roman"/>
          <w:color w:val="auto"/>
          <w:highlight w:val="none"/>
          <w:lang w:val="en-US" w:eastAsia="zh-CN"/>
        </w:rPr>
      </w:pPr>
      <w:bookmarkStart w:id="581" w:name="_Toc4961"/>
      <w:bookmarkStart w:id="582" w:name="_Toc15842"/>
      <w:bookmarkStart w:id="583" w:name="_Toc8664"/>
      <w:bookmarkStart w:id="584" w:name="_Toc18607"/>
      <w:r>
        <w:rPr>
          <w:rFonts w:hint="default" w:ascii="Times New Roman" w:hAnsi="Times New Roman" w:cs="Times New Roman"/>
          <w:color w:val="auto"/>
          <w:highlight w:val="none"/>
          <w:lang w:val="en-US" w:eastAsia="zh-CN"/>
        </w:rPr>
        <w:t>运营期声环境影响预测与评价</w:t>
      </w:r>
      <w:bookmarkEnd w:id="581"/>
      <w:bookmarkEnd w:id="582"/>
      <w:bookmarkEnd w:id="583"/>
      <w:bookmarkEnd w:id="584"/>
    </w:p>
    <w:p>
      <w:pPr>
        <w:pStyle w:val="4"/>
        <w:numPr>
          <w:ilvl w:val="2"/>
          <w:numId w:val="5"/>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噪声源强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本项目高噪声主要来自各车间各类设备产生的噪声，主要噪声源见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_Ref2725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5"/>
        </w:numPr>
        <w:tabs>
          <w:tab w:val="left" w:pos="420"/>
        </w:tabs>
        <w:bidi w:val="0"/>
        <w:rPr>
          <w:rFonts w:hint="default" w:ascii="Times New Roman" w:hAnsi="Times New Roman" w:cs="Times New Roman"/>
          <w:color w:val="auto"/>
          <w:highlight w:val="none"/>
          <w:lang w:val="en-US" w:eastAsia="zh-CN"/>
        </w:rPr>
      </w:pPr>
      <w:bookmarkStart w:id="585" w:name="_Ref2725"/>
      <w:r>
        <w:rPr>
          <w:rFonts w:hint="default" w:ascii="Times New Roman" w:hAnsi="Times New Roman" w:cs="Times New Roman"/>
          <w:color w:val="auto"/>
          <w:highlight w:val="none"/>
          <w:lang w:val="en-US" w:eastAsia="zh-CN"/>
        </w:rPr>
        <w:t>本项目主要设备噪声源强一览表</w:t>
      </w:r>
      <w:bookmarkEnd w:id="585"/>
    </w:p>
    <w:tbl>
      <w:tblPr>
        <w:tblStyle w:val="18"/>
        <w:tblW w:w="923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7"/>
        <w:gridCol w:w="1582"/>
        <w:gridCol w:w="1054"/>
        <w:gridCol w:w="1355"/>
        <w:gridCol w:w="1492"/>
        <w:gridCol w:w="1492"/>
        <w:gridCol w:w="1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887"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编号</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设备名称</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数量</w:t>
            </w:r>
          </w:p>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（套）</w:t>
            </w:r>
          </w:p>
        </w:tc>
        <w:tc>
          <w:tcPr>
            <w:tcW w:w="135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单台</w:t>
            </w:r>
            <w:r>
              <w:rPr>
                <w:rFonts w:hint="default" w:ascii="Times New Roman" w:hAnsi="Times New Roman" w:eastAsia="宋体" w:cs="Times New Roman"/>
                <w:b w:val="0"/>
                <w:bCs w:val="0"/>
                <w:color w:val="auto"/>
                <w:kern w:val="2"/>
                <w:sz w:val="21"/>
                <w:szCs w:val="21"/>
                <w:highlight w:val="none"/>
                <w:lang w:val="en-US" w:eastAsia="zh-CN" w:bidi="ar-SA"/>
              </w:rPr>
              <w:t>噪声源强（dB（A））</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降噪后单台噪声源强</w:t>
            </w:r>
            <w:r>
              <w:rPr>
                <w:rFonts w:hint="default" w:ascii="Times New Roman" w:hAnsi="Times New Roman" w:eastAsia="宋体" w:cs="Times New Roman"/>
                <w:b w:val="0"/>
                <w:bCs w:val="0"/>
                <w:color w:val="auto"/>
                <w:kern w:val="2"/>
                <w:sz w:val="21"/>
                <w:szCs w:val="21"/>
                <w:highlight w:val="none"/>
                <w:lang w:val="en-US" w:eastAsia="zh-CN" w:bidi="ar-SA"/>
              </w:rPr>
              <w:t>（dB（A））</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降噪后同类设备叠加</w:t>
            </w:r>
            <w:r>
              <w:rPr>
                <w:rFonts w:hint="default" w:ascii="Times New Roman" w:hAnsi="Times New Roman" w:eastAsia="宋体" w:cs="Times New Roman"/>
                <w:b w:val="0"/>
                <w:bCs w:val="0"/>
                <w:color w:val="auto"/>
                <w:kern w:val="2"/>
                <w:sz w:val="21"/>
                <w:szCs w:val="21"/>
                <w:highlight w:val="none"/>
                <w:lang w:val="en-US" w:eastAsia="zh-CN" w:bidi="ar-SA"/>
              </w:rPr>
              <w:t>噪声源强（dB（A））</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N1</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粉碎机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75.0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前纺楼6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N2</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摩擦机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75.0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前纺楼6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N3</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喂料机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64.0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前纺楼5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N4</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罗茨水环真空泵</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77.0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前纺楼5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N5</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罗茨水环真空泵</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77.8</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前纺楼4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N6</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螺杆机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60.8</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前纺楼4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N7</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反应釜</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前纺楼4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N8</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纺丝箱体</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74.0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前纺楼4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N9</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组件保温炉</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8台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59.0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前纺楼4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N10</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计量泵给料机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69.0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前纺楼4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N11</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电磁加热真空清洗炉</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57.8</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前纺楼3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N12</w:t>
            </w:r>
          </w:p>
        </w:tc>
        <w:tc>
          <w:tcPr>
            <w:tcW w:w="158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纺丝环吹风冷却系统</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64套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73.1</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前纺楼3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N13</w:t>
            </w:r>
          </w:p>
        </w:tc>
        <w:tc>
          <w:tcPr>
            <w:tcW w:w="158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空气压缩机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90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78.0</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前纺楼2F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N14</w:t>
            </w:r>
          </w:p>
        </w:tc>
        <w:tc>
          <w:tcPr>
            <w:tcW w:w="158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工业空调送风机组</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68.0</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前纺楼2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N15</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卷绕上油机组</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2套</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83</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68</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71.0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前纺楼2F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N16</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牵引机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前纺楼2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N17</w:t>
            </w:r>
          </w:p>
        </w:tc>
        <w:tc>
          <w:tcPr>
            <w:tcW w:w="158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喂入机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58.0</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前纺楼2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N18</w:t>
            </w:r>
          </w:p>
        </w:tc>
        <w:tc>
          <w:tcPr>
            <w:tcW w:w="158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盛丝往复机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58.0</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前纺楼2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N19</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导丝机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58.0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N20</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第一牵伸机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55.0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N21</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第二牵伸机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58.0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N22</w:t>
            </w:r>
          </w:p>
        </w:tc>
        <w:tc>
          <w:tcPr>
            <w:tcW w:w="158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第三牵伸机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58.0</w:t>
            </w:r>
          </w:p>
        </w:tc>
        <w:tc>
          <w:tcPr>
            <w:tcW w:w="137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N23</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紧张热定型机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57.8</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N24</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迭丝机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60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45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48.0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N25</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卷曲机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0"/>
                <w:highlight w:val="none"/>
                <w:lang w:val="en-US" w:eastAsia="zh-CN"/>
              </w:rPr>
              <w:t>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70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55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58.0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N26</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往复摆丝机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N27</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松弛热定型机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N28</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张力机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N29</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切断机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85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N30</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风送棉系统</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68.0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N31</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打包机</w:t>
            </w:r>
          </w:p>
        </w:tc>
        <w:tc>
          <w:tcPr>
            <w:tcW w:w="1054"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68.0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后纺楼1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N32</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污水处理站（泵）</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前纺楼1 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N33</w:t>
            </w:r>
          </w:p>
        </w:tc>
        <w:tc>
          <w:tcPr>
            <w:tcW w:w="158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废气治理设施（风机）</w:t>
            </w:r>
          </w:p>
        </w:tc>
        <w:tc>
          <w:tcPr>
            <w:tcW w:w="105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2台</w:t>
            </w:r>
          </w:p>
        </w:tc>
        <w:tc>
          <w:tcPr>
            <w:tcW w:w="135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85</w:t>
            </w:r>
          </w:p>
        </w:tc>
        <w:tc>
          <w:tcPr>
            <w:tcW w:w="1492"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1492"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73.0</w:t>
            </w:r>
          </w:p>
        </w:tc>
        <w:tc>
          <w:tcPr>
            <w:tcW w:w="1374"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前纺楼6 F屋顶</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声环境》（HJ2.4-2009）的要求，需确定建设项目的声源种类、数量、噪声级以及对声源的空间分布建立坐标系确定主要声源的三维坐标。本项目拟设定厂界西南侧为坐标原点，三维坐标为（0，0，0），以场地地平面为Z轴0点，正北方向为Y轴正方向，正东方向为X轴正方向，以此来定位产噪设备的三维坐标。具体主要设备声源和预测</w:t>
      </w:r>
      <w:r>
        <w:rPr>
          <w:rFonts w:hint="eastAsia" w:cs="Times New Roman"/>
          <w:color w:val="auto"/>
          <w:highlight w:val="none"/>
          <w:lang w:val="en-US" w:eastAsia="zh-CN"/>
        </w:rPr>
        <w:t>结果</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_Ref3476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图5.5-1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，噪声源三维坐标详见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_Ref4580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表5.5-2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，预测点三维坐标详见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_Ref3711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表5.5-3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。本项目厂界外200 m范围内的敏感目标为南侧一层村。</w:t>
      </w: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bidi w:val="0"/>
        <w:ind w:left="0" w:leftChars="0" w:firstLine="0" w:firstLineChars="0"/>
        <w:jc w:val="center"/>
        <w:rPr>
          <w:rFonts w:hint="default" w:ascii="Times New Roman" w:hAnsi="Times New Roman" w:cs="Times New Roman"/>
          <w:color w:val="auto"/>
          <w:highlight w:val="none"/>
          <w:lang w:val="en-US" w:eastAsia="zh-CN"/>
        </w:rPr>
      </w:pPr>
    </w:p>
    <w:p>
      <w:pPr>
        <w:pStyle w:val="22"/>
        <w:numPr>
          <w:ilvl w:val="7"/>
          <w:numId w:val="3"/>
        </w:numPr>
        <w:bidi w:val="0"/>
        <w:rPr>
          <w:rFonts w:hint="default" w:ascii="Times New Roman" w:hAnsi="Times New Roman" w:cs="Times New Roman"/>
          <w:color w:val="auto"/>
          <w:highlight w:val="none"/>
          <w:lang w:val="en-US" w:eastAsia="zh-CN"/>
        </w:rPr>
      </w:pPr>
      <w:bookmarkStart w:id="586" w:name="_Ref3476"/>
      <w:r>
        <w:rPr>
          <w:rFonts w:hint="eastAsia" w:cs="Times New Roman"/>
          <w:color w:val="auto"/>
          <w:highlight w:val="none"/>
          <w:lang w:val="en-US" w:eastAsia="zh-CN"/>
        </w:rPr>
        <w:t>等声级线</w:t>
      </w:r>
      <w:r>
        <w:rPr>
          <w:rFonts w:hint="default" w:ascii="Times New Roman" w:hAnsi="Times New Roman" w:cs="Times New Roman"/>
          <w:color w:val="auto"/>
          <w:highlight w:val="none"/>
        </w:rPr>
        <w:t>图</w:t>
      </w:r>
      <w:bookmarkEnd w:id="586"/>
    </w:p>
    <w:p>
      <w:pPr>
        <w:pStyle w:val="22"/>
        <w:bidi w:val="0"/>
        <w:rPr>
          <w:rFonts w:hint="default" w:ascii="Times New Roman" w:hAnsi="Times New Roman" w:cs="Times New Roman"/>
          <w:color w:val="auto"/>
          <w:highlight w:val="none"/>
          <w:lang w:val="en-US" w:eastAsia="zh-CN"/>
        </w:rPr>
        <w:sectPr>
          <w:pgSz w:w="23811" w:h="16838"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87" w:name="_Ref3558"/>
      <w:bookmarkEnd w:id="587"/>
      <w:bookmarkStart w:id="588" w:name="_Ref4580"/>
      <w:r>
        <w:rPr>
          <w:rFonts w:hint="default" w:ascii="Times New Roman" w:hAnsi="Times New Roman" w:cs="Times New Roman"/>
          <w:color w:val="auto"/>
          <w:highlight w:val="none"/>
        </w:rPr>
        <w:t>噪声源三维坐标一览表</w:t>
      </w:r>
      <w:bookmarkEnd w:id="588"/>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545"/>
        <w:gridCol w:w="795"/>
        <w:gridCol w:w="799"/>
        <w:gridCol w:w="737"/>
        <w:gridCol w:w="758"/>
        <w:gridCol w:w="1625"/>
        <w:gridCol w:w="914"/>
        <w:gridCol w:w="674"/>
        <w:gridCol w:w="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154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噪声源</w:t>
            </w:r>
          </w:p>
        </w:tc>
        <w:tc>
          <w:tcPr>
            <w:tcW w:w="2331" w:type="dxa"/>
            <w:gridSpan w:val="3"/>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三维坐标（X，Y，Z）</w:t>
            </w:r>
          </w:p>
        </w:tc>
        <w:tc>
          <w:tcPr>
            <w:tcW w:w="75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162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噪声源</w:t>
            </w:r>
          </w:p>
        </w:tc>
        <w:tc>
          <w:tcPr>
            <w:tcW w:w="2351" w:type="dxa"/>
            <w:gridSpan w:val="3"/>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三维坐标（X，Y，Z）</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N1</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粉碎机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97</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N18</w:t>
            </w:r>
          </w:p>
        </w:tc>
        <w:tc>
          <w:tcPr>
            <w:tcW w:w="162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盛丝往复机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108</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N2</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sz w:val="21"/>
                <w:szCs w:val="21"/>
                <w:highlight w:val="none"/>
                <w:lang w:val="en-US" w:eastAsia="zh-CN"/>
              </w:rPr>
              <w:t>摩擦机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102</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110</w:t>
            </w:r>
          </w:p>
        </w:tc>
        <w:tc>
          <w:tcPr>
            <w:tcW w:w="737"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N19</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导丝机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N3</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喂料机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105</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21.2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N20</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第一牵伸机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93</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138</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N4</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罗茨水环真空泵</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97</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110</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21.2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N21</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第二牵伸机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143</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N5</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罗茨水环真空泵</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104</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110</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N22</w:t>
            </w:r>
          </w:p>
        </w:tc>
        <w:tc>
          <w:tcPr>
            <w:tcW w:w="162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第三牵伸机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143</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N6</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螺杆机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93</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N23</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紧张热定型机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143</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N7</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反应釜</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89</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N24</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迭丝机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138</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N8</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纺丝箱体</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87</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89</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N25</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卷曲机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138</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N9</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组件保温炉</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109</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95</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N26</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往复摆丝机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N10</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计量泵给料机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79</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N27</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松弛热定型机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763"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N11</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电磁加热真空清洗炉</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109</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92</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11.2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N28</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张力机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N12</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纺丝环吹风冷却系统</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109</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89</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11.2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N29</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切断机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N13</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空气压缩机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N30</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风送棉系统</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137</w:t>
            </w: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N14</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工业空调送风机组</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102</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105</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N31</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打包机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N15</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卷绕上油机组</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110</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87</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N32</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污水处理站（泵）</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105</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w:t>
            </w: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N16</w:t>
            </w:r>
          </w:p>
        </w:tc>
        <w:tc>
          <w:tcPr>
            <w:tcW w:w="154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牵引机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84</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93</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6.2</w:t>
            </w:r>
          </w:p>
        </w:tc>
        <w:tc>
          <w:tcPr>
            <w:tcW w:w="758"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N33</w:t>
            </w: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废气治理设施（风机）</w:t>
            </w: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105</w:t>
            </w: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104</w:t>
            </w: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N17</w:t>
            </w:r>
          </w:p>
        </w:tc>
        <w:tc>
          <w:tcPr>
            <w:tcW w:w="154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喂入机</w:t>
            </w:r>
          </w:p>
        </w:tc>
        <w:tc>
          <w:tcPr>
            <w:tcW w:w="79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93</w:t>
            </w:r>
          </w:p>
        </w:tc>
        <w:tc>
          <w:tcPr>
            <w:tcW w:w="7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89</w:t>
            </w:r>
          </w:p>
        </w:tc>
        <w:tc>
          <w:tcPr>
            <w:tcW w:w="737"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6.2</w:t>
            </w:r>
          </w:p>
        </w:tc>
        <w:tc>
          <w:tcPr>
            <w:tcW w:w="758"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1625" w:type="dxa"/>
            <w:tcBorders>
              <w:tl2br w:val="nil"/>
              <w:tr2bl w:val="nil"/>
            </w:tcBorders>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p>
        </w:tc>
        <w:tc>
          <w:tcPr>
            <w:tcW w:w="91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p>
        </w:tc>
        <w:tc>
          <w:tcPr>
            <w:tcW w:w="674"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p>
        </w:tc>
        <w:tc>
          <w:tcPr>
            <w:tcW w:w="763" w:type="dxa"/>
            <w:tcBorders>
              <w:tl2br w:val="nil"/>
              <w:tr2bl w:val="nil"/>
            </w:tcBorders>
            <w:vAlign w:val="center"/>
          </w:tcPr>
          <w:p>
            <w:pPr>
              <w:pStyle w:val="21"/>
              <w:bidi w:val="0"/>
              <w:ind w:firstLine="0" w:firstLineChars="0"/>
              <w:jc w:val="center"/>
              <w:rPr>
                <w:rFonts w:hint="default" w:ascii="Times New Roman" w:hAnsi="Times New Roman" w:cs="Times New Roman"/>
                <w:color w:val="auto"/>
                <w:highlight w:val="none"/>
                <w:lang w:val="en-US" w:eastAsia="zh-CN"/>
              </w:rPr>
            </w:pPr>
          </w:p>
        </w:tc>
      </w:tr>
    </w:tbl>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89" w:name="_Ref3711"/>
      <w:bookmarkEnd w:id="589"/>
      <w:r>
        <w:rPr>
          <w:rFonts w:hint="default" w:ascii="Times New Roman" w:hAnsi="Times New Roman" w:cs="Times New Roman"/>
          <w:color w:val="auto"/>
          <w:highlight w:val="none"/>
        </w:rPr>
        <w:t>预测点三维坐标一览表</w:t>
      </w:r>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5"/>
        <w:gridCol w:w="2581"/>
        <w:gridCol w:w="2128"/>
        <w:gridCol w:w="1599"/>
        <w:gridCol w:w="16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65"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2581"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预测点</w:t>
            </w:r>
          </w:p>
        </w:tc>
        <w:tc>
          <w:tcPr>
            <w:tcW w:w="5335" w:type="dxa"/>
            <w:gridSpan w:val="3"/>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三维坐标（X，Y，Z）</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5" w:type="dxa"/>
            <w:tcBorders>
              <w:tl2br w:val="nil"/>
              <w:tr2bl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581"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N1</w:t>
            </w:r>
          </w:p>
        </w:tc>
        <w:tc>
          <w:tcPr>
            <w:tcW w:w="212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w:t>
            </w:r>
          </w:p>
        </w:tc>
        <w:tc>
          <w:tcPr>
            <w:tcW w:w="15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157</w:t>
            </w:r>
          </w:p>
        </w:tc>
        <w:tc>
          <w:tcPr>
            <w:tcW w:w="160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5" w:type="dxa"/>
            <w:tcBorders>
              <w:tl2br w:val="nil"/>
              <w:tr2bl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2581"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N2</w:t>
            </w:r>
          </w:p>
        </w:tc>
        <w:tc>
          <w:tcPr>
            <w:tcW w:w="2128" w:type="dxa"/>
            <w:tcBorders>
              <w:tl2br w:val="nil"/>
              <w:tr2bl w:val="nil"/>
            </w:tcBorders>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66</w:t>
            </w:r>
          </w:p>
        </w:tc>
        <w:tc>
          <w:tcPr>
            <w:tcW w:w="1599" w:type="dxa"/>
            <w:tcBorders>
              <w:tl2br w:val="nil"/>
              <w:tr2bl w:val="nil"/>
            </w:tcBorders>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0</w:t>
            </w:r>
          </w:p>
        </w:tc>
        <w:tc>
          <w:tcPr>
            <w:tcW w:w="160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5" w:type="dxa"/>
            <w:tcBorders>
              <w:tl2br w:val="nil"/>
              <w:tr2bl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2581"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N3</w:t>
            </w:r>
          </w:p>
        </w:tc>
        <w:tc>
          <w:tcPr>
            <w:tcW w:w="212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5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77</w:t>
            </w:r>
          </w:p>
        </w:tc>
        <w:tc>
          <w:tcPr>
            <w:tcW w:w="1608"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5" w:type="dxa"/>
            <w:tcBorders>
              <w:tl2br w:val="nil"/>
              <w:tr2bl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2581"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N4</w:t>
            </w:r>
          </w:p>
        </w:tc>
        <w:tc>
          <w:tcPr>
            <w:tcW w:w="212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123</w:t>
            </w:r>
          </w:p>
        </w:tc>
        <w:tc>
          <w:tcPr>
            <w:tcW w:w="15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w:t>
            </w:r>
          </w:p>
        </w:tc>
        <w:tc>
          <w:tcPr>
            <w:tcW w:w="1608"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5" w:type="dxa"/>
            <w:tcBorders>
              <w:tl2br w:val="nil"/>
              <w:tr2bl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2581" w:type="dxa"/>
            <w:tcBorders>
              <w:tl2br w:val="nil"/>
              <w:tr2bl w:val="nil"/>
            </w:tcBorders>
            <w:vAlign w:val="center"/>
          </w:tcPr>
          <w:p>
            <w:pPr>
              <w:pStyle w:val="2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N5</w:t>
            </w:r>
          </w:p>
        </w:tc>
        <w:tc>
          <w:tcPr>
            <w:tcW w:w="2128"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w:t>
            </w:r>
          </w:p>
        </w:tc>
        <w:tc>
          <w:tcPr>
            <w:tcW w:w="1599" w:type="dxa"/>
            <w:tcBorders>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w:t>
            </w:r>
          </w:p>
        </w:tc>
        <w:tc>
          <w:tcPr>
            <w:tcW w:w="1608" w:type="dxa"/>
            <w:tcBorders>
              <w:tl2br w:val="nil"/>
              <w:tr2bl w:val="nil"/>
            </w:tcBorders>
            <w:vAlign w:val="center"/>
          </w:tcPr>
          <w:p>
            <w:pPr>
              <w:pStyle w:val="21"/>
              <w:bidi w:val="0"/>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1.2</w:t>
            </w:r>
          </w:p>
        </w:tc>
      </w:tr>
    </w:tbl>
    <w:p>
      <w:pPr>
        <w:pStyle w:val="4"/>
        <w:numPr>
          <w:ilvl w:val="2"/>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预测模式与参数</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声环境》（HJ2.4-2009）的技术要求，本次评价</w:t>
      </w:r>
      <w:r>
        <w:rPr>
          <w:rFonts w:hint="default" w:ascii="Times New Roman" w:hAnsi="Times New Roman" w:cs="Times New Roman"/>
          <w:color w:val="auto"/>
          <w:highlight w:val="none"/>
          <w:lang w:val="en-US" w:eastAsia="zh-CN"/>
        </w:rPr>
        <w:t>采用</w:t>
      </w:r>
      <w:r>
        <w:rPr>
          <w:rFonts w:hint="default" w:ascii="Times New Roman" w:hAnsi="Times New Roman" w:cs="Times New Roman"/>
          <w:color w:val="auto"/>
          <w:highlight w:val="none"/>
        </w:rPr>
        <w:t>《环境影响评价技术导则 声环境》（HJ2.4-2009）推荐的工业噪声预测模式，按下列声源预测模式进行计算。</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室内声源计算公式</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①计算出某个室内靠近围护结构处的倍频带声压级：</w:t>
      </w:r>
    </w:p>
    <w:p>
      <w:pPr>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position w:val="-28"/>
          <w:sz w:val="24"/>
          <w:highlight w:val="none"/>
        </w:rPr>
        <w:object>
          <v:shape id="_x0000_i1092" o:spt="75" type="#_x0000_t75" style="height:34pt;width:132.95pt;" o:ole="t" filled="f" o:preferrelative="t" stroked="f" coordsize="21600,21600">
            <v:path/>
            <v:fill on="f" focussize="0,0"/>
            <v:stroke on="f"/>
            <v:imagedata r:id="rId165" o:title=""/>
            <o:lock v:ext="edit" aspectratio="t"/>
            <w10:wrap type="none"/>
            <w10:anchorlock/>
          </v:shape>
          <o:OLEObject Type="Embed" ProgID="Equation.3" ShapeID="_x0000_i1092" DrawAspect="Content" ObjectID="_1468075781" r:id="rId164">
            <o:LockedField>false</o:LockedField>
          </o:OLEObject>
        </w:object>
      </w:r>
    </w:p>
    <w:p>
      <w:pPr>
        <w:spacing w:beforeLines="0" w:afterLines="0"/>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式中：L</w:t>
      </w:r>
      <w:r>
        <w:rPr>
          <w:rFonts w:hint="default" w:ascii="Times New Roman" w:hAnsi="Times New Roman" w:cs="Times New Roman"/>
          <w:color w:val="auto"/>
          <w:sz w:val="24"/>
          <w:highlight w:val="none"/>
          <w:vertAlign w:val="subscript"/>
          <w:lang w:val="en-US" w:eastAsia="zh-CN"/>
        </w:rPr>
        <w:t>p1</w:t>
      </w:r>
      <w:r>
        <w:rPr>
          <w:rFonts w:hint="default" w:ascii="Times New Roman" w:hAnsi="Times New Roman" w:cs="Times New Roman"/>
          <w:color w:val="auto"/>
          <w:sz w:val="24"/>
          <w:highlight w:val="none"/>
        </w:rPr>
        <w:t>——某个室内声源在靠近围护结构处产生的倍频带声压级；</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lang w:val="en-US" w:eastAsia="zh-CN"/>
        </w:rPr>
        <w:t>w</w:t>
      </w:r>
      <w:r>
        <w:rPr>
          <w:rFonts w:hint="default" w:ascii="Times New Roman" w:hAnsi="Times New Roman" w:cs="Times New Roman"/>
          <w:color w:val="auto"/>
          <w:sz w:val="24"/>
          <w:highlight w:val="none"/>
        </w:rPr>
        <w:t>——某个声源的倍频带声功率级；</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r</w:t>
      </w:r>
      <w:r>
        <w:rPr>
          <w:rFonts w:hint="default" w:ascii="Times New Roman" w:hAnsi="Times New Roman" w:cs="Times New Roman"/>
          <w:color w:val="auto"/>
          <w:sz w:val="24"/>
          <w:highlight w:val="none"/>
        </w:rPr>
        <w:t>——室内某个声源与靠近围护结构处的距离；</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R</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房间常数</w:t>
      </w:r>
      <w:r>
        <w:rPr>
          <w:rFonts w:hint="default" w:ascii="Times New Roman" w:hAnsi="Times New Roman" w:cs="Times New Roman"/>
          <w:color w:val="auto"/>
          <w:sz w:val="24"/>
          <w:highlight w:val="none"/>
        </w:rPr>
        <w:t>；</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Q</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方向因子</w:t>
      </w:r>
      <w:r>
        <w:rPr>
          <w:rFonts w:hint="default" w:ascii="Times New Roman" w:hAnsi="Times New Roman" w:cs="Times New Roman"/>
          <w:color w:val="auto"/>
          <w:sz w:val="24"/>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②计算出所有室内声源在靠近围护结构处产生的总倍频带声压级：</w:t>
      </w:r>
    </w:p>
    <w:p>
      <w:pPr>
        <w:bidi w:val="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position w:val="-32"/>
          <w:sz w:val="24"/>
          <w:highlight w:val="none"/>
        </w:rPr>
        <w:object>
          <v:shape id="_x0000_i1093" o:spt="75" type="#_x0000_t75" style="height:38pt;width:131pt;" o:ole="t" filled="f" o:preferrelative="t" stroked="f" coordsize="21600,21600">
            <v:path/>
            <v:fill on="f" focussize="0,0"/>
            <v:stroke on="f"/>
            <v:imagedata r:id="rId167" o:title=""/>
            <o:lock v:ext="edit" aspectratio="t"/>
            <w10:wrap type="none"/>
            <w10:anchorlock/>
          </v:shape>
          <o:OLEObject Type="Embed" ProgID="Equation.3" ShapeID="_x0000_i1093" DrawAspect="Content" ObjectID="_1468075782" r:id="rId166">
            <o:LockedField>false</o:LockedField>
          </o:OLEObject>
        </w:objec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室外声源传播衰减公式</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计算某个声源在预测点的倍频带声压级：</w:t>
      </w:r>
    </w:p>
    <w:p>
      <w:pPr>
        <w:spacing w:beforeLines="0" w:afterLines="0"/>
        <w:ind w:left="0" w:leftChars="0" w:firstLine="0" w:firstLineChars="0"/>
        <w:jc w:val="center"/>
        <w:rPr>
          <w:rFonts w:hint="default" w:ascii="Times New Roman" w:hAnsi="Times New Roman" w:cs="Times New Roman"/>
          <w:color w:val="auto"/>
          <w:position w:val="-32"/>
          <w:sz w:val="24"/>
          <w:highlight w:val="none"/>
        </w:rPr>
      </w:pPr>
      <w:r>
        <w:rPr>
          <w:rFonts w:hint="default" w:ascii="Times New Roman" w:hAnsi="Times New Roman" w:cs="Times New Roman"/>
          <w:color w:val="auto"/>
          <w:position w:val="-32"/>
          <w:sz w:val="24"/>
          <w:highlight w:val="none"/>
        </w:rPr>
        <w:object>
          <v:shape id="_x0000_i1094" o:spt="75" type="#_x0000_t75" style="height:38pt;width:153pt;" o:ole="t" filled="f" o:preferrelative="t" stroked="f" coordsize="21600,21600">
            <v:path/>
            <v:fill on="f" focussize="0,0"/>
            <v:stroke on="f"/>
            <v:imagedata r:id="rId169" o:title=""/>
            <o:lock v:ext="edit" aspectratio="t"/>
            <w10:wrap type="none"/>
            <w10:anchorlock/>
          </v:shape>
          <o:OLEObject Type="Embed" ProgID="Equation.3" ShapeID="_x0000_i1094" DrawAspect="Content" ObjectID="_1468075783" r:id="rId168">
            <o:LockedField>false</o:LockedField>
          </o:OLEObject>
        </w:object>
      </w:r>
    </w:p>
    <w:p>
      <w:pPr>
        <w:spacing w:beforeLines="0" w:afterLines="0"/>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式中：L</w:t>
      </w:r>
      <w:r>
        <w:rPr>
          <w:rFonts w:hint="default" w:ascii="Times New Roman" w:hAnsi="Times New Roman" w:cs="Times New Roman"/>
          <w:color w:val="auto"/>
          <w:sz w:val="24"/>
          <w:highlight w:val="none"/>
          <w:vertAlign w:val="subscript"/>
          <w:lang w:val="en-US" w:eastAsia="zh-CN"/>
        </w:rPr>
        <w:t>p</w:t>
      </w: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rPr>
        <w:t>——点声源在预测点产生的倍频带声压级；</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lang w:val="en-US" w:eastAsia="zh-CN"/>
        </w:rPr>
        <w:t>p</w:t>
      </w: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vertAlign w:val="subscript"/>
          <w:lang w:val="en-US" w:eastAsia="zh-CN"/>
        </w:rPr>
        <w:t>0</w:t>
      </w:r>
      <w:r>
        <w:rPr>
          <w:rFonts w:hint="default" w:ascii="Times New Roman" w:hAnsi="Times New Roman" w:cs="Times New Roman"/>
          <w:color w:val="auto"/>
          <w:sz w:val="24"/>
          <w:highlight w:val="none"/>
          <w:vertAlign w:val="baseline"/>
          <w:lang w:val="en-US" w:eastAsia="zh-CN"/>
        </w:rPr>
        <w:t>）</w:t>
      </w:r>
      <w:r>
        <w:rPr>
          <w:rFonts w:hint="default" w:ascii="Times New Roman" w:hAnsi="Times New Roman" w:cs="Times New Roman"/>
          <w:color w:val="auto"/>
          <w:sz w:val="24"/>
          <w:highlight w:val="none"/>
        </w:rPr>
        <w:t>——参考位置r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处的倍频带声压级；</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r</w:t>
      </w:r>
      <w:r>
        <w:rPr>
          <w:rFonts w:hint="default" w:ascii="Times New Roman" w:hAnsi="Times New Roman" w:cs="Times New Roman"/>
          <w:color w:val="auto"/>
          <w:sz w:val="24"/>
          <w:highlight w:val="none"/>
        </w:rPr>
        <w:t>——预测点距声源的距离，m；</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r</w:t>
      </w:r>
      <w:r>
        <w:rPr>
          <w:rFonts w:hint="default" w:ascii="Times New Roman" w:hAnsi="Times New Roman" w:cs="Times New Roman"/>
          <w:color w:val="auto"/>
          <w:sz w:val="24"/>
          <w:highlight w:val="none"/>
          <w:vertAlign w:val="subscript"/>
          <w:lang w:val="en-US" w:eastAsia="zh-CN"/>
        </w:rPr>
        <w:t>0</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参考位置距声源的距离，m</w:t>
      </w:r>
      <w:r>
        <w:rPr>
          <w:rFonts w:hint="default" w:ascii="Times New Roman" w:hAnsi="Times New Roman" w:cs="Times New Roman"/>
          <w:color w:val="auto"/>
          <w:sz w:val="24"/>
          <w:highlight w:val="none"/>
        </w:rPr>
        <w:t>；</w:t>
      </w:r>
    </w:p>
    <w:p>
      <w:pPr>
        <w:spacing w:beforeLines="0" w:afterLines="0"/>
        <w:ind w:firstLine="1200" w:firstLineChars="5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ΔL</w:t>
      </w:r>
      <w:r>
        <w:rPr>
          <w:rFonts w:hint="default" w:ascii="Times New Roman" w:hAnsi="Times New Roman" w:cs="Times New Roman"/>
          <w:color w:val="auto"/>
          <w:sz w:val="24"/>
          <w:highlight w:val="none"/>
          <w:vertAlign w:val="subscript"/>
          <w:lang w:val="en-US" w:eastAsia="zh-CN"/>
        </w:rPr>
        <w:t>p</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各种因素引起的衰减量</w:t>
      </w:r>
      <w:r>
        <w:rPr>
          <w:rFonts w:hint="default" w:ascii="Times New Roman" w:hAnsi="Times New Roman" w:cs="Times New Roman"/>
          <w:color w:val="auto"/>
          <w:sz w:val="24"/>
          <w:highlight w:val="none"/>
        </w:rPr>
        <w:t>。</w:t>
      </w:r>
    </w:p>
    <w:p>
      <w:pPr>
        <w:spacing w:beforeLines="0" w:afterLines="0"/>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声源叠加贡献值公式</w:t>
      </w:r>
    </w:p>
    <w:p>
      <w:pPr>
        <w:spacing w:beforeLines="0" w:afterLines="0"/>
        <w:ind w:left="0" w:leftChars="0" w:firstLine="0" w:firstLineChars="0"/>
        <w:jc w:val="center"/>
        <w:rPr>
          <w:rFonts w:hint="default" w:ascii="Times New Roman" w:hAnsi="Times New Roman" w:cs="Times New Roman"/>
          <w:color w:val="auto"/>
          <w:sz w:val="24"/>
          <w:highlight w:val="none"/>
        </w:rPr>
      </w:pPr>
      <w:r>
        <w:rPr>
          <w:rFonts w:hint="default" w:ascii="Times New Roman" w:hAnsi="Times New Roman" w:cs="Times New Roman"/>
          <w:color w:val="auto"/>
          <w:position w:val="-32"/>
          <w:sz w:val="24"/>
          <w:highlight w:val="none"/>
        </w:rPr>
        <w:object>
          <v:shape id="_x0000_i1095" o:spt="75" type="#_x0000_t75" style="height:38pt;width:132pt;" o:ole="t" filled="f" o:preferrelative="t" stroked="f" coordsize="21600,21600">
            <v:path/>
            <v:fill on="f" focussize="0,0"/>
            <v:stroke on="f"/>
            <v:imagedata r:id="rId171" o:title=""/>
            <o:lock v:ext="edit" aspectratio="t"/>
            <w10:wrap type="none"/>
            <w10:anchorlock/>
          </v:shape>
          <o:OLEObject Type="Embed" ProgID="Equation.3" ShapeID="_x0000_i1095" DrawAspect="Content" ObjectID="_1468075784" r:id="rId170">
            <o:LockedField>false</o:LockedField>
          </o:OLEObject>
        </w:object>
      </w:r>
    </w:p>
    <w:p>
      <w:pPr>
        <w:spacing w:beforeLines="0" w:afterLines="0"/>
        <w:ind w:firstLine="720" w:firstLineChars="3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式中：L</w:t>
      </w:r>
      <w:r>
        <w:rPr>
          <w:rFonts w:hint="default" w:ascii="Times New Roman" w:hAnsi="Times New Roman" w:cs="Times New Roman"/>
          <w:color w:val="auto"/>
          <w:sz w:val="24"/>
          <w:highlight w:val="none"/>
          <w:vertAlign w:val="subscript"/>
        </w:rPr>
        <w:t>eq</w:t>
      </w:r>
      <w:r>
        <w:rPr>
          <w:rFonts w:hint="default" w:ascii="Times New Roman" w:hAnsi="Times New Roman" w:cs="Times New Roman"/>
          <w:color w:val="auto"/>
          <w:sz w:val="24"/>
          <w:highlight w:val="none"/>
          <w:vertAlign w:val="subscript"/>
          <w:lang w:val="en-US" w:eastAsia="zh-CN"/>
        </w:rPr>
        <w:t>g</w:t>
      </w:r>
      <w:r>
        <w:rPr>
          <w:rFonts w:hint="default" w:ascii="Times New Roman" w:hAnsi="Times New Roman" w:cs="Times New Roman"/>
          <w:color w:val="auto"/>
          <w:sz w:val="24"/>
          <w:highlight w:val="none"/>
        </w:rPr>
        <w:t>——建设项目声源在预测点的等声级贡献值，dB（A）；</w:t>
      </w:r>
    </w:p>
    <w:p>
      <w:pPr>
        <w:spacing w:beforeLines="0" w:afterLines="0"/>
        <w:ind w:firstLine="1440" w:firstLineChars="6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lang w:val="en-US" w:eastAsia="zh-CN"/>
        </w:rPr>
        <w:t>Ai</w:t>
      </w:r>
      <w:r>
        <w:rPr>
          <w:rFonts w:hint="default" w:ascii="Times New Roman" w:hAnsi="Times New Roman" w:cs="Times New Roman"/>
          <w:color w:val="auto"/>
          <w:sz w:val="24"/>
          <w:highlight w:val="none"/>
        </w:rPr>
        <w:t>——i 声源在预测点产生的A声级，dB（A）；</w:t>
      </w:r>
    </w:p>
    <w:p>
      <w:pPr>
        <w:spacing w:beforeLines="0" w:afterLines="0"/>
        <w:ind w:firstLine="1440" w:firstLineChars="6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T</w:t>
      </w:r>
      <w:r>
        <w:rPr>
          <w:rFonts w:hint="default" w:ascii="Times New Roman" w:hAnsi="Times New Roman" w:cs="Times New Roman"/>
          <w:color w:val="auto"/>
          <w:sz w:val="24"/>
          <w:highlight w:val="none"/>
        </w:rPr>
        <w:t>——预测计算的时间段，</w:t>
      </w:r>
      <w:r>
        <w:rPr>
          <w:rFonts w:hint="default" w:ascii="Times New Roman" w:hAnsi="Times New Roman" w:cs="Times New Roman"/>
          <w:color w:val="auto"/>
          <w:sz w:val="24"/>
          <w:highlight w:val="none"/>
          <w:lang w:val="en-US" w:eastAsia="zh-CN"/>
        </w:rPr>
        <w:t>s；</w:t>
      </w:r>
    </w:p>
    <w:p>
      <w:pPr>
        <w:spacing w:beforeLines="0" w:afterLines="0"/>
        <w:ind w:firstLine="1440" w:firstLineChars="6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t</w:t>
      </w:r>
      <w:r>
        <w:rPr>
          <w:rFonts w:hint="default" w:ascii="Times New Roman" w:hAnsi="Times New Roman" w:cs="Times New Roman"/>
          <w:color w:val="auto"/>
          <w:sz w:val="24"/>
          <w:highlight w:val="none"/>
          <w:vertAlign w:val="subscript"/>
          <w:lang w:val="en-US" w:eastAsia="zh-CN"/>
        </w:rPr>
        <w:t>i</w:t>
      </w:r>
      <w:r>
        <w:rPr>
          <w:rFonts w:hint="default" w:ascii="Times New Roman" w:hAnsi="Times New Roman" w:cs="Times New Roman"/>
          <w:color w:val="auto"/>
          <w:sz w:val="24"/>
          <w:highlight w:val="none"/>
          <w:lang w:val="en-US" w:eastAsia="zh-CN"/>
        </w:rPr>
        <w:t>——i声源在T时段内的运行时间，s</w:t>
      </w:r>
      <w:r>
        <w:rPr>
          <w:rFonts w:hint="default" w:ascii="Times New Roman" w:hAnsi="Times New Roman" w:cs="Times New Roman"/>
          <w:color w:val="auto"/>
          <w:sz w:val="24"/>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预测值公式</w:t>
      </w:r>
    </w:p>
    <w:p>
      <w:pPr>
        <w:spacing w:beforeLines="0" w:afterLines="0"/>
        <w:ind w:left="0" w:leftChars="0" w:firstLine="0" w:firstLineChars="0"/>
        <w:jc w:val="center"/>
        <w:rPr>
          <w:rFonts w:hint="default" w:ascii="Times New Roman" w:hAnsi="Times New Roman" w:cs="Times New Roman"/>
          <w:color w:val="auto"/>
          <w:sz w:val="24"/>
          <w:highlight w:val="none"/>
        </w:rPr>
      </w:pPr>
      <w:r>
        <w:rPr>
          <w:rFonts w:hint="default" w:ascii="Times New Roman" w:hAnsi="Times New Roman" w:cs="Times New Roman"/>
          <w:color w:val="auto"/>
          <w:position w:val="-14"/>
          <w:sz w:val="24"/>
          <w:highlight w:val="none"/>
        </w:rPr>
        <w:object>
          <v:shape id="_x0000_i1096" o:spt="75" type="#_x0000_t75" style="height:21pt;width:135pt;" o:ole="t" filled="f" o:preferrelative="t" stroked="f" coordsize="21600,21600">
            <v:path/>
            <v:fill on="f" focussize="0,0"/>
            <v:stroke on="f"/>
            <v:imagedata r:id="rId173" o:title=""/>
            <o:lock v:ext="edit" aspectratio="t"/>
            <w10:wrap type="none"/>
            <w10:anchorlock/>
          </v:shape>
          <o:OLEObject Type="Embed" ProgID="Equation.3" ShapeID="_x0000_i1096" DrawAspect="Content" ObjectID="_1468075785" r:id="rId172">
            <o:LockedField>false</o:LockedField>
          </o:OLEObject>
        </w:object>
      </w:r>
    </w:p>
    <w:p>
      <w:pPr>
        <w:spacing w:beforeLines="0" w:afterLines="0"/>
        <w:ind w:firstLine="720" w:firstLineChars="3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式中：L</w:t>
      </w:r>
      <w:r>
        <w:rPr>
          <w:rFonts w:hint="default" w:ascii="Times New Roman" w:hAnsi="Times New Roman" w:cs="Times New Roman"/>
          <w:color w:val="auto"/>
          <w:sz w:val="24"/>
          <w:highlight w:val="none"/>
          <w:vertAlign w:val="subscript"/>
        </w:rPr>
        <w:t>eq</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预测点的总声压级</w:t>
      </w:r>
      <w:r>
        <w:rPr>
          <w:rFonts w:hint="default" w:ascii="Times New Roman" w:hAnsi="Times New Roman" w:cs="Times New Roman"/>
          <w:color w:val="auto"/>
          <w:sz w:val="24"/>
          <w:highlight w:val="none"/>
        </w:rPr>
        <w:t>，dB（A）；</w:t>
      </w:r>
    </w:p>
    <w:p>
      <w:pPr>
        <w:spacing w:beforeLines="0" w:afterLines="0"/>
        <w:ind w:firstLine="1440" w:firstLineChars="6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lang w:val="en-US" w:eastAsia="zh-CN"/>
        </w:rPr>
        <w:t>eqg</w:t>
      </w:r>
      <w:r>
        <w:rPr>
          <w:rFonts w:hint="default" w:ascii="Times New Roman" w:hAnsi="Times New Roman" w:eastAsia="宋体" w:cs="Times New Roman"/>
          <w:color w:val="auto"/>
          <w:sz w:val="24"/>
          <w:highlight w:val="none"/>
        </w:rPr>
        <w:t>——建设项目声源在预测点的等效声级贡献值，dB（A）；</w:t>
      </w:r>
    </w:p>
    <w:p>
      <w:pPr>
        <w:keepNext w:val="0"/>
        <w:keepLines w:val="0"/>
        <w:pageBreakBefore w:val="0"/>
        <w:widowControl w:val="0"/>
        <w:kinsoku/>
        <w:wordWrap/>
        <w:overflowPunct/>
        <w:topLinePunct w:val="0"/>
        <w:autoSpaceDE/>
        <w:autoSpaceDN/>
        <w:bidi w:val="0"/>
        <w:adjustRightInd/>
        <w:snapToGrid/>
        <w:ind w:firstLine="1440" w:firstLineChars="6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lang w:val="en-US" w:eastAsia="zh-CN"/>
        </w:rPr>
        <w:t>eqb</w:t>
      </w:r>
      <w:r>
        <w:rPr>
          <w:rFonts w:hint="default" w:ascii="Times New Roman" w:hAnsi="Times New Roman" w:eastAsia="宋体" w:cs="Times New Roman"/>
          <w:color w:val="auto"/>
          <w:sz w:val="24"/>
          <w:highlight w:val="none"/>
        </w:rPr>
        <w:t>——预测点的背景值，dB（A）</w:t>
      </w:r>
      <w:r>
        <w:rPr>
          <w:rFonts w:hint="default" w:ascii="Times New Roman" w:hAnsi="Times New Roman" w:eastAsia="宋体" w:cs="Times New Roman"/>
          <w:color w:val="auto"/>
          <w:sz w:val="24"/>
          <w:highlight w:val="none"/>
          <w:lang w:eastAsia="zh-CN"/>
        </w:rPr>
        <w:t>。</w:t>
      </w:r>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预测结果</w:t>
      </w:r>
    </w:p>
    <w:p>
      <w:pPr>
        <w:rPr>
          <w:rFonts w:hint="default"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根据预测模式及</w:t>
      </w:r>
      <w:r>
        <w:rPr>
          <w:rFonts w:hint="default" w:ascii="Times New Roman" w:hAnsi="Times New Roman" w:cs="Times New Roman"/>
          <w:color w:val="auto"/>
          <w:highlight w:val="none"/>
          <w:u w:val="none"/>
        </w:rPr>
        <w:fldChar w:fldCharType="begin"/>
      </w:r>
      <w:r>
        <w:rPr>
          <w:rFonts w:hint="default" w:ascii="Times New Roman" w:hAnsi="Times New Roman" w:cs="Times New Roman"/>
          <w:color w:val="auto"/>
          <w:highlight w:val="none"/>
          <w:u w:val="none"/>
        </w:rPr>
        <w:instrText xml:space="preserve"> REF _Ref4580 \n \h </w:instrText>
      </w:r>
      <w:r>
        <w:rPr>
          <w:rFonts w:hint="default" w:ascii="Times New Roman" w:hAnsi="Times New Roman" w:cs="Times New Roman"/>
          <w:color w:val="auto"/>
          <w:highlight w:val="none"/>
          <w:u w:val="none"/>
        </w:rPr>
        <w:fldChar w:fldCharType="separate"/>
      </w:r>
      <w:r>
        <w:rPr>
          <w:rFonts w:hint="default" w:ascii="Times New Roman" w:hAnsi="Times New Roman" w:cs="Times New Roman"/>
          <w:color w:val="auto"/>
          <w:highlight w:val="none"/>
          <w:u w:val="none"/>
        </w:rPr>
        <w:t>表5.5-2</w:t>
      </w:r>
      <w:r>
        <w:rPr>
          <w:rFonts w:hint="default" w:ascii="Times New Roman" w:hAnsi="Times New Roman" w:cs="Times New Roman"/>
          <w:color w:val="auto"/>
          <w:highlight w:val="none"/>
          <w:u w:val="none"/>
        </w:rPr>
        <w:fldChar w:fldCharType="end"/>
      </w:r>
      <w:r>
        <w:rPr>
          <w:rFonts w:hint="default" w:ascii="Times New Roman" w:hAnsi="Times New Roman" w:cs="Times New Roman"/>
          <w:color w:val="auto"/>
          <w:highlight w:val="none"/>
          <w:u w:val="none"/>
        </w:rPr>
        <w:t>中数据，</w:t>
      </w:r>
      <w:r>
        <w:rPr>
          <w:rFonts w:hint="default" w:ascii="Times New Roman" w:hAnsi="Times New Roman" w:cs="Times New Roman"/>
          <w:color w:val="auto"/>
          <w:highlight w:val="none"/>
          <w:u w:val="none"/>
          <w:lang w:val="en-US" w:eastAsia="zh-CN"/>
        </w:rPr>
        <w:t>因本次扩建工程为新增地块，扩建工程与现有工程无依托关系，因此本次评价仅预测扩建工程实施后固定设备噪声对厂界</w:t>
      </w:r>
      <w:r>
        <w:rPr>
          <w:rFonts w:hint="eastAsia" w:cs="Times New Roman"/>
          <w:color w:val="auto"/>
          <w:highlight w:val="none"/>
          <w:u w:val="none"/>
          <w:lang w:val="en-US" w:eastAsia="zh-CN"/>
        </w:rPr>
        <w:t>的</w:t>
      </w:r>
      <w:r>
        <w:rPr>
          <w:rFonts w:hint="default" w:ascii="Times New Roman" w:hAnsi="Times New Roman" w:cs="Times New Roman"/>
          <w:color w:val="auto"/>
          <w:highlight w:val="none"/>
          <w:u w:val="none"/>
          <w:lang w:val="en-US" w:eastAsia="zh-CN"/>
        </w:rPr>
        <w:t>贡献值，详见</w:t>
      </w:r>
      <w:r>
        <w:rPr>
          <w:rFonts w:hint="default" w:ascii="Times New Roman" w:hAnsi="Times New Roman" w:cs="Times New Roman"/>
          <w:color w:val="auto"/>
          <w:highlight w:val="none"/>
          <w:u w:val="none"/>
          <w:lang w:val="en-US" w:eastAsia="zh-CN"/>
        </w:rPr>
        <w:fldChar w:fldCharType="begin"/>
      </w:r>
      <w:r>
        <w:rPr>
          <w:rFonts w:hint="default" w:ascii="Times New Roman" w:hAnsi="Times New Roman" w:cs="Times New Roman"/>
          <w:color w:val="auto"/>
          <w:highlight w:val="none"/>
          <w:u w:val="none"/>
          <w:lang w:val="en-US" w:eastAsia="zh-CN"/>
        </w:rPr>
        <w:instrText xml:space="preserve"> REF _Ref20450 \n \h </w:instrText>
      </w:r>
      <w:r>
        <w:rPr>
          <w:rFonts w:hint="default" w:ascii="Times New Roman" w:hAnsi="Times New Roman" w:cs="Times New Roman"/>
          <w:color w:val="auto"/>
          <w:highlight w:val="none"/>
          <w:u w:val="none"/>
          <w:lang w:val="en-US" w:eastAsia="zh-CN"/>
        </w:rPr>
        <w:fldChar w:fldCharType="separate"/>
      </w:r>
      <w:r>
        <w:rPr>
          <w:rFonts w:hint="default" w:ascii="Times New Roman" w:hAnsi="Times New Roman" w:cs="Times New Roman"/>
          <w:color w:val="auto"/>
          <w:highlight w:val="none"/>
          <w:u w:val="none"/>
          <w:lang w:val="en-US" w:eastAsia="zh-CN"/>
        </w:rPr>
        <w:t>表5.5-4</w:t>
      </w:r>
      <w:r>
        <w:rPr>
          <w:rFonts w:hint="default" w:ascii="Times New Roman" w:hAnsi="Times New Roman" w:cs="Times New Roman"/>
          <w:color w:val="auto"/>
          <w:highlight w:val="none"/>
          <w:u w:val="none"/>
          <w:lang w:val="en-US" w:eastAsia="zh-CN"/>
        </w:rPr>
        <w:fldChar w:fldCharType="end"/>
      </w:r>
      <w:r>
        <w:rPr>
          <w:rFonts w:hint="default" w:ascii="Times New Roman" w:hAnsi="Times New Roman" w:cs="Times New Roman"/>
          <w:color w:val="auto"/>
          <w:highlight w:val="none"/>
          <w:u w:val="none"/>
          <w:lang w:val="en-US" w:eastAsia="zh-CN"/>
        </w:rPr>
        <w:t>，以及敏感目标叠加背景值后的达标性分析，具体详见</w:t>
      </w:r>
      <w:r>
        <w:rPr>
          <w:rFonts w:hint="default" w:ascii="Times New Roman" w:hAnsi="Times New Roman" w:cs="Times New Roman"/>
          <w:color w:val="auto"/>
          <w:highlight w:val="none"/>
          <w:u w:val="none"/>
          <w:lang w:val="en-US" w:eastAsia="zh-CN"/>
        </w:rPr>
        <w:fldChar w:fldCharType="begin"/>
      </w:r>
      <w:r>
        <w:rPr>
          <w:rFonts w:hint="default" w:ascii="Times New Roman" w:hAnsi="Times New Roman" w:cs="Times New Roman"/>
          <w:color w:val="auto"/>
          <w:highlight w:val="none"/>
          <w:u w:val="none"/>
          <w:lang w:val="en-US" w:eastAsia="zh-CN"/>
        </w:rPr>
        <w:instrText xml:space="preserve"> REF _Ref21534 \n \h </w:instrText>
      </w:r>
      <w:r>
        <w:rPr>
          <w:rFonts w:hint="default" w:ascii="Times New Roman" w:hAnsi="Times New Roman" w:cs="Times New Roman"/>
          <w:color w:val="auto"/>
          <w:highlight w:val="none"/>
          <w:u w:val="none"/>
          <w:lang w:val="en-US" w:eastAsia="zh-CN"/>
        </w:rPr>
        <w:fldChar w:fldCharType="separate"/>
      </w:r>
      <w:r>
        <w:rPr>
          <w:rFonts w:hint="default" w:ascii="Times New Roman" w:hAnsi="Times New Roman" w:cs="Times New Roman"/>
          <w:color w:val="auto"/>
          <w:highlight w:val="none"/>
          <w:u w:val="none"/>
          <w:lang w:val="en-US" w:eastAsia="zh-CN"/>
        </w:rPr>
        <w:t>表5.5-5</w:t>
      </w:r>
      <w:r>
        <w:rPr>
          <w:rFonts w:hint="default" w:ascii="Times New Roman" w:hAnsi="Times New Roman" w:cs="Times New Roman"/>
          <w:color w:val="auto"/>
          <w:highlight w:val="none"/>
          <w:u w:val="none"/>
          <w:lang w:val="en-US" w:eastAsia="zh-CN"/>
        </w:rPr>
        <w:fldChar w:fldCharType="end"/>
      </w:r>
      <w:r>
        <w:rPr>
          <w:rFonts w:hint="default" w:ascii="Times New Roman" w:hAnsi="Times New Roman" w:cs="Times New Roman"/>
          <w:color w:val="auto"/>
          <w:highlight w:val="none"/>
          <w:u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90" w:name="_Ref20450"/>
      <w:bookmarkStart w:id="591" w:name="_Ref24169"/>
      <w:r>
        <w:rPr>
          <w:rFonts w:hint="default" w:ascii="Times New Roman" w:hAnsi="Times New Roman" w:cs="Times New Roman"/>
          <w:color w:val="auto"/>
          <w:highlight w:val="none"/>
          <w:lang w:val="en-US" w:eastAsia="zh-CN"/>
        </w:rPr>
        <w:t>各侧厂界</w:t>
      </w:r>
      <w:bookmarkEnd w:id="590"/>
      <w:r>
        <w:rPr>
          <w:rFonts w:hint="default" w:ascii="Times New Roman" w:hAnsi="Times New Roman" w:cs="Times New Roman"/>
          <w:color w:val="auto"/>
          <w:highlight w:val="none"/>
          <w:lang w:val="en-US" w:eastAsia="zh-CN"/>
        </w:rPr>
        <w:t>的噪声贡献值</w:t>
      </w:r>
      <w:bookmarkEnd w:id="591"/>
    </w:p>
    <w:tbl>
      <w:tblPr>
        <w:tblStyle w:val="17"/>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5"/>
        <w:gridCol w:w="1374"/>
        <w:gridCol w:w="1530"/>
        <w:gridCol w:w="1517"/>
        <w:gridCol w:w="1335"/>
        <w:gridCol w:w="1621"/>
        <w:gridCol w:w="11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5" w:type="dxa"/>
            <w:vMerge w:val="restart"/>
            <w:tcBorders>
              <w:top w:val="single" w:color="auto" w:sz="12" w:space="0"/>
              <w:left w:val="nil"/>
              <w:bottom w:val="single" w:color="auto" w:sz="4" w:space="0"/>
              <w:right w:val="single" w:color="auto" w:sz="4" w:space="0"/>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74" w:type="dxa"/>
            <w:vMerge w:val="restart"/>
            <w:tcBorders>
              <w:top w:val="single" w:color="auto" w:sz="12" w:space="0"/>
              <w:left w:val="single" w:color="auto" w:sz="4" w:space="0"/>
              <w:bottom w:val="single" w:color="auto" w:sz="4" w:space="0"/>
              <w:right w:val="single" w:color="auto" w:sz="4" w:space="0"/>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w:t>
            </w:r>
          </w:p>
        </w:tc>
        <w:tc>
          <w:tcPr>
            <w:tcW w:w="7112" w:type="dxa"/>
            <w:gridSpan w:val="5"/>
            <w:tcBorders>
              <w:top w:val="single" w:color="auto" w:sz="12" w:space="0"/>
              <w:left w:val="single" w:color="auto" w:sz="4" w:space="0"/>
              <w:bottom w:val="single" w:color="auto" w:sz="4" w:space="0"/>
              <w:right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预测点编号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5" w:type="dxa"/>
            <w:vMerge w:val="continue"/>
            <w:tcBorders>
              <w:top w:val="single" w:color="auto" w:sz="12" w:space="0"/>
              <w:left w:val="nil"/>
              <w:bottom w:val="single" w:color="auto" w:sz="4" w:space="0"/>
              <w:right w:val="single" w:color="auto" w:sz="4" w:space="0"/>
            </w:tcBorders>
            <w:vAlign w:val="center"/>
          </w:tcPr>
          <w:p>
            <w:pPr>
              <w:pStyle w:val="21"/>
              <w:bidi w:val="0"/>
              <w:jc w:val="center"/>
              <w:rPr>
                <w:rFonts w:hint="default" w:ascii="Times New Roman" w:hAnsi="Times New Roman" w:cs="Times New Roman"/>
                <w:color w:val="auto"/>
                <w:highlight w:val="none"/>
              </w:rPr>
            </w:pPr>
          </w:p>
        </w:tc>
        <w:tc>
          <w:tcPr>
            <w:tcW w:w="1374" w:type="dxa"/>
            <w:vMerge w:val="continue"/>
            <w:tcBorders>
              <w:top w:val="single" w:color="auto" w:sz="12" w:space="0"/>
              <w:left w:val="single" w:color="auto" w:sz="4" w:space="0"/>
              <w:bottom w:val="single" w:color="auto" w:sz="4" w:space="0"/>
              <w:right w:val="single" w:color="auto" w:sz="4" w:space="0"/>
            </w:tcBorders>
            <w:vAlign w:val="center"/>
          </w:tcPr>
          <w:p>
            <w:pPr>
              <w:pStyle w:val="21"/>
              <w:bidi w:val="0"/>
              <w:jc w:val="center"/>
              <w:rPr>
                <w:rFonts w:hint="default" w:ascii="Times New Roman" w:hAnsi="Times New Roman" w:cs="Times New Roman"/>
                <w:color w:val="auto"/>
                <w:highlight w:val="none"/>
              </w:rPr>
            </w:pPr>
          </w:p>
        </w:tc>
        <w:tc>
          <w:tcPr>
            <w:tcW w:w="1530" w:type="dxa"/>
            <w:tcBorders>
              <w:top w:val="single" w:color="auto" w:sz="4" w:space="0"/>
              <w:left w:val="single" w:color="auto" w:sz="4" w:space="0"/>
              <w:bottom w:val="single" w:color="auto" w:sz="4" w:space="0"/>
              <w:right w:val="single" w:color="auto" w:sz="4" w:space="0"/>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N1</w:t>
            </w:r>
          </w:p>
        </w:tc>
        <w:tc>
          <w:tcPr>
            <w:tcW w:w="1517" w:type="dxa"/>
            <w:tcBorders>
              <w:top w:val="single" w:color="auto" w:sz="4" w:space="0"/>
              <w:left w:val="single" w:color="auto" w:sz="4" w:space="0"/>
              <w:bottom w:val="single" w:color="auto" w:sz="4" w:space="0"/>
              <w:right w:val="single" w:color="auto" w:sz="4" w:space="0"/>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N2</w:t>
            </w:r>
          </w:p>
        </w:tc>
        <w:tc>
          <w:tcPr>
            <w:tcW w:w="1335" w:type="dxa"/>
            <w:tcBorders>
              <w:top w:val="single" w:color="auto" w:sz="4" w:space="0"/>
              <w:left w:val="single" w:color="auto" w:sz="4" w:space="0"/>
              <w:bottom w:val="single" w:color="auto" w:sz="4" w:space="0"/>
              <w:right w:val="single" w:color="auto" w:sz="4" w:space="0"/>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N3</w:t>
            </w:r>
          </w:p>
        </w:tc>
        <w:tc>
          <w:tcPr>
            <w:tcW w:w="1621" w:type="dxa"/>
            <w:tcBorders>
              <w:top w:val="single" w:color="auto" w:sz="4" w:space="0"/>
              <w:left w:val="single" w:color="auto" w:sz="4" w:space="0"/>
              <w:bottom w:val="single" w:color="auto" w:sz="4" w:space="0"/>
              <w:right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N4</w:t>
            </w:r>
          </w:p>
        </w:tc>
        <w:tc>
          <w:tcPr>
            <w:tcW w:w="1109" w:type="dxa"/>
            <w:tcBorders>
              <w:top w:val="single" w:color="auto" w:sz="4" w:space="0"/>
              <w:left w:val="single" w:color="auto" w:sz="4" w:space="0"/>
              <w:bottom w:val="single" w:color="auto" w:sz="4" w:space="0"/>
              <w:right w:val="nil"/>
            </w:tcBorders>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5" w:type="dxa"/>
            <w:tcBorders>
              <w:top w:val="single" w:color="auto" w:sz="4" w:space="0"/>
              <w:left w:val="nil"/>
              <w:bottom w:val="single" w:color="auto" w:sz="12" w:space="0"/>
              <w:right w:val="single" w:color="auto" w:sz="4" w:space="0"/>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74" w:type="dxa"/>
            <w:tcBorders>
              <w:top w:val="single" w:color="auto" w:sz="4" w:space="0"/>
              <w:left w:val="single" w:color="auto" w:sz="4" w:space="0"/>
              <w:bottom w:val="single" w:color="auto" w:sz="12" w:space="0"/>
              <w:right w:val="single" w:color="auto" w:sz="4" w:space="0"/>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1530" w:type="dxa"/>
            <w:tcBorders>
              <w:top w:val="single" w:color="auto" w:sz="4" w:space="0"/>
              <w:left w:val="single" w:color="auto" w:sz="4" w:space="0"/>
              <w:bottom w:val="single" w:color="auto" w:sz="12" w:space="0"/>
              <w:right w:val="single" w:color="auto" w:sz="4" w:space="0"/>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41.4</w:t>
            </w:r>
          </w:p>
        </w:tc>
        <w:tc>
          <w:tcPr>
            <w:tcW w:w="1517" w:type="dxa"/>
            <w:tcBorders>
              <w:top w:val="single" w:color="auto" w:sz="4" w:space="0"/>
              <w:left w:val="single" w:color="auto" w:sz="4" w:space="0"/>
              <w:bottom w:val="single" w:color="auto" w:sz="12" w:space="0"/>
              <w:right w:val="single" w:color="auto" w:sz="4" w:space="0"/>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36.3</w:t>
            </w:r>
          </w:p>
        </w:tc>
        <w:tc>
          <w:tcPr>
            <w:tcW w:w="1335" w:type="dxa"/>
            <w:tcBorders>
              <w:top w:val="single" w:color="auto" w:sz="4" w:space="0"/>
              <w:left w:val="single" w:color="auto" w:sz="4" w:space="0"/>
              <w:bottom w:val="single" w:color="auto" w:sz="12" w:space="0"/>
              <w:right w:val="single" w:color="auto" w:sz="4" w:space="0"/>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36.6</w:t>
            </w:r>
          </w:p>
        </w:tc>
        <w:tc>
          <w:tcPr>
            <w:tcW w:w="1621" w:type="dxa"/>
            <w:tcBorders>
              <w:top w:val="single" w:color="auto" w:sz="4" w:space="0"/>
              <w:left w:val="single" w:color="auto" w:sz="4" w:space="0"/>
              <w:bottom w:val="single" w:color="auto" w:sz="12" w:space="0"/>
              <w:right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46.1</w:t>
            </w:r>
          </w:p>
        </w:tc>
        <w:tc>
          <w:tcPr>
            <w:tcW w:w="1109" w:type="dxa"/>
            <w:tcBorders>
              <w:top w:val="single" w:color="auto" w:sz="4" w:space="0"/>
              <w:left w:val="single" w:color="auto" w:sz="4" w:space="0"/>
              <w:bottom w:val="single" w:color="auto" w:sz="12" w:space="0"/>
              <w:right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34.3</w:t>
            </w:r>
          </w:p>
        </w:tc>
      </w:tr>
    </w:tbl>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92" w:name="_Ref21534"/>
      <w:r>
        <w:rPr>
          <w:rFonts w:hint="default" w:ascii="Times New Roman" w:hAnsi="Times New Roman" w:cs="Times New Roman"/>
          <w:color w:val="auto"/>
          <w:highlight w:val="none"/>
          <w:lang w:val="en-US" w:eastAsia="zh-CN"/>
        </w:rPr>
        <w:t>噪声达标性分析</w:t>
      </w:r>
      <w:bookmarkEnd w:id="592"/>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5"/>
        <w:gridCol w:w="1327"/>
        <w:gridCol w:w="1327"/>
        <w:gridCol w:w="1749"/>
        <w:gridCol w:w="1115"/>
        <w:gridCol w:w="1117"/>
        <w:gridCol w:w="13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预测点编号</w:t>
            </w:r>
          </w:p>
        </w:tc>
        <w:tc>
          <w:tcPr>
            <w:tcW w:w="2654"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背景值dB（A）</w:t>
            </w:r>
          </w:p>
        </w:tc>
        <w:tc>
          <w:tcPr>
            <w:tcW w:w="1749"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贡献值dB（A）</w:t>
            </w:r>
          </w:p>
        </w:tc>
        <w:tc>
          <w:tcPr>
            <w:tcW w:w="2232"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预测值dB（A）</w:t>
            </w:r>
          </w:p>
        </w:tc>
        <w:tc>
          <w:tcPr>
            <w:tcW w:w="132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达标性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昼间</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夜间</w:t>
            </w:r>
          </w:p>
        </w:tc>
        <w:tc>
          <w:tcPr>
            <w:tcW w:w="1749"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c>
          <w:tcPr>
            <w:tcW w:w="1115"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昼间</w:t>
            </w:r>
          </w:p>
        </w:tc>
        <w:tc>
          <w:tcPr>
            <w:tcW w:w="1117"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夜间</w:t>
            </w:r>
          </w:p>
        </w:tc>
        <w:tc>
          <w:tcPr>
            <w:tcW w:w="132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N5（一层村）</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52</w:t>
            </w:r>
          </w:p>
        </w:tc>
        <w:tc>
          <w:tcPr>
            <w:tcW w:w="13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45</w:t>
            </w:r>
          </w:p>
        </w:tc>
        <w:tc>
          <w:tcPr>
            <w:tcW w:w="174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34.3</w:t>
            </w:r>
          </w:p>
        </w:tc>
        <w:tc>
          <w:tcPr>
            <w:tcW w:w="1115"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52.1</w:t>
            </w:r>
          </w:p>
        </w:tc>
        <w:tc>
          <w:tcPr>
            <w:tcW w:w="111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45.4</w:t>
            </w:r>
          </w:p>
        </w:tc>
        <w:tc>
          <w:tcPr>
            <w:tcW w:w="1328"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达标</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_Ref24169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表5.5-4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可知，扩建工程投产后，在经过项目厂区距离衰减、厂房阻隔、设备减震、隔声等降噪措施后，对厂界噪声贡献值在36.3~46.1 dB（A）之间，均能够满足《工业企业厂界环境噪声排放标准》（GB12348-2008）中的3类标准。由</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_Ref21534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表5.5-5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可知，本项目建设对周边敏感点一层村的贡献值为34.3 dB（A），贡献值叠加背景值后，昼间噪声预测值为52.1dB（A），夜间噪声为45.4dB（A），可满足《声环境质量标准》（GB3096-2008）中2类区标准。因此，本项目的建设对区域声环境的影响较小。</w:t>
      </w:r>
    </w:p>
    <w:p>
      <w:pPr>
        <w:pStyle w:val="3"/>
        <w:numPr>
          <w:ilvl w:val="1"/>
          <w:numId w:val="5"/>
        </w:numPr>
        <w:bidi w:val="0"/>
        <w:rPr>
          <w:rFonts w:hint="default" w:ascii="Times New Roman" w:hAnsi="Times New Roman" w:cs="Times New Roman"/>
          <w:color w:val="auto"/>
          <w:highlight w:val="none"/>
          <w:lang w:val="en-US" w:eastAsia="zh-CN"/>
        </w:rPr>
      </w:pPr>
      <w:bookmarkStart w:id="593" w:name="_Toc4931"/>
      <w:bookmarkStart w:id="594" w:name="_Toc20143"/>
      <w:bookmarkStart w:id="595" w:name="_Toc13814"/>
      <w:bookmarkStart w:id="596" w:name="_Toc15953"/>
      <w:r>
        <w:rPr>
          <w:rFonts w:hint="default" w:ascii="Times New Roman" w:hAnsi="Times New Roman" w:cs="Times New Roman"/>
          <w:color w:val="auto"/>
          <w:highlight w:val="none"/>
          <w:lang w:val="en-US" w:eastAsia="zh-CN"/>
        </w:rPr>
        <w:t>运营期固体废物环境影响分析</w:t>
      </w:r>
      <w:bookmarkEnd w:id="593"/>
      <w:bookmarkEnd w:id="594"/>
      <w:bookmarkEnd w:id="595"/>
      <w:bookmarkEnd w:id="596"/>
    </w:p>
    <w:p>
      <w:pPr>
        <w:pStyle w:val="4"/>
        <w:numPr>
          <w:ilvl w:val="2"/>
          <w:numId w:val="3"/>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固体废物产生情况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本项目产生的固体废物主要为一般工业固体废物、危险废物和生活垃圾。其产生量及处理处置方式见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_Ref19472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表5.6-1</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ascii="Times New Roman" w:hAnsi="Times New Roman" w:cs="Times New Roman"/>
          <w:color w:val="auto"/>
          <w:highlight w:val="none"/>
          <w:lang w:val="en-US" w:eastAsia="zh-CN"/>
        </w:rPr>
      </w:pPr>
      <w:bookmarkStart w:id="597" w:name="_Ref19472"/>
      <w:r>
        <w:rPr>
          <w:rFonts w:hint="default" w:ascii="Times New Roman" w:hAnsi="Times New Roman" w:cs="Times New Roman"/>
          <w:color w:val="auto"/>
          <w:highlight w:val="none"/>
          <w:lang w:val="en-US" w:eastAsia="zh-CN"/>
        </w:rPr>
        <w:t>扩建工程固体废物产生量及一览表</w:t>
      </w:r>
      <w:bookmarkEnd w:id="597"/>
    </w:p>
    <w:p>
      <w:pPr>
        <w:pStyle w:val="4"/>
        <w:numPr>
          <w:ilvl w:val="2"/>
          <w:numId w:val="3"/>
        </w:numPr>
        <w:tabs>
          <w:tab w:val="left" w:pos="420"/>
        </w:tabs>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固体废物堆存场、暂存场设置和要求</w:t>
      </w:r>
    </w:p>
    <w:p>
      <w:pPr>
        <w:pStyle w:val="5"/>
        <w:numPr>
          <w:ilvl w:val="3"/>
          <w:numId w:val="3"/>
        </w:numPr>
        <w:tabs>
          <w:tab w:val="left" w:pos="420"/>
        </w:tabs>
        <w:bidi w:val="0"/>
        <w:rPr>
          <w:rFonts w:hint="eastAsia"/>
          <w:color w:val="auto"/>
          <w:lang w:val="en-US" w:eastAsia="zh-CN"/>
        </w:rPr>
      </w:pPr>
      <w:r>
        <w:rPr>
          <w:rFonts w:hint="eastAsia"/>
          <w:color w:val="auto"/>
          <w:lang w:val="en-US" w:eastAsia="zh-CN"/>
        </w:rPr>
        <w:t>厂内固体废物贮存设施设置</w:t>
      </w:r>
    </w:p>
    <w:p>
      <w:pPr>
        <w:rPr>
          <w:rFonts w:hint="default" w:cs="Times New Roman"/>
          <w:color w:val="auto"/>
          <w:highlight w:val="none"/>
          <w:lang w:val="en-US" w:eastAsia="zh-CN"/>
        </w:rPr>
      </w:pPr>
      <w:r>
        <w:rPr>
          <w:rFonts w:hint="eastAsia" w:cs="Times New Roman"/>
          <w:color w:val="auto"/>
          <w:highlight w:val="none"/>
          <w:lang w:val="en-US" w:eastAsia="zh-CN"/>
        </w:rPr>
        <w:t>本项目拟于综合厂房西侧设置1间占地面积为80 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 xml:space="preserve">的一般工业固体废物贮存间和1间占地面积为30 </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的危险废物贮存间</w:t>
      </w:r>
      <w:r>
        <w:rPr>
          <w:rFonts w:hint="eastAsia" w:cs="Times New Roman"/>
          <w:color w:val="auto"/>
          <w:highlight w:val="none"/>
          <w:lang w:val="en-US" w:eastAsia="zh-CN"/>
        </w:rPr>
        <w:t>，详见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_Ref6390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表5.6-2</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_Ref6449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表5.6-3</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pStyle w:val="24"/>
        <w:numPr>
          <w:ilvl w:val="6"/>
          <w:numId w:val="3"/>
        </w:numPr>
        <w:tabs>
          <w:tab w:val="left" w:pos="420"/>
        </w:tabs>
        <w:bidi w:val="0"/>
        <w:rPr>
          <w:rFonts w:hint="default"/>
          <w:color w:val="auto"/>
          <w:lang w:val="en-US" w:eastAsia="zh-CN"/>
        </w:rPr>
      </w:pPr>
      <w:bookmarkStart w:id="598" w:name="_Ref6390"/>
      <w:r>
        <w:rPr>
          <w:rFonts w:hint="eastAsia"/>
          <w:color w:val="auto"/>
          <w:lang w:val="en-US" w:eastAsia="zh-CN"/>
        </w:rPr>
        <w:t>一般工业固体废物分类暂存设施设置要求</w:t>
      </w:r>
      <w:bookmarkEnd w:id="598"/>
    </w:p>
    <w:p>
      <w:pPr>
        <w:pStyle w:val="24"/>
        <w:numPr>
          <w:ilvl w:val="6"/>
          <w:numId w:val="3"/>
        </w:numPr>
        <w:tabs>
          <w:tab w:val="left" w:pos="420"/>
        </w:tabs>
        <w:bidi w:val="0"/>
        <w:rPr>
          <w:rFonts w:hint="default"/>
          <w:color w:val="auto"/>
        </w:rPr>
      </w:pPr>
      <w:bookmarkStart w:id="599" w:name="_Ref6449"/>
      <w:r>
        <w:rPr>
          <w:rFonts w:hint="eastAsia"/>
          <w:color w:val="auto"/>
          <w:lang w:val="en-US" w:eastAsia="zh-CN"/>
        </w:rPr>
        <w:t>危险</w:t>
      </w:r>
      <w:r>
        <w:rPr>
          <w:rFonts w:hint="default"/>
          <w:color w:val="auto"/>
        </w:rPr>
        <w:t>废物分类暂存设施</w:t>
      </w:r>
      <w:bookmarkEnd w:id="599"/>
    </w:p>
    <w:p>
      <w:pPr>
        <w:pStyle w:val="5"/>
        <w:numPr>
          <w:ilvl w:val="3"/>
          <w:numId w:val="3"/>
        </w:numPr>
        <w:tabs>
          <w:tab w:val="left" w:pos="420"/>
        </w:tabs>
        <w:bidi w:val="0"/>
        <w:rPr>
          <w:rFonts w:hint="default"/>
          <w:color w:val="auto"/>
          <w:lang w:val="en-US" w:eastAsia="zh-CN"/>
        </w:rPr>
      </w:pPr>
      <w:r>
        <w:rPr>
          <w:rFonts w:hint="default"/>
          <w:color w:val="auto"/>
          <w:lang w:val="en-US" w:eastAsia="zh-CN"/>
        </w:rPr>
        <w:t>危险废物贮存场所设置要求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为防止储存过程的二次污染，其贮存和转运过程，应严格按《危险废物贮存污染控制标准》（18597-2001）</w:t>
      </w:r>
      <w:r>
        <w:rPr>
          <w:rFonts w:hint="default" w:ascii="Times New Roman" w:hAnsi="Times New Roman" w:cs="Times New Roman"/>
          <w:color w:val="auto"/>
          <w:highlight w:val="none"/>
        </w:rPr>
        <w:t>及其修改单</w:t>
      </w:r>
      <w:r>
        <w:rPr>
          <w:rFonts w:hint="default" w:ascii="Times New Roman" w:hAnsi="Times New Roman" w:cs="Times New Roman"/>
          <w:color w:val="auto"/>
          <w:highlight w:val="none"/>
          <w:lang w:val="en-US" w:eastAsia="zh-CN"/>
        </w:rPr>
        <w:t>和《危险废物转移联单管理办法》要求执行，厂区内设置危险废物暂存设施，并且在明显位置悬挂危险废物标识。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u w:val="none" w:color="auto"/>
          <w:lang w:val="en-GB"/>
        </w:rPr>
        <w:t>厂区内设置的</w:t>
      </w:r>
      <w:r>
        <w:rPr>
          <w:rFonts w:hint="default" w:ascii="Times New Roman" w:hAnsi="Times New Roman" w:cs="Times New Roman"/>
          <w:color w:val="auto"/>
          <w:highlight w:val="none"/>
          <w:lang w:val="en-US" w:eastAsia="zh-CN"/>
        </w:rPr>
        <w:t>危险废物贮存间</w:t>
      </w:r>
      <w:r>
        <w:rPr>
          <w:rFonts w:hint="default" w:ascii="Times New Roman" w:hAnsi="Times New Roman" w:cs="Times New Roman"/>
          <w:color w:val="auto"/>
          <w:highlight w:val="none"/>
          <w:u w:val="none" w:color="auto"/>
        </w:rPr>
        <w:t>设置明显标志，并具有防风、防雨淋、防日晒、防渗漏措施。</w:t>
      </w:r>
      <w:r>
        <w:rPr>
          <w:rFonts w:hint="default" w:ascii="Times New Roman" w:hAnsi="Times New Roman" w:cs="Times New Roman"/>
          <w:color w:val="auto"/>
          <w:highlight w:val="none"/>
          <w:u w:val="none" w:color="auto"/>
          <w:lang w:eastAsia="zh-CN"/>
        </w:rPr>
        <w:t>同时，</w:t>
      </w:r>
      <w:r>
        <w:rPr>
          <w:rFonts w:hint="default" w:ascii="Times New Roman" w:hAnsi="Times New Roman" w:cs="Times New Roman"/>
          <w:color w:val="auto"/>
          <w:highlight w:val="none"/>
          <w:u w:val="none" w:color="auto"/>
        </w:rPr>
        <w:t>应按照</w:t>
      </w:r>
      <w:r>
        <w:rPr>
          <w:rFonts w:hint="default" w:ascii="Times New Roman" w:hAnsi="Times New Roman" w:eastAsia="宋体" w:cs="Times New Roman"/>
          <w:color w:val="auto"/>
          <w:sz w:val="24"/>
          <w:szCs w:val="24"/>
          <w:highlight w:val="none"/>
          <w:u w:val="none" w:color="auto"/>
          <w:lang w:val="en-GB"/>
        </w:rPr>
        <w:t>《危险废物贮存污染控制标准》（GB18597-2001）</w:t>
      </w:r>
      <w:r>
        <w:rPr>
          <w:rFonts w:hint="default" w:ascii="Times New Roman" w:hAnsi="Times New Roman" w:cs="Times New Roman"/>
          <w:color w:val="auto"/>
          <w:sz w:val="24"/>
          <w:szCs w:val="24"/>
          <w:highlight w:val="none"/>
          <w:u w:val="none" w:color="auto"/>
          <w:lang w:val="en-GB"/>
        </w:rPr>
        <w:t>及2013年修改单标准</w:t>
      </w:r>
      <w:r>
        <w:rPr>
          <w:rFonts w:hint="default" w:ascii="Times New Roman" w:hAnsi="Times New Roman" w:eastAsia="宋体" w:cs="Times New Roman"/>
          <w:color w:val="auto"/>
          <w:sz w:val="24"/>
          <w:szCs w:val="24"/>
          <w:highlight w:val="none"/>
          <w:u w:val="none" w:color="auto"/>
          <w:lang w:val="en-GB"/>
        </w:rPr>
        <w:t>要求</w:t>
      </w:r>
      <w:r>
        <w:rPr>
          <w:rFonts w:hint="default" w:ascii="Times New Roman" w:hAnsi="Times New Roman" w:cs="Times New Roman"/>
          <w:color w:val="auto"/>
          <w:highlight w:val="none"/>
          <w:u w:val="none" w:color="auto"/>
          <w:lang w:val="en-GB"/>
        </w:rPr>
        <w:t>建设，</w:t>
      </w:r>
      <w:r>
        <w:rPr>
          <w:rFonts w:hint="default" w:ascii="Times New Roman" w:hAnsi="Times New Roman" w:cs="Times New Roman"/>
          <w:color w:val="auto"/>
          <w:highlight w:val="none"/>
          <w:u w:val="none" w:color="auto"/>
          <w:lang w:val="en-GB" w:eastAsia="zh-CN"/>
        </w:rPr>
        <w:t>主要要求包括：</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（1）地面与裙脚要用坚固、防渗的材料建造，建筑材料必须与危险废物相容。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（2）必须有耐腐蚀的硬化地面，且表面无裂隙。</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（3）应设置明显标志和围堰，并具有防风、防雨、防渗设施。其中基础防渗，防渗层为至少1米厚粘土层（渗透系数≤10</w:t>
      </w:r>
      <w:r>
        <w:rPr>
          <w:rFonts w:hint="default" w:ascii="Times New Roman" w:hAnsi="Times New Roman" w:cs="Times New Roman"/>
          <w:color w:val="auto"/>
          <w:highlight w:val="none"/>
          <w:vertAlign w:val="superscript"/>
          <w:lang w:val="en-US" w:eastAsia="zh-CN"/>
        </w:rPr>
        <w:t>-7</w:t>
      </w:r>
      <w:r>
        <w:rPr>
          <w:rFonts w:hint="default" w:ascii="Times New Roman" w:hAnsi="Times New Roman" w:cs="Times New Roman"/>
          <w:color w:val="auto"/>
          <w:highlight w:val="none"/>
          <w:lang w:val="en-US" w:eastAsia="zh-CN"/>
        </w:rPr>
        <w:t xml:space="preserve"> cm/s），或2 mm厚高密度聚乙烯，或至少2 mm厚的其它人工材料，渗透系数≤10</w:t>
      </w:r>
      <w:r>
        <w:rPr>
          <w:rFonts w:hint="default" w:ascii="Times New Roman" w:hAnsi="Times New Roman" w:cs="Times New Roman"/>
          <w:color w:val="auto"/>
          <w:highlight w:val="none"/>
          <w:vertAlign w:val="superscript"/>
          <w:lang w:val="en-US" w:eastAsia="zh-CN"/>
        </w:rPr>
        <w:t>-10</w:t>
      </w:r>
      <w:r>
        <w:rPr>
          <w:rFonts w:hint="default" w:ascii="Times New Roman" w:hAnsi="Times New Roman" w:cs="Times New Roman"/>
          <w:color w:val="auto"/>
          <w:highlight w:val="none"/>
          <w:lang w:val="en-US" w:eastAsia="zh-CN"/>
        </w:rPr>
        <w:t xml:space="preserve"> cm/s。</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（4）装载液体、半固体危险废物的容器内需留足足够空间，容器顶部与液体表面之间保留100 mm以上的空间。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（5）盛装危险废物的容器上必须黏贴符合本标准的标签，并使用符合标准的容器盛装危险废物。</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（6）危险废物贮存间四周设置导流沟。</w:t>
      </w:r>
    </w:p>
    <w:p>
      <w:pPr>
        <w:keepNext w:val="0"/>
        <w:keepLines w:val="0"/>
        <w:widowControl/>
        <w:suppressLineNumbers w:val="0"/>
        <w:jc w:val="left"/>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现有工程已建设有1间10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的危险废物贮存间，其已按照</w:t>
      </w:r>
      <w:r>
        <w:rPr>
          <w:rFonts w:hint="default" w:ascii="Times New Roman" w:hAnsi="Times New Roman" w:eastAsia="宋体" w:cs="Times New Roman"/>
          <w:color w:val="auto"/>
          <w:kern w:val="0"/>
          <w:sz w:val="24"/>
          <w:szCs w:val="24"/>
          <w:highlight w:val="none"/>
          <w:lang w:val="en-US" w:eastAsia="zh-CN" w:bidi="ar"/>
        </w:rPr>
        <w:t>以上原则进行设置，且已委托具备相应的能力和资质的危险废物处置或利用单位处置。本次扩建项目拟在新增地块的厂区西侧</w:t>
      </w:r>
      <w:r>
        <w:rPr>
          <w:rFonts w:hint="default" w:ascii="Times New Roman" w:hAnsi="Times New Roman" w:eastAsia="宋体" w:cs="Times New Roman"/>
          <w:color w:val="auto"/>
          <w:highlight w:val="none"/>
          <w:lang w:val="en-US" w:eastAsia="zh-CN"/>
        </w:rPr>
        <w:t>新建1座一层的危险废物贮存间，面积为</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0 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。危险废物贮存间按照种类分区，并设置围堰、导流沟和防风、防雨、防渗等措施。</w:t>
      </w:r>
    </w:p>
    <w:p>
      <w:pPr>
        <w:pStyle w:val="5"/>
        <w:numPr>
          <w:ilvl w:val="3"/>
          <w:numId w:val="3"/>
        </w:numPr>
        <w:tabs>
          <w:tab w:val="left" w:pos="420"/>
        </w:tabs>
        <w:bidi w:val="0"/>
        <w:rPr>
          <w:rFonts w:hint="default"/>
          <w:color w:val="auto"/>
          <w:lang w:val="en-US" w:eastAsia="zh-CN"/>
        </w:rPr>
      </w:pPr>
      <w:r>
        <w:rPr>
          <w:rFonts w:hint="default"/>
          <w:color w:val="auto"/>
          <w:lang w:val="en-US" w:eastAsia="zh-CN"/>
        </w:rPr>
        <w:t>危险废物转运管理要求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（1）由专人负责危险废物的日常收集和管理，对任何进出临时贮存所的危险废物都要记录在案，做好危险废物出入量及处置记录。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（2）建立危险废物登记台账：包括危险废物名称、产生车间或工序、产生量、产生时间、交接人、交接时间等；</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（3）建立危险废物转移登记台账：包括危险废物名称、转移数量、转移时间、去向、运输工具、交接人、交接时间等；</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（4）危险废物运输应由持有危险废物经营许可证的单位按照其许可证的经营范围组织实施，承担危险废物运输的单位应获得交通运输部门颁发的危险货物运输资质。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（5）危险废物转移全过程环境管理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目前，福建省已建立福建省固体废物环境监管平台，危险废物已实行网上电子联单管理，企业运营过程产生的危险废物应按管理平台流程填报，主要流程包括：</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①产生单位填写电子联单。转移当天，产生单位登陆省固废平台填报转移信息，即电子联单第一部分内容，确定无误后保存提交，并打印加盖公章，交付危险废物运输单位核实验收并随车携带。</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接受单位填写电子联单并完成审核。危险废物运至接受单位后，运输单位将随车携带的纸质联单交接受单位，接受单位对危险废物核实验收，确认转移信息无误后，当天登录省固废平台填写电子联单第二部分和第三部分内容并确认提交。发现联单第一部分转移信息有误的，退回产生单位修改重新提交确认。</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打印电子联单并盖章存档备查。电子联单确认完毕后，产生单位打印一式5份纸质联单，产生单位和接受单位分别盖章，产生单位、接收单位、运输单位、产生地环保分局和接受地环保局各存一份备查。发生转移12天内由产生单位将联单报送所在地环保分局，并附上对应过磅单。</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环保分局核查并汇总上报市局。各环保分局对省固废平台电子联单、企业报送的纸质联单和过磅单进行核对，确认无误后于每月15日前汇总上月的危废转移情况报送市环保局（危险废物管理—危险废物转移管理—转移联单管理—联单查询—导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另外，危险废物处置或利用单位必须具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w:t>
      </w:r>
    </w:p>
    <w:p>
      <w:pPr>
        <w:pStyle w:val="4"/>
        <w:numPr>
          <w:ilvl w:val="2"/>
          <w:numId w:val="3"/>
        </w:numPr>
        <w:tabs>
          <w:tab w:val="left" w:pos="420"/>
        </w:tabs>
        <w:bidi w:val="0"/>
        <w:rPr>
          <w:rFonts w:hint="default"/>
          <w:color w:val="auto"/>
          <w:lang w:val="en-US" w:eastAsia="zh-CN"/>
        </w:rPr>
      </w:pPr>
      <w:r>
        <w:rPr>
          <w:rFonts w:hint="default"/>
          <w:color w:val="auto"/>
          <w:lang w:val="en-US" w:eastAsia="zh-CN"/>
        </w:rPr>
        <w:t>固体废物影响分析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（1）固体废物贮存场所（设施）环境影响分析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本项目的危险废物贮存场按照《危险废物贮存污染控制标准》（GB18597-2001）及其修改单的要求进行建设，</w:t>
      </w:r>
      <w:r>
        <w:rPr>
          <w:rFonts w:hint="eastAsia" w:cs="Times New Roman"/>
          <w:color w:val="auto"/>
          <w:highlight w:val="none"/>
          <w:lang w:val="en-US" w:eastAsia="zh-CN"/>
        </w:rPr>
        <w:t>涤纶织物下脚料仓库、</w:t>
      </w:r>
      <w:r>
        <w:rPr>
          <w:rFonts w:hint="default" w:ascii="Times New Roman" w:hAnsi="Times New Roman" w:cs="Times New Roman"/>
          <w:color w:val="auto"/>
          <w:highlight w:val="none"/>
          <w:lang w:val="en-US" w:eastAsia="zh-CN"/>
        </w:rPr>
        <w:t>一般工业固体废物贮存间按照</w:t>
      </w:r>
      <w:r>
        <w:rPr>
          <w:rFonts w:hint="default" w:ascii="Times New Roman" w:hAnsi="Times New Roman" w:cs="Times New Roman"/>
          <w:color w:val="auto"/>
          <w:highlight w:val="none"/>
        </w:rPr>
        <w:t>《一般工业固体废物贮存</w:t>
      </w:r>
      <w:r>
        <w:rPr>
          <w:rFonts w:hint="default" w:ascii="Times New Roman" w:hAnsi="Times New Roman" w:cs="Times New Roman"/>
          <w:color w:val="auto"/>
          <w:highlight w:val="none"/>
          <w:lang w:val="en-US" w:eastAsia="zh-CN"/>
        </w:rPr>
        <w:t>和填埋</w:t>
      </w:r>
      <w:r>
        <w:rPr>
          <w:rFonts w:hint="default" w:ascii="Times New Roman" w:hAnsi="Times New Roman" w:cs="Times New Roman"/>
          <w:color w:val="auto"/>
          <w:highlight w:val="none"/>
        </w:rPr>
        <w:t>污染控制标准》(GB18599-20</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的要求进行建设，基本可满足本项目固体废物的储存要求。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对大气环境的影响：本项目产生的固体废物主要为一般工业固体废物（杂质、废熔块、废丝、废过滤网、废包装袋、污泥、布袋粉尘）、危险废物（废油剂、浸油槽废液、煅烧废渣、废机油、废油剂空桶、含油抹布（豁免））和生活垃圾，形态包括固体和液体，固体类危险废物利用防渗透的包装袋或桶包装储存、液体类危险废物利用专用桶装储存，并储存于符合《危险废物贮存污染控制标准》（GB18597</w:t>
      </w:r>
      <w:r>
        <w:rPr>
          <w:rFonts w:hint="eastAsia" w:cs="Times New Roman"/>
          <w:color w:val="auto"/>
          <w:highlight w:val="none"/>
          <w:lang w:val="en-US" w:eastAsia="zh-CN"/>
        </w:rPr>
        <w:t>-2001</w:t>
      </w:r>
      <w:r>
        <w:rPr>
          <w:rFonts w:hint="default" w:ascii="Times New Roman" w:hAnsi="Times New Roman" w:cs="Times New Roman"/>
          <w:color w:val="auto"/>
          <w:highlight w:val="none"/>
          <w:lang w:val="en-US" w:eastAsia="zh-CN"/>
        </w:rPr>
        <w:t>）的储存场内，因此储存场所的废气排放量很小，对环境影响较小。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②对地下水环境的影响：本项目危险废物贮存场所按照《危险废物贮存污染控制标准》的要求进行防渗建设，一般工业固体废物贮存间按照</w:t>
      </w:r>
      <w:r>
        <w:rPr>
          <w:rFonts w:hint="default" w:ascii="Times New Roman" w:hAnsi="Times New Roman" w:cs="Times New Roman"/>
          <w:color w:val="auto"/>
          <w:highlight w:val="none"/>
        </w:rPr>
        <w:t>《一般工业固体废物贮存</w:t>
      </w:r>
      <w:r>
        <w:rPr>
          <w:rFonts w:hint="default" w:ascii="Times New Roman" w:hAnsi="Times New Roman" w:cs="Times New Roman"/>
          <w:color w:val="auto"/>
          <w:highlight w:val="none"/>
          <w:lang w:val="en-US" w:eastAsia="zh-CN"/>
        </w:rPr>
        <w:t>和填埋</w:t>
      </w:r>
      <w:r>
        <w:rPr>
          <w:rFonts w:hint="default" w:ascii="Times New Roman" w:hAnsi="Times New Roman" w:cs="Times New Roman"/>
          <w:color w:val="auto"/>
          <w:highlight w:val="none"/>
        </w:rPr>
        <w:t>污染控制标准》(GB18599-20</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的要求进行建设，对地下水的影响很小。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③对水环境的影响：本项目一般工业固体废物贮存间及危险废物贮存间均按照有关标准要求建设，基本不会对水环境产生影响。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（2）固体废物运输过程的环境影响分析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液态的危险废物主要为废油剂、浸油槽废液和废机械油等，由专用桶盛装后委托有资质的单位处置；煅烧废渣等固态危险废物，袋装或桶装后委托有资质的单位处置，废油剂空桶由厂家回收综合利用。因此正常情况下，不会对环境产生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本项目危险废物在出厂前，按危险废物的惯例要求，进行严格的包装，委托有资质的单位进行运输和处理后，不会对环境产生二次污染。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输过程的最大环境风险为交通事故造成的环境影响，因此要求承接的有资质处置单位，按照该单位的环境影响报告书及相关法规要求，采用专用的危险废物运输车辆运输，采取有效的运输过程风险防控和应急处置措施，杜绝交通事故发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的固体废物均根据环评时段的具体要求，采取了相应的处置措施，只要建设单位认真落实本环评提出的各项固体废物处置措施，并按照固体废物的相关管理要求，加强各类固体废物的收集、分类储存、转移和处置管理，本扩建工程运营期产生的固体废物不会造成二次污染，因此对环境的影响很小。</w:t>
      </w:r>
    </w:p>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小结</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u w:val="none"/>
          <w:lang w:val="en-US" w:eastAsia="zh-CN"/>
        </w:rPr>
        <w:t>本次扩建</w:t>
      </w:r>
      <w:r>
        <w:rPr>
          <w:rFonts w:hint="default" w:ascii="Times New Roman" w:hAnsi="Times New Roman" w:eastAsia="宋体" w:cs="Times New Roman"/>
          <w:color w:val="auto"/>
          <w:highlight w:val="none"/>
          <w:u w:val="none"/>
        </w:rPr>
        <w:t>项目产生的固体废物基本上能够遵循分类管理、妥善储存、合理处置的原则，进行</w:t>
      </w:r>
      <w:r>
        <w:rPr>
          <w:rFonts w:hint="default" w:ascii="Times New Roman" w:hAnsi="Times New Roman" w:eastAsia="宋体" w:cs="Times New Roman"/>
          <w:color w:val="auto"/>
          <w:highlight w:val="none"/>
          <w:u w:val="none"/>
          <w:lang w:val="en-US" w:eastAsia="zh-CN"/>
        </w:rPr>
        <w:t>固体废物</w:t>
      </w:r>
      <w:r>
        <w:rPr>
          <w:rFonts w:hint="default" w:ascii="Times New Roman" w:hAnsi="Times New Roman" w:eastAsia="宋体" w:cs="Times New Roman"/>
          <w:color w:val="auto"/>
          <w:highlight w:val="none"/>
          <w:u w:val="none"/>
        </w:rPr>
        <w:t>处置</w:t>
      </w:r>
      <w:r>
        <w:rPr>
          <w:rFonts w:hint="default" w:ascii="Times New Roman" w:hAnsi="Times New Roman" w:eastAsia="宋体" w:cs="Times New Roman"/>
          <w:color w:val="auto"/>
          <w:highlight w:val="none"/>
          <w:u w:val="none"/>
          <w:lang w:val="en-US" w:eastAsia="zh-CN"/>
        </w:rPr>
        <w:t>和综合利用</w:t>
      </w:r>
      <w:r>
        <w:rPr>
          <w:rFonts w:hint="default" w:ascii="Times New Roman" w:hAnsi="Times New Roman" w:eastAsia="宋体" w:cs="Times New Roman"/>
          <w:color w:val="auto"/>
          <w:highlight w:val="none"/>
          <w:u w:val="none"/>
        </w:rPr>
        <w:t>。符合固体废物处理处置“减量化、资源化、无害化”的原则，对环境造成的影响较小</w:t>
      </w:r>
      <w:r>
        <w:rPr>
          <w:rFonts w:hint="default" w:ascii="Times New Roman" w:hAnsi="Times New Roman" w:eastAsia="宋体" w:cs="Times New Roman"/>
          <w:color w:val="auto"/>
          <w:highlight w:val="none"/>
          <w:u w:val="none"/>
          <w:lang w:eastAsia="zh-CN"/>
        </w:rPr>
        <w:t>。</w:t>
      </w:r>
    </w:p>
    <w:p>
      <w:pPr>
        <w:pStyle w:val="3"/>
        <w:numPr>
          <w:ilvl w:val="1"/>
          <w:numId w:val="5"/>
        </w:numPr>
        <w:bidi w:val="0"/>
        <w:rPr>
          <w:rFonts w:hint="default" w:ascii="Times New Roman" w:hAnsi="Times New Roman" w:cs="Times New Roman"/>
          <w:color w:val="auto"/>
          <w:highlight w:val="none"/>
          <w:lang w:val="en-US" w:eastAsia="zh-CN"/>
        </w:rPr>
      </w:pPr>
      <w:bookmarkStart w:id="600" w:name="_Toc17788"/>
      <w:bookmarkStart w:id="601" w:name="_Toc2549"/>
      <w:bookmarkStart w:id="602" w:name="_Toc11500"/>
      <w:bookmarkStart w:id="603" w:name="_Toc24367"/>
      <w:r>
        <w:rPr>
          <w:rFonts w:hint="default" w:ascii="Times New Roman" w:hAnsi="Times New Roman" w:cs="Times New Roman"/>
          <w:color w:val="auto"/>
          <w:highlight w:val="none"/>
          <w:lang w:val="en-US" w:eastAsia="zh-CN"/>
        </w:rPr>
        <w:t>运营期土壤环境影响分析</w:t>
      </w:r>
      <w:bookmarkEnd w:id="600"/>
      <w:bookmarkEnd w:id="601"/>
      <w:bookmarkEnd w:id="602"/>
      <w:bookmarkEnd w:id="603"/>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本项目土壤环境评价工作等级为三级，根据《环境影响评价技术导则 土壤环境（试行）》（HJ964-2018），三级评价可采用定性描述或类比分析法进行预测。本次评价采用定性描述。</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现有工程已建设完成并投入运营，本次扩建工程与现有工程无依托关系。本次扩建后，运营期对土壤的影响主要来自工业“三废”排放。工业废气中的污染物主要通过降水、扩散和重力作用降落至地面，渗透进入土壤，进而污染土壤环境。</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（1）本项目大气污染物主要为生产过程产生的颗粒物、非甲烷总烃</w:t>
      </w:r>
      <w:r>
        <w:rPr>
          <w:rFonts w:hint="eastAsia" w:cs="Times New Roman"/>
          <w:color w:val="auto"/>
          <w:highlight w:val="none"/>
          <w:lang w:val="en-US" w:eastAsia="zh-CN"/>
        </w:rPr>
        <w:t>等</w:t>
      </w:r>
      <w:r>
        <w:rPr>
          <w:rFonts w:hint="default" w:ascii="Times New Roman" w:hAnsi="Times New Roman" w:cs="Times New Roman"/>
          <w:color w:val="auto"/>
          <w:highlight w:val="none"/>
          <w:lang w:val="en-US" w:eastAsia="zh-CN"/>
        </w:rPr>
        <w:t>；天然气锅炉燃烧烟气（烟尘、SO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）及污水处理站恶臭（NH</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lang w:val="en-US" w:eastAsia="zh-CN"/>
        </w:rPr>
        <w:t>），产生量较小，不会经过大气沉降等对周围土壤造成污染。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本项目生产废水经自建污水处理站处理后排入园区污水管网，最终进入牙城镇污水处理厂处理；生活污水经化粪池处理后通过园区污水管网排入牙城镇污水处理厂深度处理。污水处理站各池体均做好防渗处理，因渗漏对污染土壤的可能性极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地下水环境影响章节中，已分析了非正常状况下，废水对地下水的影响，从结果可以看出，若污水站调节池底部（废水污染物浓度最高处）发生渗漏，污染物将穿过包气带，影响到地下水。污染物穿越包气带的过程中，由于土壤的阻隔、吸附作用，导致土壤受到污染。因此，项目应严格落实好防渗工程并定期检查重点风险点，杜绝</w:t>
      </w:r>
      <w:r>
        <w:rPr>
          <w:rFonts w:hint="eastAsia" w:cs="Times New Roman"/>
          <w:color w:val="auto"/>
          <w:highlight w:val="none"/>
          <w:lang w:val="en-US" w:eastAsia="zh-CN"/>
        </w:rPr>
        <w:t>泄漏</w:t>
      </w:r>
      <w:r>
        <w:rPr>
          <w:rFonts w:hint="default" w:ascii="Times New Roman" w:hAnsi="Times New Roman" w:cs="Times New Roman"/>
          <w:color w:val="auto"/>
          <w:highlight w:val="none"/>
          <w:lang w:val="en-US" w:eastAsia="zh-CN"/>
        </w:rPr>
        <w:t>情况的发生。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项目产生的工业固体废物其影响基本在厂内，设有专门的危险废物贮存间、一般工业固体废物贮存间，危险废物贮存间按照《危险废物贮存污染控制标准》（GB18597-2001）及其修改单的要求进行建设，可保证各危险废物能得到妥善的贮存和处理，不会因渗漏等原因对周土壤造成污染。</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经上述措施，正常情况下，项目运营期间对土壤环境的影响较小。</w:t>
      </w:r>
    </w:p>
    <w:p>
      <w:pPr>
        <w:pStyle w:val="24"/>
        <w:numPr>
          <w:ilvl w:val="6"/>
          <w:numId w:val="6"/>
        </w:numPr>
        <w:tabs>
          <w:tab w:val="left" w:pos="42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土壤环境影响评价自查表</w:t>
      </w:r>
    </w:p>
    <w:tbl>
      <w:tblPr>
        <w:tblStyle w:val="17"/>
        <w:tblW w:w="9070"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591"/>
        <w:gridCol w:w="1725"/>
        <w:gridCol w:w="1081"/>
        <w:gridCol w:w="1204"/>
        <w:gridCol w:w="1119"/>
        <w:gridCol w:w="865"/>
        <w:gridCol w:w="1387"/>
        <w:gridCol w:w="109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2316"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工作内容</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完成情况</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影响识别</w:t>
            </w: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影响类型</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污染影响型</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；生态影响型</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；两种兼有</w:t>
            </w:r>
            <w:r>
              <w:rPr>
                <w:rFonts w:hint="default" w:ascii="Times New Roman" w:hAnsi="Times New Roman" w:cs="Times New Roman"/>
                <w:color w:val="auto"/>
                <w:highlight w:val="none"/>
              </w:rPr>
              <w:sym w:font="Wingdings 2" w:char="00A3"/>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土地利用类型</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建设用地</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；农用地□；未利用地</w:t>
            </w:r>
            <w:r>
              <w:rPr>
                <w:rFonts w:hint="default" w:ascii="Times New Roman" w:hAnsi="Times New Roman" w:cs="Times New Roman"/>
                <w:color w:val="auto"/>
                <w:highlight w:val="none"/>
              </w:rPr>
              <w:sym w:font="Wingdings 2" w:char="00A3"/>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占地规模</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2.27725</w:t>
            </w:r>
            <w:r>
              <w:rPr>
                <w:rFonts w:hint="default" w:ascii="Times New Roman" w:hAnsi="Times New Roman" w:cs="Times New Roman"/>
                <w:color w:val="auto"/>
                <w:highlight w:val="none"/>
              </w:rPr>
              <w:t>）hm</w:t>
            </w:r>
            <w:r>
              <w:rPr>
                <w:rFonts w:hint="default" w:ascii="Times New Roman" w:hAnsi="Times New Roman" w:cs="Times New Roman"/>
                <w:color w:val="auto"/>
                <w:highlight w:val="none"/>
                <w:vertAlign w:val="superscript"/>
              </w:rPr>
              <w:t>2</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敏感目标信息</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敏感目标（）、方位（）、距离（）</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影响途径</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大气沉降</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；地面漫流</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；垂直入渗</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；地下水位□；其他（</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全部污染物</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特征因子</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所属土壤环境影响评价项目类别</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Ⅰ类</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；Ⅱ类</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；Ⅲ类</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；Ⅳ类</w:t>
            </w:r>
            <w:r>
              <w:rPr>
                <w:rFonts w:hint="default" w:ascii="Times New Roman" w:hAnsi="Times New Roman" w:cs="Times New Roman"/>
                <w:color w:val="auto"/>
                <w:highlight w:val="none"/>
              </w:rPr>
              <w:sym w:font="Wingdings 2" w:char="00A3"/>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敏感程度</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；较敏感</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；不敏感</w:t>
            </w:r>
            <w:r>
              <w:rPr>
                <w:rFonts w:hint="default" w:ascii="Times New Roman" w:hAnsi="Times New Roman" w:cs="Times New Roman"/>
                <w:color w:val="auto"/>
                <w:highlight w:val="none"/>
              </w:rPr>
              <w:sym w:font="Wingdings 2" w:char="0052"/>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2316"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评价工作等级</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；二级</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；三级</w:t>
            </w:r>
            <w:r>
              <w:rPr>
                <w:rFonts w:hint="default" w:ascii="Times New Roman" w:hAnsi="Times New Roman" w:cs="Times New Roman"/>
                <w:color w:val="auto"/>
                <w:highlight w:val="none"/>
              </w:rPr>
              <w:sym w:font="Wingdings 2" w:char="0052"/>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现状调查内容</w:t>
            </w: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资料收集</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；b）</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；c）</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；d）</w:t>
            </w:r>
            <w:r>
              <w:rPr>
                <w:rFonts w:hint="default" w:ascii="Times New Roman" w:hAnsi="Times New Roman" w:cs="Times New Roman"/>
                <w:color w:val="auto"/>
                <w:highlight w:val="none"/>
              </w:rPr>
              <w:sym w:font="Wingdings 2" w:char="0052"/>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理化特性</w:t>
            </w:r>
          </w:p>
        </w:tc>
        <w:tc>
          <w:tcPr>
            <w:tcW w:w="5656" w:type="dxa"/>
            <w:gridSpan w:val="5"/>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见“4.3.5土壤环境质量现状调查与评价章节”</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_Ref6984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表4.3-17</w:t>
            </w:r>
            <w:r>
              <w:rPr>
                <w:rFonts w:hint="default" w:ascii="Times New Roman" w:hAnsi="Times New Roman" w:eastAsia="宋体" w:cs="Times New Roman"/>
                <w:color w:val="auto"/>
                <w:highlight w:val="none"/>
                <w:lang w:val="en-US" w:eastAsia="zh-CN"/>
              </w:rPr>
              <w:fldChar w:fldCharType="end"/>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现状监测点位</w:t>
            </w:r>
          </w:p>
        </w:tc>
        <w:tc>
          <w:tcPr>
            <w:tcW w:w="1081" w:type="dxa"/>
            <w:tcBorders>
              <w:tl2br w:val="nil"/>
              <w:tr2bl w:val="nil"/>
            </w:tcBorders>
            <w:vAlign w:val="center"/>
          </w:tcPr>
          <w:p>
            <w:pPr>
              <w:pStyle w:val="21"/>
              <w:bidi w:val="0"/>
              <w:rPr>
                <w:rFonts w:hint="default" w:ascii="Times New Roman" w:hAnsi="Times New Roman" w:cs="Times New Roman"/>
                <w:color w:val="auto"/>
                <w:highlight w:val="none"/>
              </w:rPr>
            </w:pPr>
          </w:p>
        </w:tc>
        <w:tc>
          <w:tcPr>
            <w:tcW w:w="1204"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占地范围内</w:t>
            </w:r>
          </w:p>
        </w:tc>
        <w:tc>
          <w:tcPr>
            <w:tcW w:w="1119"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占地范围外</w:t>
            </w:r>
          </w:p>
        </w:tc>
        <w:tc>
          <w:tcPr>
            <w:tcW w:w="2252"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深度</w:t>
            </w:r>
          </w:p>
        </w:tc>
        <w:tc>
          <w:tcPr>
            <w:tcW w:w="1098" w:type="dxa"/>
            <w:vMerge w:val="restart"/>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点位布置图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_Ref24768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图4.3-2</w:t>
            </w:r>
            <w:r>
              <w:rPr>
                <w:rFonts w:hint="default" w:ascii="Times New Roman" w:hAnsi="Times New Roman" w:cs="Times New Roman"/>
                <w:color w:val="auto"/>
                <w:highlight w:val="none"/>
                <w:lang w:val="en-US" w:eastAsia="zh-CN"/>
              </w:rPr>
              <w:fldChar w:fldCharType="end"/>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081"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表层样点数</w:t>
            </w:r>
          </w:p>
        </w:tc>
        <w:tc>
          <w:tcPr>
            <w:tcW w:w="1204"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个</w:t>
            </w:r>
          </w:p>
        </w:tc>
        <w:tc>
          <w:tcPr>
            <w:tcW w:w="1119"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2252"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m</w:t>
            </w: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081"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柱状样点数</w:t>
            </w:r>
          </w:p>
        </w:tc>
        <w:tc>
          <w:tcPr>
            <w:tcW w:w="1204"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119" w:type="dxa"/>
            <w:tcBorders>
              <w:tl2br w:val="nil"/>
              <w:tr2bl w:val="nil"/>
            </w:tcBorders>
            <w:vAlign w:val="center"/>
          </w:tcPr>
          <w:p>
            <w:pPr>
              <w:pStyle w:val="21"/>
              <w:bidi w:val="0"/>
              <w:rPr>
                <w:rFonts w:hint="default" w:ascii="Times New Roman" w:hAnsi="Times New Roman" w:cs="Times New Roman"/>
                <w:color w:val="auto"/>
                <w:highlight w:val="none"/>
                <w:lang w:eastAsia="zh-CN"/>
              </w:rPr>
            </w:pPr>
          </w:p>
        </w:tc>
        <w:tc>
          <w:tcPr>
            <w:tcW w:w="2252" w:type="dxa"/>
            <w:gridSpan w:val="2"/>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现状监测因子</w:t>
            </w:r>
          </w:p>
        </w:tc>
        <w:tc>
          <w:tcPr>
            <w:tcW w:w="5656" w:type="dxa"/>
            <w:gridSpan w:val="5"/>
            <w:tcBorders>
              <w:tl2br w:val="nil"/>
              <w:tr2bl w:val="nil"/>
            </w:tcBorders>
            <w:vAlign w:val="center"/>
          </w:tcPr>
          <w:p>
            <w:pPr>
              <w:pStyle w:val="21"/>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GB36600</w:t>
            </w:r>
            <w:r>
              <w:rPr>
                <w:rFonts w:hint="default" w:ascii="Times New Roman" w:hAnsi="Times New Roman" w:cs="Times New Roman"/>
                <w:color w:val="auto"/>
                <w:highlight w:val="none"/>
                <w:lang w:val="en-US" w:eastAsia="zh-CN"/>
              </w:rPr>
              <w:t>-2018</w:t>
            </w:r>
            <w:r>
              <w:rPr>
                <w:rFonts w:hint="default" w:ascii="Times New Roman" w:hAnsi="Times New Roman" w:cs="Times New Roman"/>
                <w:color w:val="auto"/>
                <w:highlight w:val="none"/>
              </w:rPr>
              <w:t>表1中规定的基本项目</w:t>
            </w:r>
            <w:r>
              <w:rPr>
                <w:rFonts w:hint="default" w:ascii="Times New Roman" w:hAnsi="Times New Roman" w:cs="Times New Roman"/>
                <w:color w:val="auto"/>
                <w:highlight w:val="none"/>
                <w:lang w:val="en-US" w:eastAsia="zh-CN"/>
              </w:rPr>
              <w:t>45项、石油烃、pH值</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GB36600</w:t>
            </w:r>
            <w:r>
              <w:rPr>
                <w:rFonts w:hint="default" w:ascii="Times New Roman" w:hAnsi="Times New Roman" w:cs="Times New Roman"/>
                <w:color w:val="auto"/>
                <w:highlight w:val="none"/>
                <w:lang w:val="en-US" w:eastAsia="zh-CN"/>
              </w:rPr>
              <w:t>-2018</w:t>
            </w:r>
            <w:r>
              <w:rPr>
                <w:rFonts w:hint="default" w:ascii="Times New Roman" w:hAnsi="Times New Roman" w:cs="Times New Roman"/>
                <w:color w:val="auto"/>
                <w:highlight w:val="none"/>
              </w:rPr>
              <w:t>表1中规定的基本项目</w:t>
            </w:r>
            <w:r>
              <w:rPr>
                <w:rFonts w:hint="default" w:ascii="Times New Roman" w:hAnsi="Times New Roman" w:cs="Times New Roman"/>
                <w:color w:val="auto"/>
                <w:highlight w:val="none"/>
                <w:lang w:val="en-US" w:eastAsia="zh-CN"/>
              </w:rPr>
              <w:t>45项、石油烃、pH值</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GB 15618</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；GB 36600</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；表D.1□；表 D.2□；其他（）</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现状评价结论</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各监测点位的评价因子均符合GB36600</w:t>
            </w:r>
            <w:r>
              <w:rPr>
                <w:rFonts w:hint="default" w:ascii="Times New Roman" w:hAnsi="Times New Roman" w:cs="Times New Roman"/>
                <w:color w:val="auto"/>
                <w:highlight w:val="none"/>
                <w:lang w:val="en-US" w:eastAsia="zh-CN"/>
              </w:rPr>
              <w:t>-2018</w:t>
            </w:r>
            <w:r>
              <w:rPr>
                <w:rFonts w:hint="default" w:ascii="Times New Roman" w:hAnsi="Times New Roman" w:cs="Times New Roman"/>
                <w:color w:val="auto"/>
                <w:highlight w:val="none"/>
              </w:rPr>
              <w:t>中第二类用地筛选值</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影响预测</w:t>
            </w: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098" w:type="dxa"/>
            <w:vMerge w:val="restart"/>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预测方法</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附录 E</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；附录 F</w:t>
            </w:r>
            <w:r>
              <w:rPr>
                <w:rFonts w:hint="default" w:ascii="Times New Roman" w:hAnsi="Times New Roman" w:cs="Times New Roman"/>
                <w:color w:val="auto"/>
                <w:highlight w:val="none"/>
              </w:rPr>
              <w:sym w:font="Wingdings 2" w:char="00A3"/>
            </w:r>
            <w:r>
              <w:rPr>
                <w:rFonts w:hint="default" w:ascii="Times New Roman" w:hAnsi="Times New Roman" w:cs="Times New Roman"/>
                <w:color w:val="auto"/>
                <w:highlight w:val="none"/>
              </w:rPr>
              <w:t>；其他（</w:t>
            </w:r>
            <w:r>
              <w:rPr>
                <w:rFonts w:hint="default" w:ascii="Times New Roman" w:hAnsi="Times New Roman" w:cs="Times New Roman"/>
                <w:color w:val="auto"/>
                <w:highlight w:val="none"/>
                <w:lang w:val="en-US" w:eastAsia="zh-CN"/>
              </w:rPr>
              <w:t>定性描述</w:t>
            </w:r>
            <w:r>
              <w:rPr>
                <w:rFonts w:hint="default" w:ascii="Times New Roman" w:hAnsi="Times New Roman" w:cs="Times New Roman"/>
                <w:color w:val="auto"/>
                <w:highlight w:val="none"/>
              </w:rPr>
              <w:t>）</w:t>
            </w: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预测分析内容</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影响范围（</w:t>
            </w:r>
            <w:r>
              <w:rPr>
                <w:rFonts w:hint="default" w:ascii="Times New Roman" w:hAnsi="Times New Roman" w:cs="Times New Roman"/>
                <w:color w:val="auto"/>
                <w:highlight w:val="none"/>
                <w:lang w:val="en-US" w:eastAsia="zh-CN"/>
              </w:rPr>
              <w:t>正常工况无影响</w:t>
            </w:r>
            <w:r>
              <w:rPr>
                <w:rFonts w:hint="default" w:ascii="Times New Roman" w:hAnsi="Times New Roman" w:cs="Times New Roman"/>
                <w:color w:val="auto"/>
                <w:highlight w:val="none"/>
              </w:rPr>
              <w:t>）</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影响程度（</w:t>
            </w:r>
            <w:r>
              <w:rPr>
                <w:rFonts w:hint="default" w:ascii="Times New Roman" w:hAnsi="Times New Roman" w:cs="Times New Roman"/>
                <w:color w:val="auto"/>
                <w:highlight w:val="none"/>
                <w:lang w:val="en-US" w:eastAsia="zh-CN"/>
              </w:rPr>
              <w:t>正常工况无影响</w:t>
            </w:r>
            <w:r>
              <w:rPr>
                <w:rFonts w:hint="default" w:ascii="Times New Roman" w:hAnsi="Times New Roman" w:cs="Times New Roman"/>
                <w:color w:val="auto"/>
                <w:highlight w:val="none"/>
              </w:rPr>
              <w:t>）</w:t>
            </w: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预测结论</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达标结论：a）</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；b）□；c）□</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不达标结论：a）□；b）□</w:t>
            </w: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防治措施</w:t>
            </w: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防控措施</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土壤环境质量现状保障</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；源头控制</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；过程防控</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w:t>
            </w:r>
          </w:p>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vMerge w:val="restart"/>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跟踪监测</w:t>
            </w:r>
          </w:p>
        </w:tc>
        <w:tc>
          <w:tcPr>
            <w:tcW w:w="2285"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监测点数</w:t>
            </w:r>
          </w:p>
        </w:tc>
        <w:tc>
          <w:tcPr>
            <w:tcW w:w="1984"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监测指标</w:t>
            </w:r>
          </w:p>
        </w:tc>
        <w:tc>
          <w:tcPr>
            <w:tcW w:w="1387"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监测频次</w:t>
            </w:r>
          </w:p>
        </w:tc>
        <w:tc>
          <w:tcPr>
            <w:tcW w:w="1098" w:type="dxa"/>
            <w:vMerge w:val="restart"/>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2285" w:type="dxa"/>
            <w:gridSpan w:val="2"/>
            <w:tcBorders>
              <w:tl2br w:val="nil"/>
              <w:tr2bl w:val="nil"/>
            </w:tcBorders>
            <w:vAlign w:val="center"/>
          </w:tcPr>
          <w:p>
            <w:pPr>
              <w:pStyle w:val="21"/>
              <w:bidi w:val="0"/>
              <w:rPr>
                <w:rFonts w:hint="default" w:ascii="Times New Roman" w:hAnsi="Times New Roman" w:cs="Times New Roman"/>
                <w:color w:val="auto"/>
                <w:highlight w:val="none"/>
                <w:lang w:eastAsia="zh-CN"/>
              </w:rPr>
            </w:pPr>
          </w:p>
        </w:tc>
        <w:tc>
          <w:tcPr>
            <w:tcW w:w="1984" w:type="dxa"/>
            <w:gridSpan w:val="2"/>
            <w:tcBorders>
              <w:tl2br w:val="nil"/>
              <w:tr2bl w:val="nil"/>
            </w:tcBorders>
            <w:vAlign w:val="center"/>
          </w:tcPr>
          <w:p>
            <w:pPr>
              <w:pStyle w:val="21"/>
              <w:bidi w:val="0"/>
              <w:rPr>
                <w:rFonts w:hint="default" w:ascii="Times New Roman" w:hAnsi="Times New Roman" w:cs="Times New Roman"/>
                <w:color w:val="auto"/>
                <w:highlight w:val="none"/>
              </w:rPr>
            </w:pPr>
          </w:p>
        </w:tc>
        <w:tc>
          <w:tcPr>
            <w:tcW w:w="1387" w:type="dxa"/>
            <w:tcBorders>
              <w:tl2br w:val="nil"/>
              <w:tr2bl w:val="nil"/>
            </w:tcBorders>
            <w:vAlign w:val="center"/>
          </w:tcPr>
          <w:p>
            <w:pPr>
              <w:pStyle w:val="21"/>
              <w:bidi w:val="0"/>
              <w:rPr>
                <w:rFonts w:hint="default" w:ascii="Times New Roman" w:hAnsi="Times New Roman" w:cs="Times New Roman"/>
                <w:color w:val="auto"/>
                <w:highlight w:val="none"/>
                <w:lang w:val="en-US" w:eastAsia="zh-CN"/>
              </w:rPr>
            </w:pP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1"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c>
          <w:tcPr>
            <w:tcW w:w="1725" w:type="dxa"/>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信息公开指标</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98" w:type="dxa"/>
            <w:vMerge w:val="continue"/>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2316" w:type="dxa"/>
            <w:gridSpan w:val="2"/>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评价结论</w:t>
            </w:r>
          </w:p>
        </w:tc>
        <w:tc>
          <w:tcPr>
            <w:tcW w:w="5656" w:type="dxa"/>
            <w:gridSpan w:val="5"/>
            <w:tcBorders>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项目实施对土壤环境的影响是可接受的，项目建设具有可行性</w:t>
            </w:r>
          </w:p>
        </w:tc>
        <w:tc>
          <w:tcPr>
            <w:tcW w:w="1098" w:type="dxa"/>
            <w:tcBorders>
              <w:tl2br w:val="nil"/>
              <w:tr2bl w:val="nil"/>
            </w:tcBorders>
            <w:vAlign w:val="center"/>
          </w:tcPr>
          <w:p>
            <w:pPr>
              <w:pStyle w:val="21"/>
              <w:bidi w:val="0"/>
              <w:rPr>
                <w:rFonts w:hint="default" w:ascii="Times New Roman" w:hAnsi="Times New Roman"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9070" w:type="dxa"/>
            <w:gridSpan w:val="8"/>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left"/>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注1：“</w:t>
            </w:r>
            <w:r>
              <w:rPr>
                <w:rFonts w:hint="default" w:ascii="Times New Roman" w:hAnsi="Times New Roman" w:cs="Times New Roman"/>
                <w:color w:val="auto"/>
                <w:highlight w:val="none"/>
              </w:rPr>
              <w:t>□</w:t>
            </w:r>
            <w:r>
              <w:rPr>
                <w:rFonts w:hint="default" w:ascii="Times New Roman" w:hAnsi="Times New Roman" w:eastAsia="宋体" w:cs="Times New Roman"/>
                <w:color w:val="auto"/>
                <w:sz w:val="21"/>
                <w:szCs w:val="21"/>
                <w:highlight w:val="none"/>
              </w:rPr>
              <w:t>”为勾选项，可√；“（）”为内容填写；“备注”为其他内容补充。</w:t>
            </w:r>
          </w:p>
          <w:p>
            <w:pPr>
              <w:pStyle w:val="21"/>
              <w:keepNext w:val="0"/>
              <w:keepLines w:val="0"/>
              <w:pageBreakBefore w:val="0"/>
              <w:kinsoku/>
              <w:wordWrap/>
              <w:overflowPunct/>
              <w:topLinePunct w:val="0"/>
              <w:autoSpaceDE/>
              <w:autoSpaceDN/>
              <w:bidi w:val="0"/>
              <w:ind w:firstLine="0" w:firstLineChars="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1"/>
                <w:highlight w:val="none"/>
                <w:lang w:val="en-US" w:eastAsia="zh-CN" w:bidi="ar-SA"/>
              </w:rPr>
              <w:t>注2：需要分别开展土壤环境影响评价等级工作的，分别填写自查表。</w:t>
            </w:r>
          </w:p>
        </w:tc>
      </w:tr>
    </w:tbl>
    <w:p>
      <w:pPr>
        <w:pStyle w:val="3"/>
        <w:numPr>
          <w:ilvl w:val="1"/>
          <w:numId w:val="6"/>
        </w:numPr>
        <w:bidi w:val="0"/>
        <w:rPr>
          <w:rFonts w:hint="default" w:ascii="Times New Roman" w:hAnsi="Times New Roman" w:cs="Times New Roman"/>
          <w:color w:val="auto"/>
          <w:highlight w:val="none"/>
          <w:lang w:val="en-US" w:eastAsia="zh-CN"/>
        </w:rPr>
      </w:pPr>
      <w:bookmarkStart w:id="604" w:name="_Toc10318"/>
      <w:bookmarkStart w:id="605" w:name="_Toc27002"/>
      <w:bookmarkStart w:id="606" w:name="_Toc613"/>
      <w:bookmarkStart w:id="607" w:name="_Toc31339"/>
      <w:r>
        <w:rPr>
          <w:rFonts w:hint="default" w:ascii="Times New Roman" w:hAnsi="Times New Roman" w:cs="Times New Roman"/>
          <w:color w:val="auto"/>
          <w:highlight w:val="none"/>
          <w:lang w:val="en-US" w:eastAsia="zh-CN"/>
        </w:rPr>
        <w:t>环境风险评价</w:t>
      </w:r>
      <w:bookmarkEnd w:id="604"/>
      <w:bookmarkEnd w:id="605"/>
      <w:bookmarkEnd w:id="606"/>
      <w:bookmarkEnd w:id="607"/>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本次扩建工程新购置工业用地进行建设，新增用地面积22772.5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（合34.159亩），扩建工程与现有工程无依托关系。因此，本次风险评价仅分析扩建工程内容。</w:t>
      </w:r>
    </w:p>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评价依据</w:t>
      </w:r>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风险调查</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根据《建设项目环境风险评价技术导则》(HJ</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169-2018)中相关规定，风险调查主要包括危险物质数量和分布情况、生产工艺特点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收集危险物质安全技术说明书（MSDS）等基础资料。</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根据扩建工程储存、使用过程中涉及的环境风险物质，同时结合《建设项目环境风险评价技术导则》（HJ169-2018）</w:t>
      </w:r>
      <w:r>
        <w:rPr>
          <w:rFonts w:hint="default" w:ascii="Times New Roman" w:hAnsi="Times New Roman" w:cs="Times New Roman"/>
          <w:color w:val="auto"/>
          <w:sz w:val="24"/>
          <w:highlight w:val="none"/>
        </w:rPr>
        <w:t>附录B重点关注的危险物质及临界量</w:t>
      </w:r>
      <w:r>
        <w:rPr>
          <w:rFonts w:hint="default" w:ascii="Times New Roman" w:hAnsi="Times New Roman" w:cs="Times New Roman"/>
          <w:color w:val="auto"/>
          <w:highlight w:val="none"/>
          <w:lang w:val="en-US" w:eastAsia="zh-CN"/>
        </w:rPr>
        <w:t>，确定扩建工程涉及的危险物质为纺丝油剂、废油剂以及天然气在线量，主要危险物质情况详见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_Ref32127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表5.8-1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，危险物质的理化性质详见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_Ref8818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表5.8-2</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_Ref10351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表5.8-3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6"/>
        </w:numPr>
        <w:tabs>
          <w:tab w:val="left" w:pos="420"/>
        </w:tabs>
        <w:bidi w:val="0"/>
        <w:rPr>
          <w:rFonts w:hint="default" w:ascii="Times New Roman" w:hAnsi="Times New Roman" w:cs="Times New Roman"/>
          <w:color w:val="auto"/>
          <w:highlight w:val="none"/>
          <w:lang w:val="en-US" w:eastAsia="zh-CN"/>
        </w:rPr>
      </w:pPr>
      <w:bookmarkStart w:id="608" w:name="_Ref32127"/>
      <w:r>
        <w:rPr>
          <w:rFonts w:hint="default" w:ascii="Times New Roman" w:hAnsi="Times New Roman" w:cs="Times New Roman"/>
          <w:color w:val="auto"/>
          <w:highlight w:val="none"/>
          <w:lang w:val="en-US" w:eastAsia="zh-CN"/>
        </w:rPr>
        <w:t>项目主要危险物质情况一览表</w:t>
      </w:r>
      <w:bookmarkEnd w:id="608"/>
    </w:p>
    <w:p>
      <w:pPr>
        <w:pStyle w:val="24"/>
        <w:numPr>
          <w:ilvl w:val="6"/>
          <w:numId w:val="6"/>
        </w:numPr>
        <w:tabs>
          <w:tab w:val="left" w:pos="420"/>
        </w:tabs>
        <w:bidi w:val="0"/>
        <w:rPr>
          <w:rFonts w:hint="default" w:ascii="Times New Roman" w:hAnsi="Times New Roman" w:cs="Times New Roman"/>
          <w:color w:val="auto"/>
          <w:highlight w:val="none"/>
          <w:lang w:val="en-US" w:eastAsia="zh-CN"/>
        </w:rPr>
      </w:pPr>
      <w:bookmarkStart w:id="609" w:name="_Ref8818"/>
      <w:r>
        <w:rPr>
          <w:rFonts w:hint="default" w:ascii="Times New Roman" w:hAnsi="Times New Roman" w:cs="Times New Roman"/>
          <w:color w:val="auto"/>
          <w:highlight w:val="none"/>
          <w:lang w:val="en-US" w:eastAsia="zh-CN"/>
        </w:rPr>
        <w:t>油类物质的理化性质一览表</w:t>
      </w:r>
      <w:bookmarkEnd w:id="609"/>
    </w:p>
    <w:p>
      <w:pPr>
        <w:numPr>
          <w:ilvl w:val="0"/>
          <w:numId w:val="0"/>
        </w:numPr>
        <w:tabs>
          <w:tab w:val="left" w:pos="420"/>
        </w:tabs>
        <w:bidi w:val="0"/>
        <w:ind w:leftChars="200"/>
        <w:rPr>
          <w:rFonts w:hint="default"/>
          <w:color w:val="auto"/>
          <w:lang w:val="en-US" w:eastAsia="zh-CN"/>
        </w:rPr>
      </w:pPr>
      <w:bookmarkStart w:id="610" w:name="_Ref8824"/>
    </w:p>
    <w:p>
      <w:pPr>
        <w:numPr>
          <w:ilvl w:val="0"/>
          <w:numId w:val="0"/>
        </w:numPr>
        <w:tabs>
          <w:tab w:val="left" w:pos="420"/>
        </w:tabs>
        <w:bidi w:val="0"/>
        <w:ind w:leftChars="200"/>
        <w:rPr>
          <w:rFonts w:hint="default"/>
          <w:color w:val="auto"/>
          <w:lang w:val="en-US" w:eastAsia="zh-CN"/>
        </w:rPr>
      </w:pPr>
    </w:p>
    <w:p>
      <w:pPr>
        <w:pStyle w:val="24"/>
        <w:numPr>
          <w:ilvl w:val="6"/>
          <w:numId w:val="6"/>
        </w:numPr>
        <w:tabs>
          <w:tab w:val="left" w:pos="420"/>
        </w:tabs>
        <w:bidi w:val="0"/>
        <w:rPr>
          <w:rFonts w:hint="default" w:ascii="Times New Roman" w:hAnsi="Times New Roman" w:cs="Times New Roman"/>
          <w:color w:val="auto"/>
          <w:highlight w:val="none"/>
          <w:lang w:val="en-US" w:eastAsia="zh-CN"/>
        </w:rPr>
      </w:pPr>
      <w:bookmarkStart w:id="611" w:name="_Ref10351"/>
      <w:r>
        <w:rPr>
          <w:rFonts w:hint="default" w:ascii="Times New Roman" w:hAnsi="Times New Roman" w:cs="Times New Roman"/>
          <w:color w:val="auto"/>
          <w:highlight w:val="none"/>
          <w:lang w:val="en-US" w:eastAsia="zh-CN"/>
        </w:rPr>
        <w:t>甲烷的理化性质及危险特性</w:t>
      </w:r>
      <w:bookmarkEnd w:id="610"/>
      <w:bookmarkEnd w:id="611"/>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风险潜势初判</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（1）危险物质及工艺系统危险性（P）分级</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①危险物质数量与临界量比值（Q）</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确定建设项目Q值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详</w:t>
      </w:r>
      <w:r>
        <w:rPr>
          <w:rFonts w:hint="default" w:ascii="Times New Roman" w:hAnsi="Times New Roman" w:cs="Times New Roman"/>
          <w:color w:val="auto"/>
          <w:highlight w:val="none"/>
        </w:rPr>
        <w:t>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_Ref10632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表5.8-4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pStyle w:val="24"/>
        <w:numPr>
          <w:ilvl w:val="6"/>
          <w:numId w:val="6"/>
        </w:numPr>
        <w:tabs>
          <w:tab w:val="left" w:pos="420"/>
        </w:tabs>
        <w:bidi w:val="0"/>
        <w:rPr>
          <w:rFonts w:hint="default" w:ascii="Times New Roman" w:hAnsi="Times New Roman" w:cs="Times New Roman"/>
          <w:color w:val="auto"/>
          <w:highlight w:val="none"/>
          <w:lang w:eastAsia="zh-CN"/>
        </w:rPr>
      </w:pPr>
      <w:bookmarkStart w:id="612" w:name="_Ref10632"/>
      <w:r>
        <w:rPr>
          <w:rFonts w:hint="default" w:ascii="Times New Roman" w:hAnsi="Times New Roman" w:cs="Times New Roman"/>
          <w:color w:val="auto"/>
          <w:highlight w:val="none"/>
        </w:rPr>
        <w:t>危险物质</w:t>
      </w:r>
      <w:r>
        <w:rPr>
          <w:rFonts w:hint="default" w:ascii="Times New Roman" w:hAnsi="Times New Roman" w:cs="Times New Roman"/>
          <w:color w:val="auto"/>
          <w:highlight w:val="none"/>
          <w:lang w:val="en-US" w:eastAsia="zh-CN"/>
        </w:rPr>
        <w:t>分级表</w:t>
      </w:r>
      <w:bookmarkEnd w:id="612"/>
    </w:p>
    <w:tbl>
      <w:tblPr>
        <w:tblStyle w:val="17"/>
        <w:tblW w:w="928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34"/>
        <w:gridCol w:w="1646"/>
        <w:gridCol w:w="1702"/>
        <w:gridCol w:w="1702"/>
        <w:gridCol w:w="1709"/>
        <w:gridCol w:w="169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tblHeader/>
          <w:jc w:val="center"/>
        </w:trPr>
        <w:tc>
          <w:tcPr>
            <w:tcW w:w="834"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64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危险物质名称</w:t>
            </w:r>
          </w:p>
        </w:tc>
        <w:tc>
          <w:tcPr>
            <w:tcW w:w="170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CAS</w:t>
            </w:r>
          </w:p>
        </w:tc>
        <w:tc>
          <w:tcPr>
            <w:tcW w:w="1702"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贮存量q</w:t>
            </w:r>
            <w:r>
              <w:rPr>
                <w:rFonts w:hint="default" w:ascii="Times New Roman" w:hAnsi="Times New Roman" w:cs="Times New Roman"/>
                <w:color w:val="auto"/>
                <w:highlight w:val="none"/>
                <w:vertAlign w:val="subscript"/>
              </w:rPr>
              <w:t>n</w:t>
            </w:r>
            <w:r>
              <w:rPr>
                <w:rFonts w:hint="default" w:ascii="Times New Roman" w:hAnsi="Times New Roman" w:cs="Times New Roman"/>
                <w:color w:val="auto"/>
                <w:highlight w:val="none"/>
              </w:rPr>
              <w:t>（t）</w:t>
            </w:r>
          </w:p>
        </w:tc>
        <w:tc>
          <w:tcPr>
            <w:tcW w:w="1709"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临界量Q</w:t>
            </w:r>
            <w:r>
              <w:rPr>
                <w:rFonts w:hint="default" w:ascii="Times New Roman" w:hAnsi="Times New Roman" w:cs="Times New Roman"/>
                <w:color w:val="auto"/>
                <w:highlight w:val="none"/>
                <w:vertAlign w:val="subscript"/>
              </w:rPr>
              <w:t>n</w:t>
            </w:r>
            <w:r>
              <w:rPr>
                <w:rFonts w:hint="default" w:ascii="Times New Roman" w:hAnsi="Times New Roman" w:cs="Times New Roman"/>
                <w:color w:val="auto"/>
                <w:highlight w:val="none"/>
              </w:rPr>
              <w:t>（t）</w:t>
            </w:r>
          </w:p>
        </w:tc>
        <w:tc>
          <w:tcPr>
            <w:tcW w:w="1695"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q</w:t>
            </w:r>
            <w:r>
              <w:rPr>
                <w:rFonts w:hint="default" w:ascii="Times New Roman" w:hAnsi="Times New Roman" w:cs="Times New Roman"/>
                <w:color w:val="auto"/>
                <w:highlight w:val="none"/>
                <w:vertAlign w:val="subscript"/>
              </w:rPr>
              <w:t>n</w:t>
            </w:r>
            <w:r>
              <w:rPr>
                <w:rFonts w:hint="default" w:ascii="Times New Roman" w:hAnsi="Times New Roman" w:cs="Times New Roman"/>
                <w:color w:val="auto"/>
                <w:highlight w:val="none"/>
              </w:rPr>
              <w:t>/Q</w:t>
            </w:r>
            <w:r>
              <w:rPr>
                <w:rFonts w:hint="default" w:ascii="Times New Roman" w:hAnsi="Times New Roman" w:cs="Times New Roman"/>
                <w:color w:val="auto"/>
                <w:highlight w:val="none"/>
                <w:vertAlign w:val="subscript"/>
              </w:rPr>
              <w:t>n</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834"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64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纺丝油剂</w:t>
            </w:r>
          </w:p>
        </w:tc>
        <w:tc>
          <w:tcPr>
            <w:tcW w:w="1702"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2"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1709"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2500</w:t>
            </w:r>
          </w:p>
        </w:tc>
        <w:tc>
          <w:tcPr>
            <w:tcW w:w="1695"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834"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646"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废油剂</w:t>
            </w:r>
          </w:p>
        </w:tc>
        <w:tc>
          <w:tcPr>
            <w:tcW w:w="1702"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2"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1709"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2500</w:t>
            </w:r>
          </w:p>
        </w:tc>
        <w:tc>
          <w:tcPr>
            <w:tcW w:w="169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834"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64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天然气</w:t>
            </w:r>
          </w:p>
        </w:tc>
        <w:tc>
          <w:tcPr>
            <w:tcW w:w="1702"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74-82-8</w:t>
            </w:r>
          </w:p>
        </w:tc>
        <w:tc>
          <w:tcPr>
            <w:tcW w:w="1702"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1709"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169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7593" w:type="dxa"/>
            <w:gridSpan w:val="5"/>
            <w:vAlign w:val="center"/>
          </w:tcPr>
          <w:p>
            <w:pPr>
              <w:pStyle w:val="21"/>
              <w:bidi w:val="0"/>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合计</w:t>
            </w:r>
          </w:p>
        </w:tc>
        <w:tc>
          <w:tcPr>
            <w:tcW w:w="1695"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0.0138</w:t>
            </w:r>
          </w:p>
        </w:tc>
      </w:tr>
    </w:tbl>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HJ169-2018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附录B对应的临界量，计算所涉及的每种危险物质在厂区最大存在总量与其比值Q，在不同厂区的同一种物质，按其在厂界内的最大存在总量计算。</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当只涉及一种危险物质时，计算该物质的总量与其临界量比值，即为Q；</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当存在多种危险物质时，则按下式计算物质数量与其临界量比值（Q）：</w:t>
      </w:r>
    </w:p>
    <w:p>
      <w:pPr>
        <w:ind w:firstLine="480"/>
        <w:jc w:val="center"/>
        <w:rPr>
          <w:rFonts w:hint="default" w:ascii="Times New Roman" w:hAnsi="Times New Roman" w:cs="Times New Roman"/>
          <w:bCs/>
          <w:color w:val="auto"/>
          <w:highlight w:val="none"/>
        </w:rPr>
      </w:pPr>
      <w:r>
        <w:rPr>
          <w:rFonts w:hint="default" w:ascii="Times New Roman" w:hAnsi="Times New Roman" w:cs="Times New Roman"/>
          <w:bCs/>
          <w:color w:val="auto"/>
          <w:position w:val="-30"/>
          <w:highlight w:val="none"/>
        </w:rPr>
        <w:object>
          <v:shape id="_x0000_i1097" o:spt="75" type="#_x0000_t75" style="height:33.8pt;width:112.05pt;" o:ole="t" filled="f" o:preferrelative="t" stroked="f" coordsize="21600,21600">
            <v:path/>
            <v:fill on="f" focussize="0,0"/>
            <v:stroke on="f" joinstyle="miter"/>
            <v:imagedata r:id="rId175" o:title=""/>
            <o:lock v:ext="edit" aspectratio="t"/>
            <w10:wrap type="none"/>
            <w10:anchorlock/>
          </v:shape>
          <o:OLEObject Type="Embed" ProgID="Equation.3" ShapeID="_x0000_i1097" DrawAspect="Content" ObjectID="_1468075786" r:id="rId174">
            <o:LockedField>false</o:LockedField>
          </o:OLEObject>
        </w:objec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式中：q</w:t>
      </w:r>
      <w:r>
        <w:rPr>
          <w:rFonts w:hint="default" w:ascii="Times New Roman" w:hAnsi="Times New Roman" w:cs="Times New Roman"/>
          <w:bCs/>
          <w:color w:val="auto"/>
          <w:highlight w:val="none"/>
          <w:vertAlign w:val="subscript"/>
        </w:rPr>
        <w:t>1</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q</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vertAlign w:val="baseline"/>
          <w:lang w:eastAsia="zh-CN"/>
        </w:rPr>
        <w:t>，</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q</w:t>
      </w:r>
      <w:r>
        <w:rPr>
          <w:rFonts w:hint="default" w:ascii="Times New Roman" w:hAnsi="Times New Roman" w:cs="Times New Roman"/>
          <w:bCs/>
          <w:color w:val="auto"/>
          <w:highlight w:val="none"/>
          <w:vertAlign w:val="subscript"/>
        </w:rPr>
        <w:t>n</w:t>
      </w:r>
      <w:r>
        <w:rPr>
          <w:rFonts w:hint="default" w:ascii="Times New Roman" w:hAnsi="Times New Roman" w:cs="Times New Roman"/>
          <w:bCs/>
          <w:color w:val="auto"/>
          <w:highlight w:val="none"/>
          <w:vertAlign w:val="subscript"/>
          <w:lang w:eastAsia="zh-CN"/>
        </w:rPr>
        <w:t>——</w:t>
      </w:r>
      <w:r>
        <w:rPr>
          <w:rFonts w:hint="default" w:ascii="Times New Roman" w:hAnsi="Times New Roman" w:cs="Times New Roman"/>
          <w:bCs/>
          <w:color w:val="auto"/>
          <w:highlight w:val="none"/>
        </w:rPr>
        <w:t>为每种环境风险物质的存在量，t；</w:t>
      </w:r>
    </w:p>
    <w:p>
      <w:pPr>
        <w:ind w:firstLine="1200" w:firstLineChars="5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Q</w:t>
      </w:r>
      <w:r>
        <w:rPr>
          <w:rFonts w:hint="default" w:ascii="Times New Roman" w:hAnsi="Times New Roman" w:cs="Times New Roman"/>
          <w:bCs/>
          <w:color w:val="auto"/>
          <w:highlight w:val="none"/>
          <w:vertAlign w:val="subscript"/>
        </w:rPr>
        <w:t>1</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Q</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vertAlign w:val="baseline"/>
          <w:lang w:eastAsia="zh-CN"/>
        </w:rPr>
        <w:t>，</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Q</w:t>
      </w:r>
      <w:r>
        <w:rPr>
          <w:rFonts w:hint="default" w:ascii="Times New Roman" w:hAnsi="Times New Roman" w:cs="Times New Roman"/>
          <w:bCs/>
          <w:color w:val="auto"/>
          <w:highlight w:val="none"/>
          <w:vertAlign w:val="subscript"/>
        </w:rPr>
        <w:t>n</w:t>
      </w:r>
      <w:r>
        <w:rPr>
          <w:rFonts w:hint="default" w:ascii="Times New Roman" w:hAnsi="Times New Roman" w:cs="Times New Roman"/>
          <w:bCs/>
          <w:color w:val="auto"/>
          <w:highlight w:val="none"/>
          <w:vertAlign w:val="subscript"/>
          <w:lang w:eastAsia="zh-CN"/>
        </w:rPr>
        <w:t>——</w:t>
      </w:r>
      <w:r>
        <w:rPr>
          <w:rFonts w:hint="default" w:ascii="Times New Roman" w:hAnsi="Times New Roman" w:cs="Times New Roman"/>
          <w:bCs/>
          <w:color w:val="auto"/>
          <w:highlight w:val="none"/>
        </w:rPr>
        <w:t>为每种环境风险物质的临界量，t。</w:t>
      </w:r>
    </w:p>
    <w:p>
      <w:pPr>
        <w:ind w:firstLine="1200" w:firstLineChars="5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当Q＜1时，该项目环境风险潜势为Ⅰ。</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rPr>
        <w:t>当Q≥1时，将Q值划分为：（1）1≤Q＜10；（2）10≤Q＜100；（3）Q≥100</w:t>
      </w:r>
      <w:r>
        <w:rPr>
          <w:rFonts w:hint="default" w:ascii="Times New Roman" w:hAnsi="Times New Roman" w:eastAsia="宋体" w:cs="Times New Roman"/>
          <w:color w:val="auto"/>
          <w:sz w:val="24"/>
          <w:szCs w:val="24"/>
          <w:highlight w:val="none"/>
          <w:lang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经计算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本项目Q值为</w:t>
      </w:r>
      <w:r>
        <w:rPr>
          <w:rFonts w:hint="default" w:ascii="Times New Roman" w:hAnsi="Times New Roman" w:cs="Times New Roman"/>
          <w:color w:val="auto"/>
          <w:highlight w:val="none"/>
          <w:lang w:val="en-US" w:eastAsia="zh-CN"/>
        </w:rPr>
        <w:t>0.0138＜</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根据《建设项目环境风险评价技术导则》（HJ169-2018）附录C，Q＜1，该项目环境风险潜势为Ⅰ。</w:t>
      </w:r>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评价等级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项目环境风险潜势为Ⅰ</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0"/>
          <w:sz w:val="24"/>
          <w:szCs w:val="20"/>
          <w:highlight w:val="none"/>
        </w:rPr>
        <w:t>根据《建设项目环境风险评价技术导则》（HJ169-2018）表1评价工作等级划分</w:t>
      </w: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lang w:val="en-US" w:eastAsia="zh-CN"/>
        </w:rPr>
        <w:t>详见</w:t>
      </w:r>
      <w:r>
        <w:rPr>
          <w:rFonts w:hint="default" w:ascii="Times New Roman" w:hAnsi="Times New Roman" w:cs="Times New Roman"/>
          <w:color w:val="auto"/>
          <w:kern w:val="0"/>
          <w:sz w:val="24"/>
          <w:szCs w:val="20"/>
          <w:highlight w:val="none"/>
          <w:lang w:val="en-US" w:eastAsia="zh-CN"/>
        </w:rPr>
        <w:fldChar w:fldCharType="begin"/>
      </w:r>
      <w:r>
        <w:rPr>
          <w:rFonts w:hint="default" w:ascii="Times New Roman" w:hAnsi="Times New Roman" w:cs="Times New Roman"/>
          <w:color w:val="auto"/>
          <w:kern w:val="0"/>
          <w:sz w:val="24"/>
          <w:szCs w:val="20"/>
          <w:highlight w:val="none"/>
          <w:lang w:val="en-US" w:eastAsia="zh-CN"/>
        </w:rPr>
        <w:instrText xml:space="preserve"> REF _Ref14511 \n \h </w:instrText>
      </w:r>
      <w:r>
        <w:rPr>
          <w:rFonts w:hint="default" w:ascii="Times New Roman" w:hAnsi="Times New Roman" w:cs="Times New Roman"/>
          <w:color w:val="auto"/>
          <w:kern w:val="0"/>
          <w:sz w:val="24"/>
          <w:szCs w:val="20"/>
          <w:highlight w:val="none"/>
          <w:lang w:val="en-US" w:eastAsia="zh-CN"/>
        </w:rPr>
        <w:fldChar w:fldCharType="separate"/>
      </w:r>
      <w:r>
        <w:rPr>
          <w:rFonts w:hint="default" w:ascii="Times New Roman" w:hAnsi="Times New Roman" w:cs="Times New Roman"/>
          <w:color w:val="auto"/>
          <w:kern w:val="0"/>
          <w:sz w:val="24"/>
          <w:szCs w:val="20"/>
          <w:highlight w:val="none"/>
          <w:lang w:val="en-US" w:eastAsia="zh-CN"/>
        </w:rPr>
        <w:t>表5.8-5</w:t>
      </w:r>
      <w:r>
        <w:rPr>
          <w:rFonts w:hint="default" w:ascii="Times New Roman" w:hAnsi="Times New Roman" w:cs="Times New Roman"/>
          <w:color w:val="auto"/>
          <w:kern w:val="0"/>
          <w:sz w:val="24"/>
          <w:szCs w:val="20"/>
          <w:highlight w:val="none"/>
          <w:lang w:val="en-US" w:eastAsia="zh-CN"/>
        </w:rPr>
        <w:fldChar w:fldCharType="end"/>
      </w: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highlight w:val="none"/>
          <w:lang w:val="en-US" w:eastAsia="zh-CN"/>
        </w:rPr>
        <w:t>本项目评价工作等级为简单分析。</w:t>
      </w:r>
    </w:p>
    <w:p>
      <w:pPr>
        <w:pStyle w:val="24"/>
        <w:numPr>
          <w:ilvl w:val="6"/>
          <w:numId w:val="6"/>
        </w:numPr>
        <w:tabs>
          <w:tab w:val="left" w:pos="420"/>
        </w:tabs>
        <w:bidi w:val="0"/>
        <w:rPr>
          <w:rFonts w:hint="default" w:ascii="Times New Roman" w:hAnsi="Times New Roman" w:cs="Times New Roman"/>
          <w:color w:val="auto"/>
          <w:highlight w:val="none"/>
        </w:rPr>
      </w:pPr>
      <w:bookmarkStart w:id="613" w:name="_Ref14511"/>
      <w:r>
        <w:rPr>
          <w:rFonts w:hint="default" w:ascii="Times New Roman" w:hAnsi="Times New Roman" w:cs="Times New Roman"/>
          <w:color w:val="auto"/>
          <w:highlight w:val="none"/>
        </w:rPr>
        <w:t>评价工作等级划分</w:t>
      </w:r>
      <w:bookmarkEnd w:id="613"/>
    </w:p>
    <w:tbl>
      <w:tblPr>
        <w:tblStyle w:val="17"/>
        <w:tblW w:w="92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1"/>
        <w:gridCol w:w="1799"/>
        <w:gridCol w:w="1799"/>
        <w:gridCol w:w="1799"/>
        <w:gridCol w:w="1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1" w:type="dxa"/>
            <w:tcBorders>
              <w:top w:val="single" w:color="auto" w:sz="12" w:space="0"/>
              <w:left w:val="nil"/>
              <w:bottom w:val="single" w:color="auto" w:sz="4" w:space="0"/>
              <w:right w:val="single" w:color="auto" w:sz="4" w:space="0"/>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环境风险潜势</w:t>
            </w:r>
          </w:p>
        </w:tc>
        <w:tc>
          <w:tcPr>
            <w:tcW w:w="1799" w:type="dxa"/>
            <w:tcBorders>
              <w:top w:val="single" w:color="auto" w:sz="12" w:space="0"/>
              <w:left w:val="single" w:color="auto" w:sz="4" w:space="0"/>
              <w:bottom w:val="single" w:color="auto" w:sz="4" w:space="0"/>
              <w:right w:val="single" w:color="auto" w:sz="4" w:space="0"/>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Ⅳ、Ⅳ+</w:t>
            </w:r>
          </w:p>
        </w:tc>
        <w:tc>
          <w:tcPr>
            <w:tcW w:w="1799" w:type="dxa"/>
            <w:tcBorders>
              <w:top w:val="single" w:color="auto" w:sz="12" w:space="0"/>
              <w:left w:val="single" w:color="auto" w:sz="4" w:space="0"/>
              <w:bottom w:val="single" w:color="auto" w:sz="4" w:space="0"/>
              <w:right w:val="single" w:color="auto" w:sz="4" w:space="0"/>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799" w:type="dxa"/>
            <w:tcBorders>
              <w:top w:val="single" w:color="auto" w:sz="12" w:space="0"/>
              <w:left w:val="single" w:color="auto" w:sz="4" w:space="0"/>
              <w:bottom w:val="single" w:color="auto" w:sz="4" w:space="0"/>
              <w:right w:val="single" w:color="auto" w:sz="4" w:space="0"/>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1814" w:type="dxa"/>
            <w:tcBorders>
              <w:top w:val="single" w:color="auto" w:sz="12" w:space="0"/>
              <w:left w:val="single" w:color="auto" w:sz="4" w:space="0"/>
              <w:bottom w:val="single" w:color="auto" w:sz="4" w:space="0"/>
              <w:right w:val="nil"/>
              <w:tl2br w:val="nil"/>
              <w:tr2bl w:val="nil"/>
            </w:tcBorders>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1" w:type="dxa"/>
            <w:tcBorders>
              <w:top w:val="single" w:color="auto" w:sz="4" w:space="0"/>
              <w:left w:val="nil"/>
              <w:bottom w:val="single" w:color="auto" w:sz="4" w:space="0"/>
              <w:right w:val="single" w:color="auto" w:sz="4" w:space="0"/>
              <w:tl2br w:val="nil"/>
              <w:tr2bl w:val="nil"/>
            </w:tcBorders>
            <w:shd w:val="clear" w:color="auto" w:fill="auto"/>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评价工作等级</w:t>
            </w:r>
          </w:p>
        </w:tc>
        <w:tc>
          <w:tcPr>
            <w:tcW w:w="1799"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1799"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c>
          <w:tcPr>
            <w:tcW w:w="1799"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c>
          <w:tcPr>
            <w:tcW w:w="1814" w:type="dxa"/>
            <w:tcBorders>
              <w:top w:val="single" w:color="auto" w:sz="4" w:space="0"/>
              <w:left w:val="single" w:color="auto" w:sz="4" w:space="0"/>
              <w:bottom w:val="single" w:color="auto" w:sz="4" w:space="0"/>
              <w:right w:val="nil"/>
              <w:tl2br w:val="nil"/>
              <w:tr2bl w:val="nil"/>
            </w:tcBorders>
            <w:shd w:val="clear" w:color="auto" w:fill="D7D7D7"/>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简单分析a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2" w:type="dxa"/>
            <w:gridSpan w:val="5"/>
            <w:tcBorders>
              <w:top w:val="single" w:color="auto" w:sz="4" w:space="0"/>
              <w:left w:val="nil"/>
              <w:bottom w:val="single" w:color="auto" w:sz="12" w:space="0"/>
              <w:right w:val="nil"/>
              <w:tl2br w:val="nil"/>
              <w:tr2bl w:val="nil"/>
            </w:tcBorders>
            <w:vAlign w:val="center"/>
          </w:tcPr>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sz w:val="18"/>
                <w:szCs w:val="18"/>
                <w:highlight w:val="none"/>
                <w:lang w:val="en-US" w:eastAsia="zh-CN"/>
              </w:rPr>
              <w:t>注：</w:t>
            </w:r>
            <w:r>
              <w:rPr>
                <w:rFonts w:hint="default" w:ascii="Times New Roman" w:hAnsi="Times New Roman" w:cs="Times New Roman"/>
                <w:color w:val="auto"/>
                <w:sz w:val="18"/>
                <w:szCs w:val="18"/>
                <w:highlight w:val="none"/>
              </w:rPr>
              <w:t>a是相对于详细评价工作内容而言，在描述危险物质、环境影响途径、环境危害后果、风险防范措施等方面给出定性的说明。</w:t>
            </w:r>
          </w:p>
        </w:tc>
      </w:tr>
    </w:tbl>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环境敏感目标概况</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根据现场勘查，本项目周围主要环境敏感目标分布情况详见“1.6 环境保护目标”章节。</w:t>
      </w:r>
    </w:p>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环境风险识别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根据《建设项目环境风险评价技术导则》（HJ169-2018）7.1条的规定，风险识别的内容包括物质危险性识别、生产系统危险性识别和危险物质向环境转移的途径识别。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物质危险性识别包括主要原辅材料、燃料、中间产品、副产品、最终产品、污染物、火灾和爆炸伴生/次生物等。</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生产系统危险性识别包括主要生产装置、储运设施、公用工程和辅助生产设施，以及环境保护设施等。</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危险物质向环境转移的途径识别，包括分析危险物质特性及可能的环境风险类型。</w:t>
      </w:r>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物质危险性识别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主要原辅料包括涤纶织物下脚料、纺丝油剂等，燃料为天然气，最终产品为PET再生纤维。废水主要为：组件清洗废水、水浴槽废水、喷淋塔废水、地面冲洗废水以及生活污水；废气为破碎工序产生的粉尘颗粒物，摩擦造粒产生的颗粒物、非甲烷总烃，挤压熔融、纺丝、松弛热定型等产生的非甲烷总烃，天然气燃烧产生的颗粒物、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以及污水处理站产生的氨、硫化氢；固体废物主要为杂质、废熔块、废丝、废过滤网、废包装袋、污泥、布袋粉尘、废油剂、浸油槽废液、煅烧废渣、废机油、废油剂空桶、含油抹布和生活垃圾。</w:t>
      </w:r>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生产系统危险性识别</w:t>
      </w:r>
    </w:p>
    <w:p>
      <w:pPr>
        <w:keepNext w:val="0"/>
        <w:keepLines w:val="0"/>
        <w:widowControl/>
        <w:suppressLineNumbers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（1）生产过程的环境风险识别</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由于操作不当或老旧等原因造成生产设备故障、损坏等，若没有及时检修可能会致使天然气管道、阀门泄漏，造成现场操作人员中毒以及对大气环境造成短时间、突发性的污染；若泄漏气体浓度达到爆炸范围后，如遇到明火、高温、高压、静电、雷击等原因就会着火燃烧爆炸，火灾爆炸产生的</w:t>
      </w:r>
      <w:r>
        <w:rPr>
          <w:rFonts w:hint="default" w:ascii="Times New Roman" w:hAnsi="Times New Roman" w:eastAsia="宋体" w:cs="Times New Roman"/>
          <w:color w:val="auto"/>
          <w:kern w:val="0"/>
          <w:sz w:val="24"/>
          <w:szCs w:val="24"/>
          <w:highlight w:val="none"/>
          <w:lang w:val="en-US" w:eastAsia="zh-CN" w:bidi="ar"/>
        </w:rPr>
        <w:t>次生环境污染也会环境造成影响。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（2）储运过程的环境风险识别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生产、储存过程中会使用和储存的易燃物质：如纺丝油剂等。在生产、储存、运输等过程中，若处理不当，有可能引起易燃物质泄漏事故，不仅会污染厂区地面，同时也会给环境带来不良污染；若泄漏的油品不及时处理，可能会引起火灾、爆炸等次生事故，对周边环境造成不良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物料运输途中如因意外交通事故造成运输车辆翻覆，可能会造成一定程度的火灾、爆炸事故，因此交通运输应委托有资质的单位进行，严格按照《危险化学品安全管理条例》进行运输，运输路线严格按照规定的运输路线运输，避开人口集中区、水源保护区、风景名胜区、自然保护区等需要特殊保护的区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（3）环保措施运行过程中环境风险识别</w:t>
      </w:r>
    </w:p>
    <w:p>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①废气集气设施故障导致车间的废气污染物在短时间内直接排放，造成厂区及周边空气中相关污染物浓度在短时间内增加，对大气环境造成短时间、突发性的污染。</w:t>
      </w:r>
    </w:p>
    <w:p>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②厂区内污水处理设施故障，若没有及时发现，会导致未经处理的生产废水和生活污水直接排入园区污水管网，加重牙城镇污水处理厂的处理负担，对污水厂的处理工艺产生一定的冲击；如果厂内污水管道破裂也会对厂区内地下水污染和土壤环境造成污染。</w:t>
      </w:r>
    </w:p>
    <w:p>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③危险废物贮存间未按要求采取围堰、导流沟和防渗措施，并具备</w:t>
      </w:r>
      <w:r>
        <w:rPr>
          <w:rFonts w:hint="default" w:ascii="Times New Roman" w:hAnsi="Times New Roman" w:cs="Times New Roman"/>
          <w:color w:val="auto"/>
          <w:highlight w:val="none"/>
          <w:u w:val="none" w:color="auto"/>
        </w:rPr>
        <w:t>防风、防雨、防日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可能会导致废油剂发生泄漏，污染厂区水体环境和土壤环境。废油剂在临时贮存、转移过程中，若处理不当，</w:t>
      </w:r>
      <w:r>
        <w:rPr>
          <w:rFonts w:hint="default" w:ascii="Times New Roman" w:hAnsi="Times New Roman" w:cs="Times New Roman"/>
          <w:color w:val="auto"/>
          <w:highlight w:val="none"/>
          <w:lang w:val="en-US" w:eastAsia="zh-CN"/>
        </w:rPr>
        <w:t>可能会引起火灾、爆炸等次生事故，对周边环境造成不良影响。</w:t>
      </w:r>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伴生、次生事故识别</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（1）火灾事故</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厂区使用的涤纶织物下脚料、纺丝油剂属于易燃物品，如遇明火，很有可能发生火灾事故，散发出大量的浓烟，产生有毒气体CO、SO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等伴生污染物，释放进入大气，将对周边村庄环境空气造成一定影响。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（2）爆炸事故</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爆炸事故主要可能因天然气管道、阀门泄漏，若泄漏气体浓度达到爆炸范围后，如遇到明火、高温、高压、静电、雷击等原因就会着火燃烧爆炸。爆炸是燃烧的极端形式，爆炸与燃烧的区别在于氧化速度的不同。由于燃烧速度快，热量来不及扩散，温度急剧上升，气体因高热急剧膨胀而形成爆炸，爆炸对周围环境可能造成严重破坏。</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（3）消防废水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灭火时，产生一定量的消防废水，主要污染物为SS、COD、BOD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石油类等。需设有足够容积的事故应急池收集事故期间产生的消防废水、污染雨水，且雨水接驳口设置有截流阀，在事故发生时关闭，防止受污染废水外流，确保消防废水不进入周围地表水环境。若消防废水没有妥善收集，将对土壤环境、地下水环境造成污染。</w:t>
      </w:r>
    </w:p>
    <w:p>
      <w:pPr>
        <w:pStyle w:val="5"/>
        <w:numPr>
          <w:ilvl w:val="3"/>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风险识别结果</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根据以上分析，扩建工程项目环境风险识别汇总见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_Ref25051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表5.8-6</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6"/>
        </w:numPr>
        <w:tabs>
          <w:tab w:val="left" w:pos="420"/>
        </w:tabs>
        <w:bidi w:val="0"/>
        <w:rPr>
          <w:rFonts w:hint="default" w:ascii="Times New Roman" w:hAnsi="Times New Roman" w:cs="Times New Roman"/>
          <w:color w:val="auto"/>
          <w:highlight w:val="none"/>
          <w:lang w:val="en-US" w:eastAsia="zh-CN"/>
        </w:rPr>
      </w:pPr>
      <w:bookmarkStart w:id="614" w:name="_Ref25051"/>
      <w:r>
        <w:rPr>
          <w:rFonts w:hint="default" w:ascii="Times New Roman" w:hAnsi="Times New Roman" w:cs="Times New Roman"/>
          <w:color w:val="auto"/>
          <w:highlight w:val="none"/>
          <w:lang w:val="en-US" w:eastAsia="zh-CN"/>
        </w:rPr>
        <w:t>扩建工程项目环境风险识别表</w:t>
      </w:r>
      <w:bookmarkEnd w:id="614"/>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271"/>
        <w:gridCol w:w="1456"/>
        <w:gridCol w:w="1583"/>
        <w:gridCol w:w="1183"/>
        <w:gridCol w:w="1547"/>
        <w:gridCol w:w="15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84"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127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危险单元</w:t>
            </w:r>
          </w:p>
        </w:tc>
        <w:tc>
          <w:tcPr>
            <w:tcW w:w="1456"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风险源</w:t>
            </w:r>
          </w:p>
        </w:tc>
        <w:tc>
          <w:tcPr>
            <w:tcW w:w="1583"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主要危险物质</w:t>
            </w:r>
          </w:p>
        </w:tc>
        <w:tc>
          <w:tcPr>
            <w:tcW w:w="1183"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环境风险类型</w:t>
            </w:r>
          </w:p>
        </w:tc>
        <w:tc>
          <w:tcPr>
            <w:tcW w:w="154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环境影响途径</w:t>
            </w:r>
          </w:p>
        </w:tc>
        <w:tc>
          <w:tcPr>
            <w:tcW w:w="1557" w:type="dxa"/>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可能受影响的环境敏感目标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27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仓库</w:t>
            </w:r>
          </w:p>
        </w:tc>
        <w:tc>
          <w:tcPr>
            <w:tcW w:w="145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油剂仓库</w:t>
            </w:r>
          </w:p>
        </w:tc>
        <w:tc>
          <w:tcPr>
            <w:tcW w:w="1583"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纺丝油剂</w:t>
            </w:r>
          </w:p>
        </w:tc>
        <w:tc>
          <w:tcPr>
            <w:tcW w:w="1183" w:type="dxa"/>
            <w:vAlign w:val="center"/>
          </w:tcPr>
          <w:p>
            <w:pPr>
              <w:pStyle w:val="21"/>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火灾、爆炸伴生/次生污染物排放</w:t>
            </w:r>
          </w:p>
        </w:tc>
        <w:tc>
          <w:tcPr>
            <w:tcW w:w="1547" w:type="dxa"/>
            <w:vMerge w:val="restart"/>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易燃物质泄漏、火灾爆炸伴生/次生污染物排放对大气环境的影响；泄漏、火灾消防事故废水排放对水环境、土壤环境的影响</w:t>
            </w:r>
          </w:p>
        </w:tc>
        <w:tc>
          <w:tcPr>
            <w:tcW w:w="1557" w:type="dxa"/>
            <w:vMerge w:val="restart"/>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周围地表水、地下水、土壤及周围人口集中的居民区、学校、行</w:t>
            </w:r>
          </w:p>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政办公区域等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27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废水处理单元</w:t>
            </w:r>
          </w:p>
        </w:tc>
        <w:tc>
          <w:tcPr>
            <w:tcW w:w="145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废水处理设施</w:t>
            </w:r>
          </w:p>
        </w:tc>
        <w:tc>
          <w:tcPr>
            <w:tcW w:w="1583"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COD、石油类等</w:t>
            </w:r>
          </w:p>
        </w:tc>
        <w:tc>
          <w:tcPr>
            <w:tcW w:w="1183"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泄漏</w:t>
            </w:r>
          </w:p>
        </w:tc>
        <w:tc>
          <w:tcPr>
            <w:tcW w:w="1547" w:type="dxa"/>
            <w:vMerge w:val="continue"/>
            <w:vAlign w:val="center"/>
          </w:tcPr>
          <w:p>
            <w:pPr>
              <w:pStyle w:val="21"/>
              <w:bidi w:val="0"/>
              <w:jc w:val="center"/>
              <w:rPr>
                <w:rFonts w:hint="default" w:ascii="Times New Roman" w:hAnsi="Times New Roman" w:cs="Times New Roman"/>
                <w:color w:val="auto"/>
                <w:highlight w:val="none"/>
              </w:rPr>
            </w:pPr>
          </w:p>
        </w:tc>
        <w:tc>
          <w:tcPr>
            <w:tcW w:w="1557" w:type="dxa"/>
            <w:vMerge w:val="continue"/>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27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废气处理</w:t>
            </w:r>
          </w:p>
        </w:tc>
        <w:tc>
          <w:tcPr>
            <w:tcW w:w="145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废气处理设施</w:t>
            </w:r>
          </w:p>
        </w:tc>
        <w:tc>
          <w:tcPr>
            <w:tcW w:w="1583"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颗粒物、非甲烷总烃、SO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vertAlign w:val="subscript"/>
                <w:lang w:val="en-US" w:eastAsia="zh-CN"/>
              </w:rPr>
              <w:t>X</w:t>
            </w:r>
          </w:p>
        </w:tc>
        <w:tc>
          <w:tcPr>
            <w:tcW w:w="1183" w:type="dxa"/>
            <w:vAlign w:val="center"/>
          </w:tcPr>
          <w:p>
            <w:pPr>
              <w:pStyle w:val="2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泄漏</w:t>
            </w:r>
          </w:p>
        </w:tc>
        <w:tc>
          <w:tcPr>
            <w:tcW w:w="1547" w:type="dxa"/>
            <w:vMerge w:val="continue"/>
            <w:vAlign w:val="center"/>
          </w:tcPr>
          <w:p>
            <w:pPr>
              <w:pStyle w:val="21"/>
              <w:bidi w:val="0"/>
              <w:jc w:val="center"/>
              <w:rPr>
                <w:rFonts w:hint="default" w:ascii="Times New Roman" w:hAnsi="Times New Roman" w:cs="Times New Roman"/>
                <w:color w:val="auto"/>
                <w:highlight w:val="none"/>
              </w:rPr>
            </w:pPr>
          </w:p>
        </w:tc>
        <w:tc>
          <w:tcPr>
            <w:tcW w:w="1557" w:type="dxa"/>
            <w:vMerge w:val="continue"/>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127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天然气管道</w:t>
            </w:r>
          </w:p>
        </w:tc>
        <w:tc>
          <w:tcPr>
            <w:tcW w:w="145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天然气管道</w:t>
            </w:r>
          </w:p>
        </w:tc>
        <w:tc>
          <w:tcPr>
            <w:tcW w:w="1583"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甲烷</w:t>
            </w:r>
          </w:p>
        </w:tc>
        <w:tc>
          <w:tcPr>
            <w:tcW w:w="1183" w:type="dxa"/>
            <w:vMerge w:val="restart"/>
            <w:vAlign w:val="center"/>
          </w:tcPr>
          <w:p>
            <w:pPr>
              <w:pStyle w:val="21"/>
              <w:bidi w:val="0"/>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highlight w:val="none"/>
                <w:lang w:val="en-US" w:eastAsia="zh-CN"/>
              </w:rPr>
              <w:t>火灾、爆炸伴生/次生污染物排放</w:t>
            </w:r>
          </w:p>
        </w:tc>
        <w:tc>
          <w:tcPr>
            <w:tcW w:w="1547" w:type="dxa"/>
            <w:vMerge w:val="continue"/>
            <w:vAlign w:val="center"/>
          </w:tcPr>
          <w:p>
            <w:pPr>
              <w:pStyle w:val="21"/>
              <w:bidi w:val="0"/>
              <w:jc w:val="center"/>
              <w:rPr>
                <w:rFonts w:hint="default" w:ascii="Times New Roman" w:hAnsi="Times New Roman" w:cs="Times New Roman"/>
                <w:color w:val="auto"/>
                <w:highlight w:val="none"/>
              </w:rPr>
            </w:pPr>
          </w:p>
        </w:tc>
        <w:tc>
          <w:tcPr>
            <w:tcW w:w="1557" w:type="dxa"/>
            <w:vMerge w:val="continue"/>
            <w:vAlign w:val="center"/>
          </w:tcPr>
          <w:p>
            <w:pPr>
              <w:pStyle w:val="21"/>
              <w:bidi w:val="0"/>
              <w:jc w:val="center"/>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4"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71"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危险废物贮存间</w:t>
            </w:r>
          </w:p>
        </w:tc>
        <w:tc>
          <w:tcPr>
            <w:tcW w:w="1456"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危险废物贮存间</w:t>
            </w:r>
          </w:p>
        </w:tc>
        <w:tc>
          <w:tcPr>
            <w:tcW w:w="1583" w:type="dxa"/>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废油剂</w:t>
            </w:r>
          </w:p>
        </w:tc>
        <w:tc>
          <w:tcPr>
            <w:tcW w:w="1183" w:type="dxa"/>
            <w:vMerge w:val="continue"/>
            <w:vAlign w:val="center"/>
          </w:tcPr>
          <w:p>
            <w:pPr>
              <w:pStyle w:val="21"/>
              <w:bidi w:val="0"/>
              <w:jc w:val="center"/>
              <w:rPr>
                <w:rFonts w:hint="default" w:ascii="Times New Roman" w:hAnsi="Times New Roman" w:cs="Times New Roman"/>
                <w:color w:val="auto"/>
                <w:highlight w:val="none"/>
              </w:rPr>
            </w:pPr>
          </w:p>
        </w:tc>
        <w:tc>
          <w:tcPr>
            <w:tcW w:w="1547" w:type="dxa"/>
            <w:vMerge w:val="continue"/>
            <w:vAlign w:val="center"/>
          </w:tcPr>
          <w:p>
            <w:pPr>
              <w:pStyle w:val="21"/>
              <w:bidi w:val="0"/>
              <w:jc w:val="center"/>
              <w:rPr>
                <w:rFonts w:hint="default" w:ascii="Times New Roman" w:hAnsi="Times New Roman" w:cs="Times New Roman"/>
                <w:color w:val="auto"/>
                <w:highlight w:val="none"/>
              </w:rPr>
            </w:pPr>
          </w:p>
        </w:tc>
        <w:tc>
          <w:tcPr>
            <w:tcW w:w="1557" w:type="dxa"/>
            <w:vMerge w:val="continue"/>
            <w:vAlign w:val="center"/>
          </w:tcPr>
          <w:p>
            <w:pPr>
              <w:pStyle w:val="21"/>
              <w:bidi w:val="0"/>
              <w:jc w:val="center"/>
              <w:rPr>
                <w:rFonts w:hint="default" w:ascii="Times New Roman" w:hAnsi="Times New Roman" w:cs="Times New Roman"/>
                <w:color w:val="auto"/>
                <w:highlight w:val="none"/>
              </w:rPr>
            </w:pPr>
          </w:p>
        </w:tc>
      </w:tr>
    </w:tbl>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（1）大气环境风险分析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项目大气环境风险主要包括大量天然气、纺丝油剂泄漏，由于处理不当，严重时引起火灾及爆炸，火灾带来的伴生/次生污染物CO、SO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i w:val="0"/>
          <w:iCs w:val="0"/>
          <w:color w:val="auto"/>
          <w:highlight w:val="none"/>
          <w:vertAlign w:val="baseline"/>
          <w:lang w:val="en-US" w:eastAsia="zh-CN"/>
        </w:rPr>
        <w:t>等</w:t>
      </w:r>
      <w:r>
        <w:rPr>
          <w:rFonts w:hint="default" w:ascii="Times New Roman" w:hAnsi="Times New Roman" w:cs="Times New Roman"/>
          <w:color w:val="auto"/>
          <w:highlight w:val="none"/>
          <w:lang w:val="en-US" w:eastAsia="zh-CN"/>
        </w:rPr>
        <w:t>对周围大气环境产生影响；废气治理措施事故排放，颗粒物、非甲烷总烃等污染物暂时性大量排放，污染周围大气环境。项目与最近敏感目标距离约为35 m，一旦发生火灾事故，对周边环境空气影响比较大。因此环境事故风险较大，需要建设单位给予足够重视。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（2）地表水环境风险分析</w:t>
      </w:r>
    </w:p>
    <w:p>
      <w:pPr>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本项目产生的废水主要为各生产工序产生的生产废水和生活污水，生产废水经厂区内自建的污水处理站“</w:t>
      </w:r>
      <w:r>
        <w:rPr>
          <w:rFonts w:hint="default" w:ascii="Times New Roman" w:hAnsi="Times New Roman" w:cs="Times New Roman"/>
          <w:color w:val="auto"/>
          <w:szCs w:val="20"/>
          <w:highlight w:val="none"/>
          <w:lang w:val="en-US" w:eastAsia="zh-CN"/>
        </w:rPr>
        <w:t>气浮+水解酸化+A/O池+MBR膜+板框压滤</w:t>
      </w:r>
      <w:r>
        <w:rPr>
          <w:rFonts w:hint="default" w:ascii="Times New Roman" w:hAnsi="Times New Roman" w:eastAsia="宋体" w:cs="Times New Roman"/>
          <w:color w:val="auto"/>
          <w:kern w:val="0"/>
          <w:sz w:val="24"/>
          <w:szCs w:val="24"/>
          <w:highlight w:val="none"/>
          <w:lang w:val="en-US" w:eastAsia="zh-CN" w:bidi="ar"/>
        </w:rPr>
        <w:t>”工艺处理后，达到</w:t>
      </w:r>
      <w:r>
        <w:rPr>
          <w:rFonts w:hint="default" w:ascii="Times New Roman" w:hAnsi="Times New Roman" w:cs="Times New Roman"/>
          <w:color w:val="auto"/>
          <w:highlight w:val="none"/>
          <w:lang w:val="en-US" w:eastAsia="zh-CN"/>
        </w:rPr>
        <w:t>《合成树脂工业污染物排放标准》（GB31572-2015）中表1直接排放限值（石油类参照排放标准参照现有工程环评报告书10 mg/L的要求）后排入园区污水管网，最终纳入牙城镇污水处理厂深度处理；生活污水经化粪池处理达到牙城镇污水处理厂设计进水水质要求后，排入牙城镇污水处理厂处理。如果</w:t>
      </w:r>
      <w:r>
        <w:rPr>
          <w:rFonts w:hint="default" w:ascii="Times New Roman" w:hAnsi="Times New Roman" w:eastAsia="宋体" w:cs="Times New Roman"/>
          <w:color w:val="auto"/>
          <w:kern w:val="0"/>
          <w:sz w:val="24"/>
          <w:szCs w:val="24"/>
          <w:highlight w:val="none"/>
          <w:lang w:val="en-US" w:eastAsia="zh-CN" w:bidi="ar"/>
        </w:rPr>
        <w:t>污水处理设施故障，若没有及时发现，会导致未经处理的生产废水和生活污水直接排入园区污水管网，加重牙城镇污水处理厂的处理负担，对污水厂的处理工艺产生一定的冲击。</w:t>
      </w:r>
    </w:p>
    <w:p>
      <w:pPr>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因此，项目应严格废水处理设施管理，同时建设足够容量的废水事故应急池，坚决杜绝废水事故性排放情况的发生。</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（3）土壤和地下水环境风险分析</w:t>
      </w:r>
    </w:p>
    <w:p>
      <w:pP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本项目地下水环境污染主要来源于生活污水、生产废水的泄漏。若由于管道破裂、废水处理设施故障发生</w:t>
      </w:r>
      <w:r>
        <w:rPr>
          <w:rFonts w:hint="eastAsia" w:cs="Times New Roman"/>
          <w:color w:val="auto"/>
          <w:kern w:val="0"/>
          <w:sz w:val="24"/>
          <w:szCs w:val="24"/>
          <w:highlight w:val="none"/>
          <w:lang w:val="en-US" w:eastAsia="zh-CN" w:bidi="ar"/>
        </w:rPr>
        <w:t>泄漏</w:t>
      </w:r>
      <w:r>
        <w:rPr>
          <w:rFonts w:hint="default" w:ascii="Times New Roman" w:hAnsi="Times New Roman" w:eastAsia="宋体" w:cs="Times New Roman"/>
          <w:color w:val="auto"/>
          <w:kern w:val="0"/>
          <w:sz w:val="24"/>
          <w:szCs w:val="24"/>
          <w:highlight w:val="none"/>
          <w:lang w:val="en-US" w:eastAsia="zh-CN" w:bidi="ar"/>
        </w:rPr>
        <w:t>事故，未及时采取有效措施使泄漏得到有效控制，将会对一定范围内的地下水和土壤造成污染（具体详见“5.4 运营期地下水环境影响预测与评价”和“5.7 运营期土壤环境影响分析”章节）。</w:t>
      </w:r>
    </w:p>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环境风险防范措施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环境风险管理目标是采用最低合理可行原则（as low as reasonable practicable，ALARP）管控环境风险。采取的环境风险防范措施应与社会经济技术发展水平相适应，运用科学的技术手段和管理方法，对环境风险进行有效的预防、监控、响应。</w:t>
      </w:r>
    </w:p>
    <w:p>
      <w:pPr>
        <w:bidi w:val="0"/>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eastAsia="zh-CN"/>
        </w:rPr>
        <w:t>机构设置</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本项目安全环保管理需配备专业管理人员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通过技能培训</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承担该项目运行后的环保安全工作。</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项目建成后</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应根据公司管理要求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结合当前的环境管理要求和</w:t>
      </w:r>
      <w:r>
        <w:rPr>
          <w:rFonts w:hint="default" w:ascii="Times New Roman" w:hAnsi="Times New Roman" w:cs="Times New Roman"/>
          <w:color w:val="auto"/>
          <w:highlight w:val="none"/>
          <w:lang w:val="en-US" w:eastAsia="zh-CN"/>
        </w:rPr>
        <w:t>霞浦县</w:t>
      </w:r>
      <w:r>
        <w:rPr>
          <w:rFonts w:hint="default" w:ascii="Times New Roman" w:hAnsi="Times New Roman" w:cs="Times New Roman"/>
          <w:color w:val="auto"/>
          <w:highlight w:val="none"/>
        </w:rPr>
        <w:t>具体情况</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制定本项目的各项安全生产管理制度、严格的生产操作规程和完善的事故应急计划及相应的应急处理手段和设施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同时加强安全教育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以提高职工的安全意识和安全防范能力。</w:t>
      </w:r>
    </w:p>
    <w:p>
      <w:pPr>
        <w:bidi w:val="0"/>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zh-CN" w:eastAsia="zh-CN"/>
        </w:rPr>
        <w:t>总图布置和建筑安全防范措施</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项目位于霞浦县牙城工业集中区，根据本项目的物料性质和毒性，参照相关的毒物、危险物处理手册，采取以下相应的安全防范措施：</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区总平面布置，严格执行国家规范《建筑设计防火规范》（GB50016-2014）要求，所有建、构筑物之间或与其它场所之间留有足够的防火间距，防止在火灾或爆炸时相互影响。整个生产区总平面布置符合防范事故要求，土建设计中，构筑物设计考虑防雷、防静电措施和耐火保护。生产装置区尽量采用敞开式，以利于可燃气体的扩散，防止爆炸。对人身造成危险的运转设备配备安全罩。高处作业平台、高空走廊、楼梯、钢爬梯上要按规范要求设计围栏、踢脚板或防护栏杆，围栏高度不应低于1.05m，脚板应使用防滑板。在楼板操作及检修平台有孔洞的地方设有盖板。</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根据火灾危险性等级和防火、防爆要求，建筑物按一、二级耐火等级设计，满足建筑防火要求。建筑设计采用国家标准及行业标准。建筑物的防火等级均应采用国家现行规范要求进行设计。</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该厂的火灾爆炸危险场所的安全出口及安全疏散距离应符合《建筑设计防火规范》（GB50016-2014）的要求。禁火区均应设置明显标志牌。</w:t>
      </w:r>
      <w:bookmarkStart w:id="615" w:name="_Toc502157982"/>
      <w:bookmarkStart w:id="616" w:name="_Toc502157983"/>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生产过程采用DCS控制系统，对反应系统及关键设备的操作温度、操作压力、液位高低均能自动监控及安全报警，在紧急情况下可及时启动应急预案。</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建立完善的消防设施，包括火灾报警系统等。</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根据生产装置的特点以及卫生特征，设车间更衣室和专用衣柜。在装置区设置救护箱。工作人员配备必要的个人防护用品</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）纺丝油剂管理、储存、使用、运输中的防范措施</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纺丝油剂储存在专用的仓库里。</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纺丝油剂管理：制定安全操作规程，要求操作人员严格按操作规程作业；定期进行安全培训教育；经常性对添加和更换纺丝油剂的作业场所进行安全检查。</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纺丝油剂储存和使用：设立专用库区，且其符合储存纺丝油剂的条件（防晒、防潮、通风、防雷、防静电等安全措施）；建立健全安全规程及值勤制度，设置通讯、报警装置，确保其处于完好状态；对储存纺丝油剂的容器，设置明显的标识及警示牌。</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纺丝油剂采购和运输：采购纺丝油剂时，应到已获得经营许可证的企业进行采购，要求提供技术说明书及相关技术资料。</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通过以上管理和防范措施，本项目可以最大限度地防止事故的发生。</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（4）原料和产品管理、储存、使用、运输中的防范措施</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原料和产品应储存在专用的仓库里，产品按订单完成后尽快运出厂区。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原料和产品管理：制定安全操作规程，要求操作人员严格按操作规程作业；定期进行安全培训教育；经常性对使用原料的作业场所进行安全检查。</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原料使用：建立健全安全规程及值勤制度，设置通讯、报警装置，确保其处于完好状态；车间设置火灾预警系统。</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车间管理：应加强车间管理，禁止随意堆放原料和产品，原料和产品应分开存储，存储场所严格执行国家规范《建筑设计防火规范》（GB50016-2014）要求。</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通过以上管理和防范措施，本项目可以最大限度地防止事故的发生。</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）泄漏事故预防措施</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①生产设备泄漏事故防范措施</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首先要选用较好的设备、精心设计、严格管理和操作人员责任心是减少事故</w:t>
      </w:r>
      <w:r>
        <w:rPr>
          <w:rFonts w:hint="eastAsia" w:cs="Times New Roman"/>
          <w:color w:val="auto"/>
          <w:highlight w:val="none"/>
          <w:lang w:val="en-US" w:eastAsia="zh-CN"/>
        </w:rPr>
        <w:t>泄漏</w:t>
      </w:r>
      <w:r>
        <w:rPr>
          <w:rFonts w:hint="default" w:ascii="Times New Roman" w:hAnsi="Times New Roman" w:cs="Times New Roman"/>
          <w:color w:val="auto"/>
          <w:highlight w:val="none"/>
          <w:lang w:eastAsia="zh-CN"/>
        </w:rPr>
        <w:t>的关键。</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A对操作人员进化系统教育，严格按照操作规程进行操作，严禁违章作业。</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B采用露天或敞开框架布置，以利通风，避免死角造成有害物质的聚集。</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C所排气体均集中收集，并进行妥善处理，防止随意流散。</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D经常对各类阀门进行检查和维修，以保证其严密性和灵活性。</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E设置完善的排水系统，保证各单元</w:t>
      </w:r>
      <w:r>
        <w:rPr>
          <w:rFonts w:hint="eastAsia" w:cs="Times New Roman"/>
          <w:color w:val="auto"/>
          <w:highlight w:val="none"/>
          <w:lang w:eastAsia="zh-CN"/>
        </w:rPr>
        <w:t>泄漏</w:t>
      </w:r>
      <w:r>
        <w:rPr>
          <w:rFonts w:hint="default" w:ascii="Times New Roman" w:hAnsi="Times New Roman" w:cs="Times New Roman"/>
          <w:color w:val="auto"/>
          <w:highlight w:val="none"/>
          <w:lang w:eastAsia="zh-CN"/>
        </w:rPr>
        <w:t>物料能迅速安全集中到事故池，以便集中处理。</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F经常检查管道，定期系统试压、定期检漏。管道施工应按规范要求进行。</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G应备有氧气呼吸器及能过滤有毒气体的过滤式防毒面具，紧急事故时提供个人使用。</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②有害气体泄漏的应急处置方法</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吸入：迅速脱离现场至空气新鲜处。保持呼吸道通畅。如呼吸困难，如出现呼吸困难症状应立即就医处治。</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呼吸系统防护：空气中浓度超标时，佩戴自吸过滤式防毒面具（半面罩）。紧急事态抢救或撤离时，建议佩戴空气呼吸器、一氧化碳过滤式自救器。</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眼睛防护：一般不需特殊防护。高浓度接触时可戴安全防护眼镜。</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身体防护：穿防静电工作服。</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手防护：戴一般作业防护手套。</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其他防护：工作现场严禁吸烟。实行就业前和定期的体检。避免高浓度吸入。进入罐、限制性空间或其他高浓度区作业，须有人监护。</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泄漏应急处理：迅速撤离泄漏污染区人员至上风处，并立即隔离150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m，严格限制出入。立即切断泄漏点，经盛装容器讯速移出事故去职安全地区，施救人员应佩戴安全防护设施。尽可能切断泄漏源。合理通风，加速扩散。喷雾状水稀释、溶解。构筑围堤或挖坑以收容产生的大量废水。如有可能，将漏出气用排风机送至空旷地方或装设适当喷头烧掉。漏气容器要妥善处理，修复、检验后再用。</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灭火方法：切断气源。若不能切断气源，则不允许熄灭泄漏处的火焰。喷水冷却容器，立即将容器移出着火场所或者喷洒冷水冷却，严防火灾扩大、次生灾害和二次污染。灭火剂：雾状水、泡沫、二氧化碳、干粉。</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发生泄漏后及时按照表中所述进行应急处置，减小事故风险，同时为了防止</w:t>
      </w:r>
      <w:r>
        <w:rPr>
          <w:rFonts w:hint="eastAsia" w:cs="Times New Roman"/>
          <w:color w:val="auto"/>
          <w:highlight w:val="none"/>
          <w:lang w:eastAsia="zh-CN"/>
        </w:rPr>
        <w:t>泄漏</w:t>
      </w:r>
      <w:r>
        <w:rPr>
          <w:rFonts w:hint="default" w:ascii="Times New Roman" w:hAnsi="Times New Roman" w:cs="Times New Roman"/>
          <w:color w:val="auto"/>
          <w:highlight w:val="none"/>
          <w:lang w:eastAsia="zh-CN"/>
        </w:rPr>
        <w:t>液体进入大气后对周边人员的危害，根据</w:t>
      </w:r>
      <w:r>
        <w:rPr>
          <w:rFonts w:hint="eastAsia" w:cs="Times New Roman"/>
          <w:color w:val="auto"/>
          <w:highlight w:val="none"/>
          <w:lang w:eastAsia="zh-CN"/>
        </w:rPr>
        <w:t>泄漏</w:t>
      </w:r>
      <w:r>
        <w:rPr>
          <w:rFonts w:hint="default" w:ascii="Times New Roman" w:hAnsi="Times New Roman" w:cs="Times New Roman"/>
          <w:color w:val="auto"/>
          <w:highlight w:val="none"/>
          <w:lang w:eastAsia="zh-CN"/>
        </w:rPr>
        <w:t>事故大气环境影响预测，按最大可信事故的影响范围，燃爆中心周边15</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m范围内的人员均应立刻撤离，污染区人员撤离至至上风处，应进行隔离，严格限制出入，应急处理人员应佩戴正压自给式呼吸器，穿防毒服。</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）火灾事故防范措施</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火灾事故的防范除做好泄漏防范工作外，重点在于火源的防范。</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①预防明火</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明火往往是引起火灾的主要火源。因而，在易燃易爆场所（整个厂区范围内）都必须严禁明火。生产车间必须严防明火，禁止吸烟和携带各种火种，不得随意使用明火，并在明显处张贴禁烟火警告标志。生产上急需检维修抢修设备用火的，严格按照用火制度办理作业动火票，严格执行“五不动火”的有关规定：</w:t>
      </w:r>
      <w:r>
        <w:rPr>
          <w:rFonts w:hint="default" w:ascii="Times New Roman" w:hAnsi="Times New Roman" w:cs="Times New Roman"/>
          <w:color w:val="auto"/>
          <w:highlight w:val="none"/>
          <w:lang w:val="en-US" w:eastAsia="zh-CN"/>
        </w:rPr>
        <w:t>即</w:t>
      </w:r>
      <w:r>
        <w:rPr>
          <w:rFonts w:hint="default" w:ascii="Times New Roman" w:hAnsi="Times New Roman" w:cs="Times New Roman"/>
          <w:color w:val="auto"/>
          <w:highlight w:val="none"/>
          <w:lang w:eastAsia="zh-CN"/>
        </w:rPr>
        <w:t>没有办理动火票不动火；动火部位或时间与动火票不符不动火；不落实防火措施不动火；没有防火监护人不动火；没有消防器材不动火。并需按区域的不同级别办理，现场落实好安全措施，做到责任到位。在积聚有可燃气体蒸汽的管沟，深坑，下水道附近带，没有消除危险之前，不能进行明火作业。机动车进入禁火区必须戴防火罩。在转输使用生产过的易燃易爆物品的密闭容器和管道，未经清洗、通风置换、检验分析，未切断与生产相联的油罐、管道设备的，不允许电焊气焊明火作业。</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②预防摩擦与撞击火花</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易燃易爆场所，机器转动部位应保持良好的润滑和冷却，防止摩擦出火花。维修撞击使用的工具应采用防爆工具。纺丝油剂转输操作作业，巡回检查，禁止穿带钉鞋，搬运铁器物质，搬运盛装可燃气体或易燃液体的金属器时，严禁抛滑或碰撞。</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③预防电气火花</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电火花是引起火灾爆炸的着火源。为防止电火花或危险温度引起的火灾，电气开关插销、熔断器、电热器具、照明器具、电焊设备、电动机等均应根据需要适当避开易燃易爆场所。因此，要保持电气设备的电压电流温升等参数不超过允许值；保持电气设备有足够的绝缘能力；保持电气联接良好等。当电路开启、切断、电器保险丝熔断时，均能产生照明灯具的表面温度过高都可能引起电火花。然而，各易燃易爆危险场所使用的一切电气设备、照明和电气线路都必须采用防爆型的电器，严禁使用一般的电气设施。一旦电气设施偶然产生打火，也不会发生爆炸起火。</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 xml:space="preserve">④预防静电火花 </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 xml:space="preserve">预防静电的产生主要措施是设法控制产生静电的条件和消除静电荷积聚的条件。如从工艺上预防，限制工艺管线内的介质流速：灌注纺丝油剂时，采用暗流灌注等，减少摩擦引起电火花的趋势；输送管道设备内部应尽可能光滑，以减少摩擦；采用防静电涂料；在油品中添加抗静电剂。另外，要防止危险性静电放电，其主要做法是：①消除设备中特别是气相空间的凹起物，以防止电荷在这些地方积聚成高电势放；②设备间导体跨接和接地，以使带电体之间形成等电位；③不仅在设备和物料方面要防止危险放电，对人的因素也要予以高度重视，并采取有效措施以防止人体放电和不当行为引起放电。 </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⑤预防其它火源</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其它危险火源包括高温表面、化学反应热、日光辐射、雷电等。其预防措施有：防止易燃易爆物料与高温设备管道表面相接触，可燃物料排放应远离高温表面。从设计上的配套工作抓起和经常测试的管理工作抓好，严格按照有关规范去设置保护设施。相关规定可参考《石油化工企业设施防火规范》。</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⑥火灾事故的应急处置办法</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纺丝油剂泄漏燃爆危害及涤纶纺织物、产品涤纶纤维等贮存和使用过程中一旦发生火灾，周边的人员应立刻撤离至安全区之外，火灾发生点50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m之外。</w:t>
      </w:r>
    </w:p>
    <w:bookmarkEnd w:id="615"/>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（7）事故应急池容积计算</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根据《水体污染防控紧急措施设计导则》（中国石化建标[2006]43号）进行事故收集池有效容积符合性分析。本项目事故废水池的大小计算如下：</w:t>
      </w:r>
    </w:p>
    <w:p>
      <w:pPr>
        <w:bidi w:val="0"/>
        <w:jc w:val="center"/>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position w:val="-12"/>
          <w:sz w:val="24"/>
          <w:highlight w:val="none"/>
          <w:u w:val="none" w:color="auto"/>
        </w:rPr>
        <w:object>
          <v:shape id="_x0000_i1098" o:spt="75" type="#_x0000_t75" style="height:22.65pt;width:197.8pt;" o:ole="t" filled="f" o:preferrelative="t" stroked="f" coordsize="21600,21600">
            <v:path/>
            <v:fill on="f" focussize="0,0"/>
            <v:stroke on="f"/>
            <v:imagedata r:id="rId177" o:title=""/>
            <o:lock v:ext="edit" aspectratio="t"/>
            <w10:wrap type="none"/>
            <w10:anchorlock/>
          </v:shape>
          <o:OLEObject Type="Embed" ProgID="Equation.3" ShapeID="_x0000_i1098" DrawAspect="Content" ObjectID="_1468075787" r:id="rId176">
            <o:LockedField>false</o:LockedField>
          </o:OLEObject>
        </w:objec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max——指对收集系统范围内不同罐组或装置分别计算V</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，取其中最大值。</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——收集系统范围内发生事故的一个罐组或一套装置的物料量。</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——发生事故的储罐或装置的消防水量，m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position w:val="-14"/>
          <w:highlight w:val="none"/>
          <w:lang w:eastAsia="zh-CN"/>
        </w:rPr>
        <w:object>
          <v:shape id="_x0000_i1099" o:spt="75" type="#_x0000_t75" style="height:20pt;width:69pt;" o:ole="t" filled="f" o:preferrelative="t" stroked="f" coordsize="21600,21600">
            <v:path/>
            <v:fill on="f" focussize="0,0"/>
            <v:stroke on="f"/>
            <v:imagedata r:id="rId179" o:title=""/>
            <o:lock v:ext="edit" aspectratio="t"/>
            <w10:wrap type="none"/>
            <w10:anchorlock/>
          </v:shape>
          <o:OLEObject Type="Embed" ProgID="Equation.KSEE3" ShapeID="_x0000_i1099" DrawAspect="Content" ObjectID="_1468075788" r:id="rId178">
            <o:LockedField>false</o:LockedField>
          </o:OLEObject>
        </w:objec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Q</w:t>
      </w:r>
      <w:r>
        <w:rPr>
          <w:rFonts w:hint="default" w:ascii="Times New Roman" w:hAnsi="Times New Roman" w:cs="Times New Roman"/>
          <w:color w:val="auto"/>
          <w:highlight w:val="none"/>
          <w:vertAlign w:val="subscript"/>
        </w:rPr>
        <w:t>消</w:t>
      </w:r>
      <w:r>
        <w:rPr>
          <w:rFonts w:hint="default" w:ascii="Times New Roman" w:hAnsi="Times New Roman" w:cs="Times New Roman"/>
          <w:color w:val="auto"/>
          <w:highlight w:val="none"/>
        </w:rPr>
        <w:t>——发生事故储罐或装置的同时使用的消防设施给水量，m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T</w:t>
      </w:r>
      <w:r>
        <w:rPr>
          <w:rFonts w:hint="default" w:ascii="Times New Roman" w:hAnsi="Times New Roman" w:cs="Times New Roman"/>
          <w:color w:val="auto"/>
          <w:highlight w:val="none"/>
          <w:vertAlign w:val="subscript"/>
        </w:rPr>
        <w:t>消</w:t>
      </w:r>
      <w:r>
        <w:rPr>
          <w:rFonts w:hint="default" w:ascii="Times New Roman" w:hAnsi="Times New Roman" w:cs="Times New Roman"/>
          <w:color w:val="auto"/>
          <w:highlight w:val="none"/>
        </w:rPr>
        <w:t>——消防设施对应的设计消防历时，h；</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——发生事故时可以转输到其他储存或处理设施的物料量，m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rPr>
        <w:t>——发生事故时仍必须进入该收集系统的生产废水量，m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V</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——发生事故时可能进入该收集系统的降雨量，m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bidi w:val="0"/>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position w:val="-12"/>
          <w:highlight w:val="none"/>
          <w:lang w:eastAsia="zh-CN"/>
        </w:rPr>
        <w:object>
          <v:shape id="_x0000_i1100" o:spt="75" type="#_x0000_t75" style="height:18pt;width:52pt;" o:ole="t" filled="f" o:preferrelative="t" stroked="f" coordsize="21600,21600">
            <v:path/>
            <v:fill on="f" focussize="0,0"/>
            <v:stroke on="f"/>
            <v:imagedata r:id="rId181" o:title=""/>
            <o:lock v:ext="edit" aspectratio="t"/>
            <w10:wrap type="none"/>
            <w10:anchorlock/>
          </v:shape>
          <o:OLEObject Type="Embed" ProgID="Equation.KSEE3" ShapeID="_x0000_i1100" DrawAspect="Content" ObjectID="_1468075789" r:id="rId180">
            <o:LockedField>false</o:LockedField>
          </o:OLEObject>
        </w:objec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q——降雨强度，mm；按平均日降雨量；</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position w:val="-24"/>
          <w:highlight w:val="none"/>
          <w:lang w:eastAsia="zh-CN"/>
        </w:rPr>
        <w:object>
          <v:shape id="_x0000_i1101" o:spt="75" type="#_x0000_t75" style="height:31pt;width:36pt;" o:ole="t" filled="f" o:preferrelative="t" stroked="f" coordsize="21600,21600">
            <v:path/>
            <v:fill on="f" focussize="0,0"/>
            <v:stroke on="f"/>
            <v:imagedata r:id="rId183" o:title=""/>
            <o:lock v:ext="edit" aspectratio="t"/>
            <w10:wrap type="none"/>
            <w10:anchorlock/>
          </v:shape>
          <o:OLEObject Type="Embed" ProgID="Equation.KSEE3" ShapeID="_x0000_i1101" DrawAspect="Content" ObjectID="_1468075790" r:id="rId182">
            <o:LockedField>false</o:LockedField>
          </o:OLEObject>
        </w:objec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qa——年平均降雨量，mm；</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n——年平均降雨日数。</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F——必须进入事故废水收集系统的雨水汇水面积，ha。</w:t>
      </w:r>
    </w:p>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按以下情形核算事故池容积计算：</w:t>
      </w:r>
    </w:p>
    <w:p>
      <w:pPr>
        <w:bidi w:val="0"/>
        <w:jc w:val="both"/>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V</w:t>
      </w:r>
      <w:r>
        <w:rPr>
          <w:rFonts w:hint="default" w:ascii="Times New Roman" w:hAnsi="Times New Roman" w:eastAsia="宋体" w:cs="Times New Roman"/>
          <w:color w:val="auto"/>
          <w:sz w:val="24"/>
          <w:highlight w:val="none"/>
          <w:u w:val="none" w:color="auto"/>
          <w:vertAlign w:val="subscript"/>
          <w:lang w:val="en-US" w:eastAsia="zh-CN"/>
        </w:rPr>
        <w:t>1</w:t>
      </w:r>
      <w:r>
        <w:rPr>
          <w:rFonts w:hint="default" w:ascii="Times New Roman" w:hAnsi="Times New Roman" w:eastAsia="宋体" w:cs="Times New Roman"/>
          <w:color w:val="auto"/>
          <w:sz w:val="24"/>
          <w:highlight w:val="none"/>
          <w:u w:val="none" w:color="auto"/>
          <w:lang w:val="en-US" w:eastAsia="zh-CN"/>
        </w:rPr>
        <w:t>——事故状态下物料量(V</w:t>
      </w:r>
      <w:r>
        <w:rPr>
          <w:rFonts w:hint="default" w:ascii="Times New Roman" w:hAnsi="Times New Roman" w:eastAsia="宋体" w:cs="Times New Roman"/>
          <w:color w:val="auto"/>
          <w:sz w:val="24"/>
          <w:highlight w:val="none"/>
          <w:u w:val="none" w:color="auto"/>
          <w:vertAlign w:val="subscript"/>
          <w:lang w:val="en-US" w:eastAsia="zh-CN"/>
        </w:rPr>
        <w:t>1</w:t>
      </w:r>
      <w:r>
        <w:rPr>
          <w:rFonts w:hint="default" w:ascii="Times New Roman" w:hAnsi="Times New Roman" w:eastAsia="宋体" w:cs="Times New Roman"/>
          <w:color w:val="auto"/>
          <w:sz w:val="24"/>
          <w:highlight w:val="none"/>
          <w:u w:val="none" w:color="auto"/>
          <w:lang w:val="en-US" w:eastAsia="zh-CN"/>
        </w:rPr>
        <w:t>)：车间物料泄漏量极少，忽略不计，故V</w:t>
      </w:r>
      <w:r>
        <w:rPr>
          <w:rFonts w:hint="default" w:ascii="Times New Roman" w:hAnsi="Times New Roman" w:eastAsia="宋体" w:cs="Times New Roman"/>
          <w:color w:val="auto"/>
          <w:sz w:val="24"/>
          <w:highlight w:val="none"/>
          <w:u w:val="none" w:color="auto"/>
          <w:vertAlign w:val="subscript"/>
          <w:lang w:val="en-US" w:eastAsia="zh-CN"/>
        </w:rPr>
        <w:t>1</w:t>
      </w:r>
      <w:r>
        <w:rPr>
          <w:rFonts w:hint="default" w:ascii="Times New Roman" w:hAnsi="Times New Roman" w:eastAsia="宋体" w:cs="Times New Roman"/>
          <w:color w:val="auto"/>
          <w:sz w:val="24"/>
          <w:highlight w:val="none"/>
          <w:u w:val="none" w:color="auto"/>
          <w:lang w:val="en-US" w:eastAsia="zh-CN"/>
        </w:rPr>
        <w:t>=0 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w:t>
      </w:r>
    </w:p>
    <w:p>
      <w:pPr>
        <w:bidi w:val="0"/>
        <w:jc w:val="both"/>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V</w:t>
      </w:r>
      <w:r>
        <w:rPr>
          <w:rFonts w:hint="default" w:ascii="Times New Roman" w:hAnsi="Times New Roman" w:eastAsia="宋体" w:cs="Times New Roman"/>
          <w:color w:val="auto"/>
          <w:sz w:val="24"/>
          <w:highlight w:val="none"/>
          <w:u w:val="none" w:color="auto"/>
          <w:vertAlign w:val="subscript"/>
          <w:lang w:val="en-US" w:eastAsia="zh-CN"/>
        </w:rPr>
        <w:t>2</w:t>
      </w:r>
      <w:r>
        <w:rPr>
          <w:rFonts w:hint="default" w:ascii="Times New Roman" w:hAnsi="Times New Roman" w:eastAsia="宋体" w:cs="Times New Roman"/>
          <w:color w:val="auto"/>
          <w:sz w:val="24"/>
          <w:highlight w:val="none"/>
          <w:u w:val="none" w:color="auto"/>
          <w:lang w:val="en-US" w:eastAsia="zh-CN"/>
        </w:rPr>
        <w:t>——消防用水量（V</w:t>
      </w:r>
      <w:r>
        <w:rPr>
          <w:rFonts w:hint="default" w:ascii="Times New Roman" w:hAnsi="Times New Roman" w:eastAsia="宋体" w:cs="Times New Roman"/>
          <w:color w:val="auto"/>
          <w:sz w:val="24"/>
          <w:highlight w:val="none"/>
          <w:u w:val="none" w:color="auto"/>
          <w:vertAlign w:val="subscript"/>
          <w:lang w:val="en-US" w:eastAsia="zh-CN"/>
        </w:rPr>
        <w:t>2</w:t>
      </w:r>
      <w:r>
        <w:rPr>
          <w:rFonts w:hint="default" w:ascii="Times New Roman" w:hAnsi="Times New Roman" w:eastAsia="宋体" w:cs="Times New Roman"/>
          <w:color w:val="auto"/>
          <w:sz w:val="24"/>
          <w:highlight w:val="none"/>
          <w:u w:val="none" w:color="auto"/>
          <w:lang w:val="en-US" w:eastAsia="zh-CN"/>
        </w:rPr>
        <w:t>）：根据《消防给水及消火栓系统技术规范》（GB50974-2014），m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；项目同一时间内的火灾次数为1次，室外消火栓消防用水量按15 L/s计，消防灭火时间按</w:t>
      </w:r>
      <w:r>
        <w:rPr>
          <w:rFonts w:hint="eastAsia" w:cs="Times New Roman"/>
          <w:color w:val="auto"/>
          <w:sz w:val="24"/>
          <w:highlight w:val="none"/>
          <w:u w:val="none" w:color="auto"/>
          <w:lang w:val="en-US" w:eastAsia="zh-CN"/>
        </w:rPr>
        <w:t>6</w:t>
      </w:r>
      <w:r>
        <w:rPr>
          <w:rFonts w:hint="default" w:ascii="Times New Roman" w:hAnsi="Times New Roman" w:eastAsia="宋体" w:cs="Times New Roman"/>
          <w:color w:val="auto"/>
          <w:sz w:val="24"/>
          <w:highlight w:val="none"/>
          <w:u w:val="none" w:color="auto"/>
          <w:lang w:val="en-US" w:eastAsia="zh-CN"/>
        </w:rPr>
        <w:t>小时计算，需要用水</w:t>
      </w:r>
      <w:r>
        <w:rPr>
          <w:rFonts w:hint="eastAsia" w:cs="Times New Roman"/>
          <w:color w:val="auto"/>
          <w:sz w:val="24"/>
          <w:highlight w:val="none"/>
          <w:u w:val="none" w:color="auto"/>
          <w:lang w:val="en-US" w:eastAsia="zh-CN"/>
        </w:rPr>
        <w:t>324</w:t>
      </w:r>
      <w:r>
        <w:rPr>
          <w:rFonts w:hint="default" w:ascii="Times New Roman" w:hAnsi="Times New Roman" w:eastAsia="宋体" w:cs="Times New Roman"/>
          <w:color w:val="auto"/>
          <w:sz w:val="24"/>
          <w:highlight w:val="none"/>
          <w:u w:val="none" w:color="auto"/>
          <w:lang w:val="en-US" w:eastAsia="zh-CN"/>
        </w:rPr>
        <w:t xml:space="preserve"> 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w:t>
      </w:r>
    </w:p>
    <w:p>
      <w:pPr>
        <w:bidi w:val="0"/>
        <w:jc w:val="both"/>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V</w:t>
      </w:r>
      <w:r>
        <w:rPr>
          <w:rFonts w:hint="default" w:ascii="Times New Roman" w:hAnsi="Times New Roman" w:eastAsia="宋体" w:cs="Times New Roman"/>
          <w:color w:val="auto"/>
          <w:sz w:val="24"/>
          <w:highlight w:val="none"/>
          <w:u w:val="none" w:color="auto"/>
          <w:vertAlign w:val="subscript"/>
          <w:lang w:val="en-US" w:eastAsia="zh-CN"/>
        </w:rPr>
        <w:t>3</w:t>
      </w:r>
      <w:r>
        <w:rPr>
          <w:rFonts w:hint="default" w:ascii="Times New Roman" w:hAnsi="Times New Roman" w:eastAsia="宋体" w:cs="Times New Roman"/>
          <w:color w:val="auto"/>
          <w:sz w:val="24"/>
          <w:highlight w:val="none"/>
          <w:u w:val="none" w:color="auto"/>
          <w:lang w:val="en-US" w:eastAsia="zh-CN"/>
        </w:rPr>
        <w:t>——处理设施的物料量无收集处置，故V</w:t>
      </w:r>
      <w:r>
        <w:rPr>
          <w:rFonts w:hint="default" w:ascii="Times New Roman" w:hAnsi="Times New Roman" w:eastAsia="宋体" w:cs="Times New Roman"/>
          <w:color w:val="auto"/>
          <w:sz w:val="24"/>
          <w:highlight w:val="none"/>
          <w:u w:val="none" w:color="auto"/>
          <w:vertAlign w:val="subscript"/>
          <w:lang w:val="en-US" w:eastAsia="zh-CN"/>
        </w:rPr>
        <w:t>3</w:t>
      </w:r>
      <w:r>
        <w:rPr>
          <w:rFonts w:hint="default" w:ascii="Times New Roman" w:hAnsi="Times New Roman" w:eastAsia="宋体" w:cs="Times New Roman"/>
          <w:color w:val="auto"/>
          <w:sz w:val="24"/>
          <w:highlight w:val="none"/>
          <w:u w:val="none" w:color="auto"/>
          <w:lang w:val="en-US" w:eastAsia="zh-CN"/>
        </w:rPr>
        <w:t>=0 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w:t>
      </w:r>
    </w:p>
    <w:p>
      <w:pPr>
        <w:bidi w:val="0"/>
        <w:jc w:val="both"/>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V</w:t>
      </w:r>
      <w:r>
        <w:rPr>
          <w:rFonts w:hint="default" w:ascii="Times New Roman" w:hAnsi="Times New Roman" w:eastAsia="宋体" w:cs="Times New Roman"/>
          <w:color w:val="auto"/>
          <w:sz w:val="24"/>
          <w:highlight w:val="none"/>
          <w:u w:val="none" w:color="auto"/>
          <w:vertAlign w:val="subscript"/>
          <w:lang w:val="en-US" w:eastAsia="zh-CN"/>
        </w:rPr>
        <w:t>4</w:t>
      </w:r>
      <w:r>
        <w:rPr>
          <w:rFonts w:hint="default" w:ascii="Times New Roman" w:hAnsi="Times New Roman" w:eastAsia="宋体" w:cs="Times New Roman"/>
          <w:color w:val="auto"/>
          <w:sz w:val="24"/>
          <w:highlight w:val="none"/>
          <w:u w:val="none" w:color="auto"/>
          <w:lang w:val="en-US" w:eastAsia="zh-CN"/>
        </w:rPr>
        <w:t>——发生事故时仍必须进入该收集系统的生产废水量，m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；取0；</w:t>
      </w:r>
    </w:p>
    <w:p>
      <w:pPr>
        <w:bidi w:val="0"/>
        <w:jc w:val="both"/>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V</w:t>
      </w:r>
      <w:r>
        <w:rPr>
          <w:rFonts w:hint="default" w:ascii="Times New Roman" w:hAnsi="Times New Roman" w:eastAsia="宋体" w:cs="Times New Roman"/>
          <w:color w:val="auto"/>
          <w:sz w:val="24"/>
          <w:highlight w:val="none"/>
          <w:u w:val="none" w:color="auto"/>
          <w:vertAlign w:val="subscript"/>
          <w:lang w:val="en-US" w:eastAsia="zh-CN"/>
        </w:rPr>
        <w:t>5</w:t>
      </w:r>
      <w:r>
        <w:rPr>
          <w:rFonts w:hint="default" w:ascii="Times New Roman" w:hAnsi="Times New Roman" w:eastAsia="宋体" w:cs="Times New Roman"/>
          <w:color w:val="auto"/>
          <w:sz w:val="24"/>
          <w:highlight w:val="none"/>
          <w:u w:val="none" w:color="auto"/>
          <w:lang w:val="en-US" w:eastAsia="zh-CN"/>
        </w:rPr>
        <w:t>——霞浦县多年平均降雨量约1657.4 mm，年平均降水天数172天，结合全厂危险废物贮存间、前纺楼、后纺楼、综合厂房及附近道路汇水区域，计算须进入事故废水收集系统的雨水汇水面积为F=1.</w:t>
      </w:r>
      <w:r>
        <w:rPr>
          <w:rFonts w:hint="default" w:ascii="Times New Roman" w:hAnsi="Times New Roman" w:cs="Times New Roman"/>
          <w:color w:val="auto"/>
          <w:sz w:val="24"/>
          <w:highlight w:val="none"/>
          <w:u w:val="none" w:color="auto"/>
          <w:lang w:val="en-US" w:eastAsia="zh-CN"/>
        </w:rPr>
        <w:t>8</w:t>
      </w:r>
      <w:r>
        <w:rPr>
          <w:rFonts w:hint="default" w:ascii="Times New Roman" w:hAnsi="Times New Roman" w:eastAsia="宋体" w:cs="Times New Roman"/>
          <w:color w:val="auto"/>
          <w:sz w:val="24"/>
          <w:highlight w:val="none"/>
          <w:u w:val="none" w:color="auto"/>
          <w:lang w:val="en-US" w:eastAsia="zh-CN"/>
        </w:rPr>
        <w:t xml:space="preserve"> ha，则计算得到可能发生事故时可能进入收集系统的雨量为</w:t>
      </w:r>
      <w:r>
        <w:rPr>
          <w:rFonts w:hint="default" w:ascii="Times New Roman" w:hAnsi="Times New Roman" w:cs="Times New Roman"/>
          <w:color w:val="auto"/>
          <w:sz w:val="24"/>
          <w:highlight w:val="none"/>
          <w:u w:val="none" w:color="auto"/>
          <w:lang w:val="en-US" w:eastAsia="zh-CN"/>
        </w:rPr>
        <w:t xml:space="preserve">173.5 </w:t>
      </w:r>
      <w:r>
        <w:rPr>
          <w:rFonts w:hint="default" w:ascii="Times New Roman" w:hAnsi="Times New Roman" w:eastAsia="宋体" w:cs="Times New Roman"/>
          <w:color w:val="auto"/>
          <w:sz w:val="24"/>
          <w:highlight w:val="none"/>
          <w:u w:val="none" w:color="auto"/>
          <w:lang w:val="en-US" w:eastAsia="zh-CN"/>
        </w:rPr>
        <w:t>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经计算，V总=</w:t>
      </w:r>
      <w:r>
        <w:rPr>
          <w:rFonts w:hint="eastAsia" w:cs="Times New Roman"/>
          <w:color w:val="auto"/>
          <w:highlight w:val="none"/>
          <w:lang w:val="en-US" w:eastAsia="zh-CN"/>
        </w:rPr>
        <w:t>497.5</w:t>
      </w:r>
      <w:r>
        <w:rPr>
          <w:rFonts w:hint="default" w:ascii="Times New Roman" w:hAnsi="Times New Roman" w:cs="Times New Roman"/>
          <w:color w:val="auto"/>
          <w:highlight w:val="none"/>
          <w:lang w:val="en-US" w:eastAsia="zh-CN"/>
        </w:rPr>
        <w:t xml:space="preserve">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；本项目与现有工程无依托关系，因此，本次扩建工程应新建1座容积为</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的事故应急池以满足事故废水应急要求。</w:t>
      </w:r>
    </w:p>
    <w:bookmarkEnd w:id="616"/>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环境风险应急预案</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根据《建设项目环境风险评价技术导则》（HJ169-2018）及《国家突发环境事件应急预案》（国办函[2018] 119号）要求，本项目在</w:t>
      </w:r>
      <w:r>
        <w:rPr>
          <w:rFonts w:hint="default" w:ascii="Times New Roman" w:hAnsi="Times New Roman" w:eastAsia="宋体" w:cs="Times New Roman"/>
          <w:color w:val="auto"/>
          <w:highlight w:val="none"/>
          <w:u w:val="none" w:color="auto"/>
        </w:rPr>
        <w:t>建成试投产前</w:t>
      </w:r>
      <w:r>
        <w:rPr>
          <w:rFonts w:hint="default" w:ascii="Times New Roman" w:hAnsi="Times New Roman" w:eastAsia="宋体" w:cs="Times New Roman"/>
          <w:color w:val="auto"/>
          <w:highlight w:val="none"/>
          <w:u w:val="none" w:color="auto"/>
          <w:lang w:val="en-US" w:eastAsia="zh-CN"/>
        </w:rPr>
        <w:t>应修编</w:t>
      </w:r>
      <w:r>
        <w:rPr>
          <w:rFonts w:hint="default" w:ascii="Times New Roman" w:hAnsi="Times New Roman" w:eastAsia="宋体" w:cs="Times New Roman"/>
          <w:color w:val="auto"/>
          <w:highlight w:val="none"/>
          <w:u w:val="none" w:color="auto"/>
        </w:rPr>
        <w:t>应急预案</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并报</w:t>
      </w:r>
      <w:r>
        <w:rPr>
          <w:rFonts w:hint="default" w:ascii="Times New Roman" w:hAnsi="Times New Roman" w:eastAsia="宋体" w:cs="Times New Roman"/>
          <w:color w:val="auto"/>
          <w:highlight w:val="none"/>
          <w:u w:val="none" w:color="auto"/>
          <w:lang w:val="en-US" w:eastAsia="zh-CN"/>
        </w:rPr>
        <w:t>宁德市霞浦</w:t>
      </w:r>
      <w:r>
        <w:rPr>
          <w:rFonts w:hint="default" w:ascii="Times New Roman" w:hAnsi="Times New Roman" w:eastAsia="宋体" w:cs="Times New Roman"/>
          <w:color w:val="auto"/>
          <w:highlight w:val="none"/>
          <w:u w:val="none" w:color="auto"/>
          <w:lang w:eastAsia="zh-CN"/>
        </w:rPr>
        <w:t>生态环境</w:t>
      </w:r>
      <w:r>
        <w:rPr>
          <w:rFonts w:hint="default" w:ascii="Times New Roman" w:hAnsi="Times New Roman" w:eastAsia="宋体" w:cs="Times New Roman"/>
          <w:color w:val="auto"/>
          <w:highlight w:val="none"/>
          <w:u w:val="none" w:color="auto"/>
        </w:rPr>
        <w:t>局备案</w:t>
      </w:r>
      <w:r>
        <w:rPr>
          <w:rFonts w:hint="default" w:ascii="Times New Roman" w:hAnsi="Times New Roman" w:eastAsia="宋体" w:cs="Times New Roman"/>
          <w:color w:val="auto"/>
          <w:highlight w:val="none"/>
          <w:u w:val="none" w:color="auto"/>
          <w:lang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（1）应急预案编制要点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企业制定完善、有效的环境风险事故应急预案，报送当地环保主管部门备案，并定期演练。企业环境应急预案可由责任单位自主编制或委托具备环境应急预案专业编制能力的单位按照要求进行编制。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应急预案应按照国家、地方和相关部门要求进行编制，主要内容包括以下内容：预案适用范围、环境事件分类与分级、组织机构与职责、监控和预警、应急响应、应急保障、善后处置、预案管理与演练等内容。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（2）环境应急预案内容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项目环境风险的突发性事故应急预案的内容详见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_Ref15730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表5.8-7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6"/>
        </w:numPr>
        <w:tabs>
          <w:tab w:val="left" w:pos="420"/>
        </w:tabs>
        <w:bidi w:val="0"/>
        <w:rPr>
          <w:rFonts w:hint="default" w:ascii="Times New Roman" w:hAnsi="Times New Roman" w:cs="Times New Roman"/>
          <w:color w:val="auto"/>
          <w:highlight w:val="none"/>
          <w:lang w:val="en-US" w:eastAsia="zh-CN"/>
        </w:rPr>
      </w:pPr>
      <w:bookmarkStart w:id="617" w:name="_Ref15691"/>
      <w:bookmarkEnd w:id="617"/>
      <w:bookmarkStart w:id="618" w:name="_Ref15730"/>
      <w:r>
        <w:rPr>
          <w:rFonts w:hint="default" w:ascii="Times New Roman" w:hAnsi="Times New Roman" w:cs="Times New Roman"/>
          <w:color w:val="auto"/>
          <w:highlight w:val="none"/>
          <w:lang w:val="en-US" w:eastAsia="zh-CN"/>
        </w:rPr>
        <w:t>环境风险的突发性事故应急预案一览表</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_Ref15691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表5.8-7</w:t>
      </w:r>
      <w:r>
        <w:rPr>
          <w:rFonts w:hint="default" w:ascii="Times New Roman" w:hAnsi="Times New Roman" w:cs="Times New Roman"/>
          <w:color w:val="auto"/>
          <w:highlight w:val="none"/>
          <w:lang w:val="en-US" w:eastAsia="zh-CN"/>
        </w:rPr>
        <w:fldChar w:fldCharType="end"/>
      </w:r>
      <w:bookmarkEnd w:id="618"/>
    </w:p>
    <w:tbl>
      <w:tblPr>
        <w:tblStyle w:val="17"/>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9"/>
        <w:gridCol w:w="1393"/>
        <w:gridCol w:w="72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总则</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编制目的、编制依据、事件分级、适用范围、工作原则和应急预案关系说明等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应急组织指挥体系</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内部应急组织机构与职责与职责外部指挥与协调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预防与预警</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企业应加强对各种可能发生的突发环境事件的风险目标监控</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建立突发事件预警机制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做到“早发现、早报告、早处置”。包括预防与预警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应急处置</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先期处置、响应分级应急响应程序、应急处置、受伤人员现场救护、救治与医院救治、配合有关部门应急响应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应急终止</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明确应急终止的条件、程序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后期处置</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善后处置评估与总结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应急保障</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根据本单位应急工作需求而确定的相关保障措施如资金保障、物资保障、医疗卫生保障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监督管理</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应急预案演练、宣教培训、责任与奖惩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附则</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名词术语、预案解释、修订情况、实施日期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393"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p>
        </w:tc>
        <w:tc>
          <w:tcPr>
            <w:tcW w:w="7279" w:type="dxa"/>
            <w:tcBorders>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与应急事故有关的多种附件材料的准备和形成</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（3）应急预案联动响应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①应急预案分级响应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A应急事件的分级</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参照《福建省突发环境事件应急预案》（2015年），根据事故发生的规模以及对环境造成的污染程度可将风险事故分为：一、特别重大突发环境事件、二、重大突发环境事件、三、较大突发环境事件和四、一般突发环境事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B分级应急响应</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国家突发环境事件应急预案》、《福建省突发公共事件总体应急预案》、《宁德市突发环境事件应急预案》，对应于风险事故的分级，应急预案也相应的分为四级响应机制，由低到高为Ⅳ级(一般事故)、Ⅲ级(较大事故)、Ⅱ级(重大事故)、Ⅰ级(特大事故)。</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Ⅳ级(一般事故)：发生一般事故时，生产人员应该立即报警，请求厂内相关应急救助分队实施扑救行动。同时，根据平时的应急反应计划安排 ，迅速转变为应急处理人员按照预定方案投入扑救行动 ，应急指挥领导小组及时将相关情况报告园区管委会等相关部门。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Ⅲ级(较大事故)：发生较大事故时，需要厂内的应急组织机构迅速反应，并启动应急预案。应急指挥领导小组负责指挥和协调各救助分队统一行动，在厂内对所发生的事故采取处理措施。同时，应急指挥领导小组应迅速上报园区管委会、以及霞浦县、宁德市环保、消防等有关部门，在可能的情况下，请求支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Ⅱ级(重大事故)：发生重大事故时，厂内应急指挥领导小组迅速启动应急预案，并在第一时间上报园区管委会、霞浦县、宁德市有关领导、环保局、省环保厅、消防局，必要的情况下上报国家环保部。此时，应启动宁德市级应急组织机构，协助建设单位处理突发事故。划定警戒区域，实施交通管制，紧急疏散警戒区内的人员，立即召集主要 负责人召开紧急会议，听取汇报，及时与专家库内的有关专家取得联系，请求技术支持，同时成立现场操作组、现场警戒组、应急抢救及保障组、并迅速制定出应急处置方案。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Ⅰ级(特大事故)：发生特大事故时，厂内应急指挥领导小组迅速启动应急预案，并在第一时间上报霞浦县和宁德市有关领导、宁德市环保局、消防局。此时，应启动宁德市级应急组织机构，协助建设单位处理突发事故。划定警戒区域，实施交通管制，紧急疏散警戒区内的人员，立即召集主要负责人召开紧急会议，听取汇报，及时与专家库内的有关专家取得联系，请求技术支持，同时成立现场操作组、现场警戒组、应急抢救及保障组、并迅速制定出应急处置方案。特大事故发生后，宁德市应急指挥领导小组应迅速上报国家环保部、国家安监局等有关部门，请求协助救援。</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②应急响应和联动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应急预案共分四级，为公司应急预案、园区应急预案、市级应急预案(霞浦县)、省、国家级应急预案，事故发生后根据事故的级分别启动相应的应急预案联动方案，具体详见</w:t>
      </w:r>
    </w:p>
    <w:p>
      <w:pPr>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zh-CN"/>
        </w:rPr>
        <w:drawing>
          <wp:inline distT="0" distB="0" distL="114300" distR="114300">
            <wp:extent cx="5931535" cy="2402840"/>
            <wp:effectExtent l="0" t="0" r="12065" b="1651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84"/>
                    <a:stretch>
                      <a:fillRect/>
                    </a:stretch>
                  </pic:blipFill>
                  <pic:spPr>
                    <a:xfrm>
                      <a:off x="0" y="0"/>
                      <a:ext cx="5931535" cy="2402840"/>
                    </a:xfrm>
                    <a:prstGeom prst="rect">
                      <a:avLst/>
                    </a:prstGeom>
                    <a:noFill/>
                    <a:ln>
                      <a:noFill/>
                    </a:ln>
                  </pic:spPr>
                </pic:pic>
              </a:graphicData>
            </a:graphic>
          </wp:inline>
        </w:drawing>
      </w:r>
    </w:p>
    <w:p>
      <w:pPr>
        <w:pStyle w:val="22"/>
        <w:numPr>
          <w:ilvl w:val="7"/>
          <w:numId w:val="6"/>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应急预案响应联动方案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周边企业主要有福建省福宁浦明胶有限公司、霞浦县振兴污水处理有限公司等工业企业，这些企业本身也有应急预案措施和应急设施，建设单位应与上述企业建立联动机制，积极推进资源整合、信息共享、设施共享，在发生风险事故时，上述企业能够积极参与到应急救援当中，减少因风险事故造成的损失。</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（4）环境应急预案的备案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企业事业单位编制的环境应急预案，应当在本单位主要负责人签署实施之日起30日内报所在地环境保护主管部门备案。国家重点监控企业的环境应急预案，应当在本单位主要负责人签署实施之日起45日内报所在地省级人民政府环境保护主管部门备案。报送备案应当提交下列材料（一式二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①《突发环境事件应急预案备案申请表》；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②环境应急预案评估意见；</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③环境应急预案的纸质文件和电子文件。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（5）环境应急预案的实施与监督管理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①建设单位应当采取有效形式，开展环境应急预案的宣传教育，普及突发环境事件预防、避险、自救、互救和应急处置知识，提高从业人员环境安全意识和应急处置技能。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②建设单位应当每年至少组织一次预案培训工作，通过各种形式，使有关人员了解环境应急预案的内容，熟悉应急职责、应急程序和岗位应急处置预案。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建设单位应当定期进行应急演练，并积极配合和参与有关部门开展的应急演练。环境应急预案演练结束后，应当对环境应急预案演练结果进行评估，撰写演练评估报告，分析存在问题，对环境应急预案提出修改意见。</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④建设单位应当根据实际需要和情势变化，依据有关预案编制指南或者编制修订框架指南修订环境应急预案。在环境应急预案修订后30日内将新修订的预案报原预案备案管理部门重新备案。</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环境应急预案每三年至少修订一次；有下列情形之一的，应当及时进行修订：</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A、本单位生产工艺和技术发生变化的；</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B、相关单位和人员发生变化或者应急组织指挥体系或职责调整的；</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C、周围环境或者环境敏感点发生变化的；</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D、环境应急预案依据的法律、法规、规章等发生变化的；</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E、环境保护主管部门或者企业事业单位认为应当适时修订的其他情形。</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预案备案部门可以根据预案修订的具体情况要求修订预案的环境保护主管部门或者企业事业单位对修订后的预案进行评估。</w:t>
      </w:r>
    </w:p>
    <w:p>
      <w:pPr>
        <w:pStyle w:val="4"/>
        <w:numPr>
          <w:ilvl w:val="2"/>
          <w:numId w:val="6"/>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环境风险结论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（1）依据《建设项目环境风险评价技术导则》（HJ169-2018）评价等级划分规定，本项目危险物质存在量及其临界量比值Q＜1，环境风险潜势为Ⅰ，属于简单分析。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（2）扩建项目最大风险事故是原料、产品引发火灾事故，通过采取有效防控措施，风险可控。</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（3）项目环境风险生产场所配备灭火器等消防措施，及时灭火，减缓火灾影响；建设容积为</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的消防事故废水池及其导流系统，确保在事故状态下能顺利收集消防废水，要求建设单位在本项目</w:t>
      </w:r>
      <w:r>
        <w:rPr>
          <w:rFonts w:hint="default" w:ascii="Times New Roman" w:hAnsi="Times New Roman" w:eastAsia="宋体" w:cs="Times New Roman"/>
          <w:color w:val="auto"/>
          <w:highlight w:val="none"/>
          <w:u w:val="none" w:color="auto"/>
        </w:rPr>
        <w:t>建成试投产前</w:t>
      </w:r>
      <w:r>
        <w:rPr>
          <w:rFonts w:hint="default" w:ascii="Times New Roman" w:hAnsi="Times New Roman" w:eastAsia="宋体" w:cs="Times New Roman"/>
          <w:color w:val="auto"/>
          <w:highlight w:val="none"/>
          <w:u w:val="none" w:color="auto"/>
          <w:lang w:val="en-US" w:eastAsia="zh-CN"/>
        </w:rPr>
        <w:t>应修编</w:t>
      </w:r>
      <w:r>
        <w:rPr>
          <w:rFonts w:hint="default" w:ascii="Times New Roman" w:hAnsi="Times New Roman" w:eastAsia="宋体" w:cs="Times New Roman"/>
          <w:color w:val="auto"/>
          <w:highlight w:val="none"/>
          <w:u w:val="none" w:color="auto"/>
        </w:rPr>
        <w:t>应急预案</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并报</w:t>
      </w:r>
      <w:r>
        <w:rPr>
          <w:rFonts w:hint="default" w:ascii="Times New Roman" w:hAnsi="Times New Roman" w:eastAsia="宋体" w:cs="Times New Roman"/>
          <w:color w:val="auto"/>
          <w:highlight w:val="none"/>
          <w:u w:val="none" w:color="auto"/>
          <w:lang w:val="en-US" w:eastAsia="zh-CN"/>
        </w:rPr>
        <w:t>宁德市霞浦</w:t>
      </w:r>
      <w:r>
        <w:rPr>
          <w:rFonts w:hint="default" w:ascii="Times New Roman" w:hAnsi="Times New Roman" w:eastAsia="宋体" w:cs="Times New Roman"/>
          <w:color w:val="auto"/>
          <w:highlight w:val="none"/>
          <w:u w:val="none" w:color="auto"/>
          <w:lang w:eastAsia="zh-CN"/>
        </w:rPr>
        <w:t>生态环境</w:t>
      </w:r>
      <w:r>
        <w:rPr>
          <w:rFonts w:hint="default" w:ascii="Times New Roman" w:hAnsi="Times New Roman" w:eastAsia="宋体" w:cs="Times New Roman"/>
          <w:color w:val="auto"/>
          <w:highlight w:val="none"/>
          <w:u w:val="none" w:color="auto"/>
        </w:rPr>
        <w:t>局备案</w:t>
      </w:r>
      <w:r>
        <w:rPr>
          <w:rFonts w:hint="default" w:ascii="Times New Roman" w:hAnsi="Times New Roman" w:cs="Times New Roman"/>
          <w:color w:val="auto"/>
          <w:highlight w:val="none"/>
          <w:u w:val="none" w:color="auto"/>
          <w:lang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全面落实本评价提出的环境风险防范措施，强化运营中的环境保护管理，认真执行生产车间的处理处置规范，可以避免环境风险事故的发生，大大减少风险事故的发生概率。因此，从这个意义上讲，本项目建设对环境的风险危害是可以接受的。</w:t>
      </w:r>
    </w:p>
    <w:p>
      <w:pPr>
        <w:pStyle w:val="24"/>
        <w:numPr>
          <w:ilvl w:val="6"/>
          <w:numId w:val="6"/>
        </w:numPr>
        <w:tabs>
          <w:tab w:val="left" w:pos="420"/>
        </w:tabs>
        <w:bidi w:val="0"/>
        <w:rPr>
          <w:rFonts w:hint="default" w:ascii="Times New Roman" w:hAnsi="Times New Roman" w:cs="Times New Roman"/>
          <w:color w:val="auto"/>
          <w:highlight w:val="none"/>
        </w:rPr>
      </w:pPr>
      <w:bookmarkStart w:id="619" w:name="_Ref23643"/>
      <w:r>
        <w:rPr>
          <w:rFonts w:hint="default" w:ascii="Times New Roman" w:hAnsi="Times New Roman" w:cs="Times New Roman"/>
          <w:color w:val="auto"/>
          <w:highlight w:val="none"/>
        </w:rPr>
        <w:t>建设项目环境风险简单分析内容表</w:t>
      </w:r>
      <w:bookmarkEnd w:id="619"/>
    </w:p>
    <w:tbl>
      <w:tblPr>
        <w:tblStyle w:val="17"/>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02"/>
        <w:gridCol w:w="1293"/>
        <w:gridCol w:w="1687"/>
        <w:gridCol w:w="1228"/>
        <w:gridCol w:w="28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12" w:space="0"/>
              <w:left w:val="nil"/>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建设项目名称</w:t>
            </w:r>
          </w:p>
        </w:tc>
        <w:tc>
          <w:tcPr>
            <w:tcW w:w="7084" w:type="dxa"/>
            <w:gridSpan w:val="4"/>
            <w:tcBorders>
              <w:top w:val="single" w:color="auto" w:sz="12" w:space="0"/>
              <w:left w:val="single" w:color="auto" w:sz="4" w:space="0"/>
              <w:bottom w:val="single" w:color="auto" w:sz="4" w:space="0"/>
              <w:right w:val="nil"/>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年产5万吨PET再生纤维生产线项目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4" w:space="0"/>
              <w:left w:val="nil"/>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建设地点</w:t>
            </w:r>
          </w:p>
        </w:tc>
        <w:tc>
          <w:tcPr>
            <w:tcW w:w="1293" w:type="dxa"/>
            <w:tcBorders>
              <w:top w:val="single" w:color="auto" w:sz="4" w:space="0"/>
              <w:left w:val="single" w:color="auto" w:sz="4" w:space="0"/>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福建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省</w:t>
            </w:r>
          </w:p>
        </w:tc>
        <w:tc>
          <w:tcPr>
            <w:tcW w:w="1687" w:type="dxa"/>
            <w:tcBorders>
              <w:top w:val="single" w:color="auto" w:sz="4" w:space="0"/>
              <w:left w:val="single" w:color="auto" w:sz="4" w:space="0"/>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宁德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市</w:t>
            </w:r>
          </w:p>
        </w:tc>
        <w:tc>
          <w:tcPr>
            <w:tcW w:w="1228" w:type="dxa"/>
            <w:tcBorders>
              <w:top w:val="single" w:color="auto" w:sz="4" w:space="0"/>
              <w:left w:val="single" w:color="auto" w:sz="4" w:space="0"/>
              <w:bottom w:val="single" w:color="auto" w:sz="4" w:space="0"/>
              <w:right w:val="single" w:color="auto" w:sz="4" w:space="0"/>
              <w:tl2br w:val="nil"/>
              <w:tr2bl w:val="nil"/>
            </w:tcBorders>
            <w:vAlign w:val="center"/>
          </w:tcPr>
          <w:p>
            <w:pPr>
              <w:pStyle w:val="21"/>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霞浦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县</w:t>
            </w:r>
          </w:p>
        </w:tc>
        <w:tc>
          <w:tcPr>
            <w:tcW w:w="2876" w:type="dxa"/>
            <w:tcBorders>
              <w:top w:val="single" w:color="auto" w:sz="4" w:space="0"/>
              <w:left w:val="single" w:color="auto" w:sz="4" w:space="0"/>
              <w:bottom w:val="single" w:color="auto" w:sz="4" w:space="0"/>
              <w:right w:val="nil"/>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牙城镇工业园1号地块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4" w:space="0"/>
              <w:left w:val="nil"/>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地理坐标</w:t>
            </w:r>
          </w:p>
        </w:tc>
        <w:tc>
          <w:tcPr>
            <w:tcW w:w="1293" w:type="dxa"/>
            <w:tcBorders>
              <w:top w:val="single" w:color="auto" w:sz="4" w:space="0"/>
              <w:left w:val="single" w:color="auto" w:sz="4" w:space="0"/>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1687" w:type="dxa"/>
            <w:tcBorders>
              <w:top w:val="single" w:color="auto" w:sz="4" w:space="0"/>
              <w:left w:val="single" w:color="auto" w:sz="4" w:space="0"/>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120°11´54.42″ E</w:t>
            </w:r>
          </w:p>
        </w:tc>
        <w:tc>
          <w:tcPr>
            <w:tcW w:w="1228" w:type="dxa"/>
            <w:tcBorders>
              <w:top w:val="single" w:color="auto" w:sz="4" w:space="0"/>
              <w:left w:val="single" w:color="auto" w:sz="4" w:space="0"/>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2876" w:type="dxa"/>
            <w:tcBorders>
              <w:top w:val="single" w:color="auto" w:sz="4" w:space="0"/>
              <w:left w:val="single" w:color="auto" w:sz="4" w:space="0"/>
              <w:bottom w:val="single" w:color="auto" w:sz="4" w:space="0"/>
              <w:right w:val="nil"/>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26°59´1.39″ 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4" w:space="0"/>
              <w:left w:val="nil"/>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主要危险物质及分布</w:t>
            </w:r>
          </w:p>
        </w:tc>
        <w:tc>
          <w:tcPr>
            <w:tcW w:w="7084" w:type="dxa"/>
            <w:gridSpan w:val="4"/>
            <w:tcBorders>
              <w:top w:val="single" w:color="auto" w:sz="4" w:space="0"/>
              <w:left w:val="single" w:color="auto" w:sz="4" w:space="0"/>
              <w:bottom w:val="single" w:color="auto" w:sz="4" w:space="0"/>
              <w:right w:val="nil"/>
              <w:tl2br w:val="nil"/>
              <w:tr2bl w:val="nil"/>
            </w:tcBorders>
            <w:vAlign w:val="center"/>
          </w:tcPr>
          <w:p>
            <w:pPr>
              <w:pStyle w:val="21"/>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涉及的风险物质主要为油类物质和甲烷，油类主要有纺丝油剂和废油剂。纺丝油剂存储于仓库，最大贮存量为10 t；废油剂最大贮存量为12 t；天然气在线量为0.05 t</w:t>
            </w:r>
            <w:r>
              <w:rPr>
                <w:rFonts w:hint="default" w:ascii="Times New Roman" w:hAnsi="Times New Roman"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4" w:space="0"/>
              <w:left w:val="nil"/>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环境影响途径及危害后果（大气、地表水、地下水等）</w:t>
            </w:r>
          </w:p>
        </w:tc>
        <w:tc>
          <w:tcPr>
            <w:tcW w:w="7084" w:type="dxa"/>
            <w:gridSpan w:val="4"/>
            <w:tcBorders>
              <w:top w:val="single" w:color="auto" w:sz="4" w:space="0"/>
              <w:left w:val="single" w:color="auto" w:sz="4" w:space="0"/>
              <w:bottom w:val="single" w:color="auto" w:sz="4" w:space="0"/>
              <w:right w:val="nil"/>
              <w:tl2br w:val="nil"/>
              <w:tr2bl w:val="nil"/>
            </w:tcBorders>
            <w:vAlign w:val="center"/>
          </w:tcPr>
          <w:p>
            <w:pPr>
              <w:pStyle w:val="21"/>
              <w:bidi w:val="0"/>
              <w:jc w:val="left"/>
              <w:rPr>
                <w:rFonts w:hint="default" w:ascii="Times New Roman" w:hAnsi="Times New Roman" w:cs="Times New Roman"/>
                <w:color w:val="auto"/>
                <w:highlight w:val="none"/>
                <w:u w:val="none"/>
                <w:lang w:val="en-US" w:eastAsia="zh-CN"/>
              </w:rPr>
            </w:pPr>
            <w:r>
              <w:rPr>
                <w:rFonts w:hint="default" w:ascii="Times New Roman" w:hAnsi="Times New Roman" w:cs="Times New Roman"/>
                <w:b/>
                <w:bCs/>
                <w:color w:val="auto"/>
                <w:highlight w:val="none"/>
                <w:u w:val="none"/>
                <w:lang w:val="en-US" w:eastAsia="zh-CN"/>
              </w:rPr>
              <w:t>大气环境影响途径：</w:t>
            </w:r>
            <w:r>
              <w:rPr>
                <w:rFonts w:hint="default" w:ascii="Times New Roman" w:hAnsi="Times New Roman" w:cs="Times New Roman"/>
                <w:color w:val="auto"/>
                <w:highlight w:val="none"/>
                <w:u w:val="none"/>
                <w:lang w:val="en-US" w:eastAsia="zh-CN"/>
              </w:rPr>
              <w:t>纺丝油剂渗漏引发火灾，天然气管道破裂，废气事故排放，等对大气环境造成不利影响。</w:t>
            </w:r>
          </w:p>
          <w:p>
            <w:pPr>
              <w:pStyle w:val="21"/>
              <w:bidi w:val="0"/>
              <w:jc w:val="left"/>
              <w:rPr>
                <w:rFonts w:hint="default" w:ascii="Times New Roman" w:hAnsi="Times New Roman" w:cs="Times New Roman"/>
                <w:color w:val="auto"/>
                <w:highlight w:val="none"/>
                <w:u w:val="none"/>
                <w:lang w:val="en-US" w:eastAsia="zh-CN"/>
              </w:rPr>
            </w:pPr>
            <w:r>
              <w:rPr>
                <w:rFonts w:hint="default" w:ascii="Times New Roman" w:hAnsi="Times New Roman" w:cs="Times New Roman"/>
                <w:b/>
                <w:bCs/>
                <w:color w:val="auto"/>
                <w:highlight w:val="none"/>
                <w:u w:val="none"/>
                <w:lang w:val="en-US" w:eastAsia="zh-CN"/>
              </w:rPr>
              <w:t>地表水环境影响途径：</w:t>
            </w:r>
            <w:r>
              <w:rPr>
                <w:rFonts w:hint="default" w:ascii="Times New Roman" w:hAnsi="Times New Roman" w:cs="Times New Roman"/>
                <w:color w:val="auto"/>
                <w:highlight w:val="none"/>
                <w:u w:val="none"/>
                <w:lang w:val="en-US" w:eastAsia="zh-CN"/>
              </w:rPr>
              <w:t>污水处理设施故障，若没有及时发现，会导致未经处理的生产废水和生活污水直接排入园区污水管网，加重牙城镇污水处理厂的处理负担，对污水厂的处理工艺产生一定的冲击。</w:t>
            </w:r>
          </w:p>
          <w:p>
            <w:pPr>
              <w:pStyle w:val="21"/>
              <w:bidi w:val="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b/>
                <w:bCs/>
                <w:color w:val="auto"/>
                <w:highlight w:val="none"/>
                <w:u w:val="none"/>
                <w:lang w:val="en-US" w:eastAsia="zh-CN"/>
              </w:rPr>
              <w:t>地下水环境影响途径：</w:t>
            </w:r>
            <w:r>
              <w:rPr>
                <w:rFonts w:hint="default" w:ascii="Times New Roman" w:hAnsi="Times New Roman" w:cs="Times New Roman"/>
                <w:color w:val="auto"/>
                <w:highlight w:val="none"/>
                <w:u w:val="none"/>
                <w:lang w:val="en-US" w:eastAsia="zh-CN"/>
              </w:rPr>
              <w:t>生活污水、生产废水的泄漏。若由于管道破裂、废水处理设施故障发生</w:t>
            </w:r>
            <w:r>
              <w:rPr>
                <w:rFonts w:hint="eastAsia" w:cs="Times New Roman"/>
                <w:color w:val="auto"/>
                <w:highlight w:val="none"/>
                <w:u w:val="none"/>
                <w:lang w:val="en-US" w:eastAsia="zh-CN"/>
              </w:rPr>
              <w:t>泄漏</w:t>
            </w:r>
            <w:r>
              <w:rPr>
                <w:rFonts w:hint="default" w:ascii="Times New Roman" w:hAnsi="Times New Roman" w:cs="Times New Roman"/>
                <w:color w:val="auto"/>
                <w:highlight w:val="none"/>
                <w:u w:val="none"/>
                <w:lang w:val="en-US" w:eastAsia="zh-CN"/>
              </w:rPr>
              <w:t>事故，未及时采取有效措施使泄漏得到有效控制，将会对一定范围内的地</w:t>
            </w:r>
            <w:r>
              <w:rPr>
                <w:rFonts w:hint="default" w:ascii="Times New Roman" w:hAnsi="Times New Roman" w:cs="Times New Roman"/>
                <w:color w:val="auto"/>
                <w:highlight w:val="none"/>
                <w:lang w:val="en-US" w:eastAsia="zh-CN"/>
              </w:rPr>
              <w:t>下水造成污染。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4" w:space="0"/>
              <w:left w:val="nil"/>
              <w:bottom w:val="single" w:color="auto" w:sz="4"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风险防范措施要求</w:t>
            </w:r>
          </w:p>
        </w:tc>
        <w:tc>
          <w:tcPr>
            <w:tcW w:w="7084" w:type="dxa"/>
            <w:gridSpan w:val="4"/>
            <w:tcBorders>
              <w:top w:val="single" w:color="auto" w:sz="4" w:space="0"/>
              <w:left w:val="single" w:color="auto" w:sz="4" w:space="0"/>
              <w:bottom w:val="single" w:color="auto" w:sz="4" w:space="0"/>
              <w:right w:val="nil"/>
              <w:tl2br w:val="nil"/>
              <w:tr2bl w:val="nil"/>
            </w:tcBorders>
            <w:vAlign w:val="center"/>
          </w:tcPr>
          <w:p>
            <w:pPr>
              <w:pStyle w:val="21"/>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大气：</w:t>
            </w:r>
          </w:p>
          <w:p>
            <w:pPr>
              <w:pStyle w:val="21"/>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①按有关规范设计设置了有效的消防系统，做到预防为主，安全可靠。</w:t>
            </w:r>
          </w:p>
          <w:p>
            <w:pPr>
              <w:pStyle w:val="21"/>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②在可能发生油类物质挥发及泄漏的场所，设置可燃气体报警装置。</w:t>
            </w:r>
          </w:p>
          <w:p>
            <w:pPr>
              <w:pStyle w:val="21"/>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③据国家有关规范、在安全间距离、耐火等级等消防措施上进行符合规范的相关设计，配备专用的灭火器具等。</w:t>
            </w:r>
          </w:p>
          <w:p>
            <w:pPr>
              <w:pStyle w:val="21"/>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④废气处理设施出现故障时应立即停产检修。</w:t>
            </w:r>
          </w:p>
          <w:p>
            <w:pPr>
              <w:pStyle w:val="21"/>
              <w:bidi w:val="0"/>
              <w:jc w:val="left"/>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地表水：</w:t>
            </w:r>
          </w:p>
          <w:p>
            <w:pPr>
              <w:pStyle w:val="21"/>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①平时注意废水处理设施的维护，做到及时发现处理设备的事故</w:t>
            </w:r>
          </w:p>
          <w:p>
            <w:pPr>
              <w:pStyle w:val="21"/>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隐患，确保处理系统正常运行；开、停、检修要有预案，有严密周全的计.</w:t>
            </w:r>
          </w:p>
          <w:p>
            <w:pPr>
              <w:pStyle w:val="21"/>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划，确保废水水质达标。</w:t>
            </w:r>
          </w:p>
          <w:p>
            <w:pPr>
              <w:pStyle w:val="21"/>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②配套建设</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事故应急池及其导流系统。</w:t>
            </w:r>
          </w:p>
          <w:p>
            <w:pPr>
              <w:pStyle w:val="21"/>
              <w:bidi w:val="0"/>
              <w:jc w:val="left"/>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地下水：</w:t>
            </w:r>
          </w:p>
          <w:p>
            <w:pPr>
              <w:pStyle w:val="21"/>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做到源头控制、分区防治、污染监控体系、应急响应。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2" w:type="dxa"/>
            <w:tcBorders>
              <w:top w:val="single" w:color="auto" w:sz="4" w:space="0"/>
              <w:left w:val="nil"/>
              <w:bottom w:val="single" w:color="auto" w:sz="12" w:space="0"/>
              <w:right w:val="single" w:color="auto" w:sz="4" w:space="0"/>
              <w:tl2br w:val="nil"/>
              <w:tr2bl w:val="nil"/>
            </w:tcBorders>
            <w:vAlign w:val="center"/>
          </w:tcPr>
          <w:p>
            <w:pPr>
              <w:pStyle w:val="21"/>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填表说明（列出项目相关信息及评价说明）</w:t>
            </w:r>
          </w:p>
        </w:tc>
        <w:tc>
          <w:tcPr>
            <w:tcW w:w="7084" w:type="dxa"/>
            <w:gridSpan w:val="4"/>
            <w:tcBorders>
              <w:top w:val="single" w:color="auto" w:sz="4" w:space="0"/>
              <w:left w:val="single" w:color="auto" w:sz="4" w:space="0"/>
              <w:bottom w:val="single" w:color="auto" w:sz="12" w:space="0"/>
              <w:right w:val="nil"/>
              <w:tl2br w:val="nil"/>
              <w:tr2bl w:val="nil"/>
            </w:tcBorders>
            <w:vAlign w:val="center"/>
          </w:tcPr>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lang w:val="en-US" w:eastAsia="zh-CN"/>
              </w:rPr>
              <w:t>危险物质存在量及其临界量比值Q＜1，</w:t>
            </w:r>
            <w:r>
              <w:rPr>
                <w:rFonts w:hint="default" w:ascii="Times New Roman" w:hAnsi="Times New Roman" w:cs="Times New Roman"/>
                <w:color w:val="auto"/>
                <w:highlight w:val="none"/>
                <w:lang w:eastAsia="zh-CN"/>
              </w:rPr>
              <w:t>环境风险潜势为I，属于简单分析，总体上环境风险很小且易于控制，只要做好泄漏、火灾风险事故后的收集、灭火工作，环境风险影响范围主要在厂区内，对环境影响很小</w:t>
            </w:r>
            <w:r>
              <w:rPr>
                <w:rFonts w:hint="default" w:ascii="Times New Roman" w:hAnsi="Times New Roman" w:cs="Times New Roman"/>
                <w:color w:val="auto"/>
                <w:highlight w:val="none"/>
              </w:rPr>
              <w:t>。</w:t>
            </w:r>
          </w:p>
          <w:p>
            <w:pPr>
              <w:pStyle w:val="21"/>
              <w:bidi w:val="0"/>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②本项目</w:t>
            </w:r>
            <w:r>
              <w:rPr>
                <w:rFonts w:hint="default" w:ascii="Times New Roman" w:hAnsi="Times New Roman" w:cs="Times New Roman"/>
                <w:color w:val="auto"/>
                <w:highlight w:val="none"/>
              </w:rPr>
              <w:t>建成试投产前</w:t>
            </w:r>
            <w:r>
              <w:rPr>
                <w:rFonts w:hint="default" w:ascii="Times New Roman" w:hAnsi="Times New Roman" w:cs="Times New Roman"/>
                <w:color w:val="auto"/>
                <w:highlight w:val="none"/>
                <w:lang w:val="en-US" w:eastAsia="zh-CN"/>
              </w:rPr>
              <w:t>应修编</w:t>
            </w:r>
            <w:r>
              <w:rPr>
                <w:rFonts w:hint="default" w:ascii="Times New Roman" w:hAnsi="Times New Roman" w:cs="Times New Roman"/>
                <w:color w:val="auto"/>
                <w:highlight w:val="none"/>
              </w:rPr>
              <w:t>应急预案</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并报</w:t>
            </w:r>
            <w:r>
              <w:rPr>
                <w:rFonts w:hint="default" w:ascii="Times New Roman" w:hAnsi="Times New Roman" w:cs="Times New Roman"/>
                <w:color w:val="auto"/>
                <w:highlight w:val="none"/>
                <w:lang w:val="en-US" w:eastAsia="zh-CN"/>
              </w:rPr>
              <w:t>宁德市霞浦</w:t>
            </w:r>
            <w:r>
              <w:rPr>
                <w:rFonts w:hint="default" w:ascii="Times New Roman" w:hAnsi="Times New Roman" w:cs="Times New Roman"/>
                <w:color w:val="auto"/>
                <w:highlight w:val="none"/>
                <w:lang w:eastAsia="zh-CN"/>
              </w:rPr>
              <w:t>生态环境</w:t>
            </w:r>
            <w:r>
              <w:rPr>
                <w:rFonts w:hint="default" w:ascii="Times New Roman" w:hAnsi="Times New Roman" w:cs="Times New Roman"/>
                <w:color w:val="auto"/>
                <w:highlight w:val="none"/>
              </w:rPr>
              <w:t>局备案</w:t>
            </w:r>
            <w:r>
              <w:rPr>
                <w:rFonts w:hint="default" w:ascii="Times New Roman" w:hAnsi="Times New Roman" w:cs="Times New Roman"/>
                <w:color w:val="auto"/>
                <w:highlight w:val="none"/>
                <w:lang w:eastAsia="zh-CN"/>
              </w:rPr>
              <w:t>。</w:t>
            </w:r>
          </w:p>
        </w:tc>
      </w:tr>
    </w:tbl>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3"/>
        </w:numPr>
        <w:bidi w:val="0"/>
        <w:rPr>
          <w:rFonts w:hint="default"/>
          <w:color w:val="auto"/>
        </w:rPr>
      </w:pPr>
      <w:bookmarkStart w:id="620" w:name="_Toc16944"/>
      <w:bookmarkStart w:id="621" w:name="_Toc29853"/>
      <w:bookmarkStart w:id="622" w:name="_Toc31868"/>
      <w:bookmarkStart w:id="623" w:name="_Toc23587"/>
      <w:r>
        <w:rPr>
          <w:rFonts w:hint="eastAsia"/>
          <w:color w:val="auto"/>
          <w:lang w:val="en-US" w:eastAsia="zh-CN"/>
        </w:rPr>
        <w:t>环境保护措施及其可行性论证</w:t>
      </w:r>
      <w:bookmarkEnd w:id="620"/>
      <w:bookmarkEnd w:id="621"/>
      <w:bookmarkEnd w:id="622"/>
      <w:bookmarkEnd w:id="623"/>
    </w:p>
    <w:p>
      <w:pPr>
        <w:pStyle w:val="3"/>
        <w:numPr>
          <w:ilvl w:val="1"/>
          <w:numId w:val="7"/>
        </w:numPr>
        <w:bidi w:val="0"/>
        <w:rPr>
          <w:rFonts w:hint="eastAsia"/>
          <w:color w:val="auto"/>
          <w:highlight w:val="none"/>
          <w:lang w:val="en-US" w:eastAsia="zh-CN"/>
        </w:rPr>
      </w:pPr>
      <w:bookmarkStart w:id="624" w:name="_Toc10529"/>
      <w:bookmarkStart w:id="625" w:name="_Toc30739"/>
      <w:bookmarkStart w:id="626" w:name="_Toc24415"/>
      <w:bookmarkStart w:id="627" w:name="_Toc7153"/>
      <w:r>
        <w:rPr>
          <w:rFonts w:hint="eastAsia"/>
          <w:color w:val="auto"/>
          <w:highlight w:val="none"/>
          <w:lang w:val="en-US" w:eastAsia="zh-CN"/>
        </w:rPr>
        <w:t>施工期环境保护措施</w:t>
      </w:r>
      <w:bookmarkEnd w:id="624"/>
      <w:bookmarkEnd w:id="625"/>
      <w:bookmarkEnd w:id="626"/>
      <w:bookmarkEnd w:id="627"/>
    </w:p>
    <w:p>
      <w:pPr>
        <w:rPr>
          <w:rFonts w:hint="eastAsia"/>
          <w:color w:val="auto"/>
          <w:highlight w:val="none"/>
          <w:lang w:val="en-US" w:eastAsia="zh-CN"/>
        </w:rPr>
      </w:pPr>
      <w:r>
        <w:rPr>
          <w:rFonts w:hint="eastAsia"/>
          <w:color w:val="auto"/>
          <w:highlight w:val="none"/>
          <w:lang w:val="en-US" w:eastAsia="zh-CN"/>
        </w:rPr>
        <w:t>施工期对环境的影响主要来自施工噪声、施工扬尘、固体废物等。根据各种因素对环境的破坏程度和影响范围，分别提出相应保护措施。</w:t>
      </w:r>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施工期废水污染控制措施</w:t>
      </w:r>
    </w:p>
    <w:p>
      <w:pPr>
        <w:bidi w:val="0"/>
        <w:rPr>
          <w:rFonts w:hint="eastAsia"/>
          <w:color w:val="auto"/>
          <w:highlight w:val="none"/>
          <w:lang w:val="en-US" w:eastAsia="zh-CN"/>
        </w:rPr>
      </w:pPr>
      <w:r>
        <w:rPr>
          <w:rFonts w:hint="eastAsia"/>
          <w:color w:val="auto"/>
          <w:highlight w:val="none"/>
          <w:lang w:val="en-US" w:eastAsia="zh-CN"/>
        </w:rPr>
        <w:t>（1）施工人员均聘用当地居民，无需设置施工营地，生活污水纳入当地污水处理系统；生产废水来自施工机械和设备保养和清洗环节，</w:t>
      </w:r>
      <w:r>
        <w:rPr>
          <w:rFonts w:hint="default"/>
          <w:color w:val="auto"/>
          <w:highlight w:val="none"/>
          <w:lang w:val="en-US" w:eastAsia="zh-CN"/>
        </w:rPr>
        <w:t>主要含悬浮物和石油类污染物</w:t>
      </w:r>
      <w:r>
        <w:rPr>
          <w:rFonts w:hint="eastAsia"/>
          <w:color w:val="auto"/>
          <w:highlight w:val="none"/>
          <w:lang w:val="en-US" w:eastAsia="zh-CN"/>
        </w:rPr>
        <w:t>，</w:t>
      </w:r>
      <w:r>
        <w:rPr>
          <w:rFonts w:hint="default"/>
          <w:color w:val="auto"/>
          <w:highlight w:val="none"/>
          <w:lang w:val="en-US" w:eastAsia="zh-CN"/>
        </w:rPr>
        <w:t>工程施工场地设置两级隔油沉淀池，利用斜板隔油沉淀对其废水进行处理</w:t>
      </w:r>
      <w:r>
        <w:rPr>
          <w:rFonts w:hint="eastAsia"/>
          <w:color w:val="auto"/>
          <w:highlight w:val="none"/>
          <w:lang w:val="en-US" w:eastAsia="zh-CN"/>
        </w:rPr>
        <w:t>，处理后废水全部回用。</w:t>
      </w:r>
    </w:p>
    <w:p>
      <w:pPr>
        <w:bidi w:val="0"/>
        <w:rPr>
          <w:rFonts w:hint="eastAsia"/>
          <w:color w:val="auto"/>
          <w:highlight w:val="none"/>
          <w:lang w:val="en-US" w:eastAsia="zh-CN"/>
        </w:rPr>
      </w:pPr>
      <w:r>
        <w:rPr>
          <w:rFonts w:hint="eastAsia"/>
          <w:color w:val="auto"/>
          <w:highlight w:val="none"/>
          <w:lang w:val="en-US" w:eastAsia="zh-CN"/>
        </w:rPr>
        <w:t>（2）施工尽量安排在晴天进行，尽可能的避开雨季施工，减小因降雨将污染物随地表径流进入地表水体。</w:t>
      </w:r>
    </w:p>
    <w:p>
      <w:pPr>
        <w:bidi w:val="0"/>
        <w:rPr>
          <w:rFonts w:hint="eastAsia"/>
          <w:color w:val="auto"/>
          <w:highlight w:val="none"/>
          <w:lang w:val="en-US" w:eastAsia="zh-CN"/>
        </w:rPr>
      </w:pPr>
      <w:r>
        <w:rPr>
          <w:rFonts w:hint="eastAsia"/>
          <w:color w:val="auto"/>
          <w:highlight w:val="none"/>
          <w:lang w:val="en-US" w:eastAsia="zh-CN"/>
        </w:rPr>
        <w:t>（3）施工用料的堆放应选择暴雨径流难以冲刷的地方，同时材料堆放场备有遮挡的帆布，在雨季应进行覆盖，避免雨水冲刷。</w:t>
      </w:r>
    </w:p>
    <w:p>
      <w:pPr>
        <w:bidi w:val="0"/>
        <w:rPr>
          <w:rFonts w:hint="eastAsia"/>
          <w:color w:val="auto"/>
          <w:highlight w:val="none"/>
          <w:lang w:val="en-US" w:eastAsia="zh-CN"/>
        </w:rPr>
      </w:pPr>
      <w:r>
        <w:rPr>
          <w:rFonts w:hint="eastAsia"/>
          <w:color w:val="auto"/>
          <w:highlight w:val="none"/>
          <w:lang w:val="en-US" w:eastAsia="zh-CN"/>
        </w:rPr>
        <w:t>（4）严格检查施工机械，保障施工机械设备正常运行和及时维修， 避免跑、冒、 滴、漏的油污进入地表水体污染其水质。</w:t>
      </w:r>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施工期废气污染控制措施</w:t>
      </w:r>
    </w:p>
    <w:p>
      <w:pPr>
        <w:rPr>
          <w:rFonts w:hint="eastAsia"/>
          <w:color w:val="auto"/>
          <w:highlight w:val="none"/>
          <w:lang w:val="en-US" w:eastAsia="zh-CN"/>
        </w:rPr>
      </w:pPr>
      <w:r>
        <w:rPr>
          <w:rFonts w:hint="eastAsia"/>
          <w:color w:val="auto"/>
          <w:highlight w:val="none"/>
          <w:lang w:val="en-US" w:eastAsia="zh-CN"/>
        </w:rPr>
        <w:t>项目施工废气主要是施工扬尘。项目采取的措施如下：</w:t>
      </w:r>
    </w:p>
    <w:p>
      <w:pPr>
        <w:rPr>
          <w:rFonts w:hint="eastAsia"/>
          <w:color w:val="auto"/>
          <w:highlight w:val="none"/>
          <w:lang w:val="en-US" w:eastAsia="zh-CN"/>
        </w:rPr>
      </w:pPr>
      <w:r>
        <w:rPr>
          <w:rFonts w:hint="eastAsia"/>
          <w:color w:val="auto"/>
          <w:highlight w:val="none"/>
          <w:lang w:val="en-US" w:eastAsia="zh-CN"/>
        </w:rPr>
        <w:t xml:space="preserve">（1）施工单位根据《建设工程施工现场管理规定》的规定设置现场平面布置图、工程概况牌、安全生产牌、消防保卫牌、文明施工牌、环境保护牌、管理人员名单及监督电话牌等。 </w:t>
      </w:r>
    </w:p>
    <w:p>
      <w:pPr>
        <w:rPr>
          <w:rFonts w:hint="default"/>
          <w:color w:val="auto"/>
          <w:highlight w:val="none"/>
          <w:lang w:val="en-US" w:eastAsia="zh-CN"/>
        </w:rPr>
      </w:pPr>
      <w:r>
        <w:rPr>
          <w:rFonts w:hint="eastAsia"/>
          <w:color w:val="auto"/>
          <w:highlight w:val="none"/>
          <w:lang w:val="en-US" w:eastAsia="zh-CN"/>
        </w:rPr>
        <w:t>（2）建筑垃圾及时清运，若必须在工地内临时堆存，采取覆盖防尘布、防尘网、定期喷水压尘以及其他有效的防尘措施以防止风蚀起尘及水蚀迁移。同时，项目与南侧居民</w:t>
      </w:r>
      <w:r>
        <w:rPr>
          <w:rFonts w:hint="default" w:ascii="Times New Roman" w:hAnsi="Times New Roman" w:cs="Times New Roman"/>
          <w:color w:val="auto"/>
          <w:highlight w:val="none"/>
          <w:lang w:val="en-US" w:eastAsia="zh-CN"/>
        </w:rPr>
        <w:t>一层村</w:t>
      </w:r>
      <w:r>
        <w:rPr>
          <w:rFonts w:hint="eastAsia" w:cs="Times New Roman"/>
          <w:color w:val="auto"/>
          <w:highlight w:val="none"/>
          <w:lang w:val="en-US" w:eastAsia="zh-CN"/>
        </w:rPr>
        <w:t>距离较近，仅为35m，因此，建筑垃圾临时堆存应堆在场地靠北侧，远离居民。</w:t>
      </w:r>
    </w:p>
    <w:p>
      <w:pPr>
        <w:rPr>
          <w:rFonts w:hint="eastAsia"/>
          <w:color w:val="auto"/>
          <w:highlight w:val="none"/>
          <w:lang w:val="en-US" w:eastAsia="zh-CN"/>
        </w:rPr>
      </w:pPr>
      <w:r>
        <w:rPr>
          <w:rFonts w:hint="eastAsia"/>
          <w:color w:val="auto"/>
          <w:highlight w:val="none"/>
          <w:lang w:val="en-US" w:eastAsia="zh-CN"/>
        </w:rPr>
        <w:t xml:space="preserve">（3）施工现场四周设置高度大于2.5m 的围挡，里面设置材料仓库，禁止水泥、砂石等物料露天堆放，灰料搅拌设置在仓库内。 </w:t>
      </w:r>
    </w:p>
    <w:p>
      <w:pPr>
        <w:rPr>
          <w:rFonts w:hint="eastAsia"/>
          <w:color w:val="auto"/>
          <w:highlight w:val="none"/>
          <w:lang w:val="en-US" w:eastAsia="zh-CN"/>
        </w:rPr>
      </w:pPr>
      <w:r>
        <w:rPr>
          <w:rFonts w:hint="eastAsia"/>
          <w:color w:val="auto"/>
          <w:highlight w:val="none"/>
          <w:lang w:val="en-US" w:eastAsia="zh-CN"/>
        </w:rPr>
        <w:t>（4）材料要集中堆放，尽量减少施工材料的堆存时间和堆存量，加快物料的周转速度，建筑材料尽量避免露天堆放，运输车辆采取密封或覆盖措施并配置防撒落装置，装载不宜过满，出装卸场地前将轮胎车体清洗干净，对运输过程中散落在地面的原料要及时清扫，规划好运输车辆的运行路线与时间。</w:t>
      </w:r>
    </w:p>
    <w:p>
      <w:pPr>
        <w:rPr>
          <w:rFonts w:hint="eastAsia"/>
          <w:color w:val="auto"/>
          <w:highlight w:val="none"/>
          <w:lang w:val="en-US" w:eastAsia="zh-CN"/>
        </w:rPr>
      </w:pPr>
      <w:r>
        <w:rPr>
          <w:rFonts w:hint="eastAsia"/>
          <w:color w:val="auto"/>
          <w:highlight w:val="none"/>
          <w:lang w:val="en-US" w:eastAsia="zh-CN"/>
        </w:rPr>
        <w:t xml:space="preserve">（5）工地配置专用水车，在装料、卸料等必要场合使用。 </w:t>
      </w:r>
    </w:p>
    <w:p>
      <w:pPr>
        <w:rPr>
          <w:rFonts w:hint="eastAsia"/>
          <w:color w:val="auto"/>
          <w:highlight w:val="none"/>
          <w:lang w:val="en-US" w:eastAsia="zh-CN"/>
        </w:rPr>
      </w:pPr>
      <w:r>
        <w:rPr>
          <w:rFonts w:hint="eastAsia"/>
          <w:color w:val="auto"/>
          <w:highlight w:val="none"/>
          <w:lang w:val="en-US" w:eastAsia="zh-CN"/>
        </w:rPr>
        <w:t>（6）加强对残土、建筑垃圾临时堆放场的管理，要采取表面压实、洒水、覆盖等措施，应及时运走。</w:t>
      </w:r>
    </w:p>
    <w:p>
      <w:pPr>
        <w:rPr>
          <w:rFonts w:hint="eastAsia"/>
          <w:color w:val="auto"/>
          <w:highlight w:val="none"/>
          <w:lang w:val="en-US" w:eastAsia="zh-CN"/>
        </w:rPr>
      </w:pPr>
      <w:r>
        <w:rPr>
          <w:rFonts w:hint="eastAsia"/>
          <w:color w:val="auto"/>
          <w:highlight w:val="none"/>
          <w:lang w:val="en-US" w:eastAsia="zh-CN"/>
        </w:rPr>
        <w:t xml:space="preserve">（7）设专职人员负责扬尘控制措施的实施和监督，专职人员负责逸散性材料、垃圾、裸地等密闭、覆盖、洒水作业以及车辆清洗作业等，并记录扬尘控制措施的实施情况。 </w:t>
      </w:r>
    </w:p>
    <w:p>
      <w:pPr>
        <w:rPr>
          <w:rFonts w:hint="eastAsia"/>
          <w:color w:val="auto"/>
          <w:highlight w:val="none"/>
          <w:lang w:val="en-US" w:eastAsia="zh-CN"/>
        </w:rPr>
      </w:pPr>
      <w:r>
        <w:rPr>
          <w:rFonts w:hint="eastAsia"/>
          <w:color w:val="auto"/>
          <w:highlight w:val="none"/>
          <w:lang w:val="en-US" w:eastAsia="zh-CN"/>
        </w:rPr>
        <w:t>（8）施工结束时及时对施工占用场地恢复地面道路及植被。</w:t>
      </w:r>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施工期噪声污染控制措施</w:t>
      </w:r>
    </w:p>
    <w:p>
      <w:pPr>
        <w:rPr>
          <w:rFonts w:hint="eastAsia"/>
          <w:color w:val="auto"/>
          <w:highlight w:val="none"/>
          <w:lang w:val="en-US" w:eastAsia="zh-CN"/>
        </w:rPr>
      </w:pPr>
      <w:r>
        <w:rPr>
          <w:rFonts w:hint="eastAsia"/>
          <w:color w:val="auto"/>
          <w:highlight w:val="none"/>
          <w:lang w:val="en-US" w:eastAsia="zh-CN"/>
        </w:rPr>
        <w:t>施工噪声主要是施工机械和车辆产生的噪声，建设单位采取以下具体措施，减轻对附近声环境的影响。</w:t>
      </w:r>
    </w:p>
    <w:p>
      <w:pPr>
        <w:rPr>
          <w:rFonts w:hint="eastAsia"/>
          <w:color w:val="auto"/>
          <w:highlight w:val="none"/>
          <w:lang w:val="en-US" w:eastAsia="zh-CN"/>
        </w:rPr>
      </w:pPr>
      <w:r>
        <w:rPr>
          <w:rFonts w:hint="eastAsia"/>
          <w:color w:val="auto"/>
          <w:highlight w:val="none"/>
          <w:lang w:val="en-US" w:eastAsia="zh-CN"/>
        </w:rPr>
        <w:t>（1）尽量采用低噪声设备，可固定的机械设备安置在施工场地临时房间内降低噪声；施工机械要注意保养、合理操作，尽量使机械噪声降低至最低水平。</w:t>
      </w:r>
    </w:p>
    <w:p>
      <w:pPr>
        <w:rPr>
          <w:rFonts w:hint="eastAsia"/>
          <w:color w:val="auto"/>
          <w:highlight w:val="none"/>
          <w:lang w:val="en-US" w:eastAsia="zh-CN"/>
        </w:rPr>
      </w:pPr>
      <w:r>
        <w:rPr>
          <w:rFonts w:hint="eastAsia"/>
          <w:color w:val="auto"/>
          <w:highlight w:val="none"/>
          <w:lang w:val="en-US" w:eastAsia="zh-CN"/>
        </w:rPr>
        <w:t>（2）施工期间要求工程施工队伍文明施工，加强管理，以缓解噪声对环境的影响。</w:t>
      </w:r>
    </w:p>
    <w:p>
      <w:pPr>
        <w:rPr>
          <w:rFonts w:hint="eastAsia"/>
          <w:color w:val="auto"/>
          <w:highlight w:val="none"/>
          <w:lang w:val="en-US" w:eastAsia="zh-CN"/>
        </w:rPr>
      </w:pPr>
      <w:r>
        <w:rPr>
          <w:rFonts w:hint="eastAsia"/>
          <w:color w:val="auto"/>
          <w:highlight w:val="none"/>
          <w:lang w:val="en-US" w:eastAsia="zh-CN"/>
        </w:rPr>
        <w:t>（3）合理制定施工计划，严格控制和管理产生高噪声设备的使用时间。尽可能避免在同一区段安排大量强噪声设备同时施工；尽量将高噪声设备安排在白天施工，禁止夜间（22时至次日6时）施工。</w:t>
      </w:r>
    </w:p>
    <w:p>
      <w:pPr>
        <w:rPr>
          <w:rFonts w:hint="default"/>
          <w:color w:val="auto"/>
          <w:highlight w:val="none"/>
          <w:lang w:val="en-US" w:eastAsia="zh-CN"/>
        </w:rPr>
      </w:pPr>
      <w:r>
        <w:rPr>
          <w:rFonts w:hint="eastAsia"/>
          <w:color w:val="auto"/>
          <w:highlight w:val="none"/>
          <w:lang w:val="en-US" w:eastAsia="zh-CN"/>
        </w:rPr>
        <w:t>（4）项目场地南侧应设置隔音挡墙，以减小施工噪声对南侧35m处一层村的影响。</w:t>
      </w:r>
    </w:p>
    <w:p>
      <w:pPr>
        <w:rPr>
          <w:rFonts w:hint="eastAsia"/>
          <w:color w:val="auto"/>
          <w:highlight w:val="none"/>
          <w:lang w:val="en-US" w:eastAsia="zh-CN"/>
        </w:rPr>
      </w:pPr>
      <w:r>
        <w:rPr>
          <w:rFonts w:hint="eastAsia"/>
          <w:color w:val="auto"/>
          <w:highlight w:val="none"/>
          <w:lang w:val="en-US" w:eastAsia="zh-CN"/>
        </w:rPr>
        <w:t>（5）施工场所车辆进出点应尽量远离村庄，车辆通过村庄时应减速、禁鸣笛。</w:t>
      </w:r>
    </w:p>
    <w:p>
      <w:pPr>
        <w:rPr>
          <w:rFonts w:hint="eastAsia"/>
          <w:color w:val="auto"/>
          <w:highlight w:val="none"/>
          <w:lang w:val="en-US" w:eastAsia="zh-CN"/>
        </w:rPr>
      </w:pPr>
      <w:r>
        <w:rPr>
          <w:rFonts w:hint="eastAsia"/>
          <w:color w:val="auto"/>
          <w:highlight w:val="none"/>
          <w:lang w:val="en-US" w:eastAsia="zh-CN"/>
        </w:rPr>
        <w:t>（6）建设与施工单位应与周围单位、居民建立良好关系，及时使其了解施工进度及采取的降噪措施，取得居民的理解。</w:t>
      </w:r>
    </w:p>
    <w:p>
      <w:pPr>
        <w:rPr>
          <w:rFonts w:hint="eastAsia"/>
          <w:color w:val="auto"/>
          <w:highlight w:val="none"/>
          <w:lang w:val="en-US" w:eastAsia="zh-CN"/>
        </w:rPr>
      </w:pPr>
      <w:r>
        <w:rPr>
          <w:rFonts w:hint="eastAsia"/>
          <w:color w:val="auto"/>
          <w:highlight w:val="none"/>
          <w:lang w:val="en-US" w:eastAsia="zh-CN"/>
        </w:rPr>
        <w:t>落实上述噪声防治措施后，可使施工各阶段的场界噪声符合GB12523-2011《建筑施工场界噪声排放标准》中的有关规定。拟采取措施有效、可行。</w:t>
      </w:r>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施工期固废污染控制措施</w:t>
      </w:r>
    </w:p>
    <w:p>
      <w:pPr>
        <w:rPr>
          <w:rFonts w:hint="eastAsia"/>
          <w:color w:val="auto"/>
          <w:highlight w:val="none"/>
          <w:lang w:val="en-US" w:eastAsia="zh-CN"/>
        </w:rPr>
      </w:pPr>
      <w:r>
        <w:rPr>
          <w:rFonts w:hint="eastAsia"/>
          <w:color w:val="auto"/>
          <w:highlight w:val="none"/>
          <w:lang w:val="en-US" w:eastAsia="zh-CN"/>
        </w:rPr>
        <w:t>建筑垃圾应集中堆放，尽可能回用于其他建筑工地填方。不能利用的应及时统一运往指定地点进行处置。同时建筑垃圾堆放地周围建立简易的防护围带，以防止垃圾的散落；生活垃圾采用定点收集方式，设立专门的容器加以收集，并委托环卫部门及时清运处置。</w:t>
      </w:r>
    </w:p>
    <w:p>
      <w:pPr>
        <w:rPr>
          <w:rFonts w:hint="eastAsia"/>
          <w:color w:val="auto"/>
          <w:highlight w:val="none"/>
          <w:lang w:val="en-US" w:eastAsia="zh-CN"/>
        </w:rPr>
      </w:pPr>
      <w:r>
        <w:rPr>
          <w:rFonts w:hint="eastAsia"/>
          <w:color w:val="auto"/>
          <w:highlight w:val="none"/>
          <w:lang w:val="en-US" w:eastAsia="zh-CN"/>
        </w:rPr>
        <w:t>通过采取以上措施，项目施工产生的固体废弃物基本不会对周围环境产生明显不利影响。拟采取措施有效、可行。</w:t>
      </w:r>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生态环境保护措施建议</w:t>
      </w:r>
    </w:p>
    <w:p>
      <w:pPr>
        <w:rPr>
          <w:rFonts w:hint="eastAsia"/>
          <w:color w:val="auto"/>
          <w:highlight w:val="none"/>
          <w:lang w:val="en-US" w:eastAsia="zh-CN"/>
        </w:rPr>
      </w:pPr>
      <w:r>
        <w:rPr>
          <w:rFonts w:hint="eastAsia"/>
          <w:color w:val="auto"/>
          <w:highlight w:val="none"/>
          <w:lang w:val="en-US" w:eastAsia="zh-CN"/>
        </w:rPr>
        <w:t>本项目施工时需要开挖局部地面，同时开挖产生的渣土需要堆存，因此应做好土方调运工作，减少土方堆存时间并采取防止水土流失措施。通过布设有针对性的各项水土保持措施，使工程建设过程中新增水土流失得到有效防治，减少因新增水土流失造成的危害，采取以下水土流失防治措：</w:t>
      </w:r>
    </w:p>
    <w:p>
      <w:pPr>
        <w:rPr>
          <w:rFonts w:hint="eastAsia"/>
          <w:color w:val="auto"/>
          <w:highlight w:val="none"/>
          <w:lang w:val="en-US" w:eastAsia="zh-CN"/>
        </w:rPr>
      </w:pPr>
      <w:r>
        <w:rPr>
          <w:rFonts w:hint="eastAsia"/>
          <w:color w:val="auto"/>
          <w:highlight w:val="none"/>
          <w:lang w:val="en-US" w:eastAsia="zh-CN"/>
        </w:rPr>
        <w:t>（1）避免雨季施工，施工单位应事先了解降雨时间和特点，以便采取适当的防护措施。做好各项排水、截水、防止水土流失的设计，现场排水设施要通畅。</w:t>
      </w:r>
    </w:p>
    <w:p>
      <w:pPr>
        <w:rPr>
          <w:rFonts w:hint="eastAsia"/>
          <w:color w:val="auto"/>
          <w:highlight w:val="none"/>
          <w:lang w:val="en-US" w:eastAsia="zh-CN"/>
        </w:rPr>
      </w:pPr>
      <w:r>
        <w:rPr>
          <w:rFonts w:hint="eastAsia"/>
          <w:color w:val="auto"/>
          <w:highlight w:val="none"/>
          <w:lang w:val="en-US" w:eastAsia="zh-CN"/>
        </w:rPr>
        <w:t>（2）合理安排施工计划、施工工序，协调好各个施工步骤，雨季中尽量减少地面坡度，减少开挖，并争取土料随挖随运，减少堆土、裸土的暴露时间。</w:t>
      </w:r>
    </w:p>
    <w:p>
      <w:pPr>
        <w:rPr>
          <w:rFonts w:hint="eastAsia"/>
          <w:color w:val="auto"/>
          <w:highlight w:val="none"/>
          <w:lang w:val="en-US" w:eastAsia="zh-CN"/>
        </w:rPr>
      </w:pPr>
      <w:r>
        <w:rPr>
          <w:rFonts w:hint="eastAsia"/>
          <w:color w:val="auto"/>
          <w:highlight w:val="none"/>
          <w:lang w:val="en-US" w:eastAsia="zh-CN"/>
        </w:rPr>
        <w:t>（3）土石方施工，尽量随挖、随运、随填、随压，雨前和收工前将铺填的松土碾压密实，防止冲刷。土方堆场边坡设置围挡措施和遮雨装置，以免受降水的直接冲刷，在暴雨期，还应采取应急措施，尽量用覆盖物覆盖新挖的陡坡，防止冲刷和坍塌。</w:t>
      </w:r>
    </w:p>
    <w:p>
      <w:pPr>
        <w:rPr>
          <w:rFonts w:hint="eastAsia"/>
          <w:color w:val="auto"/>
          <w:highlight w:val="none"/>
          <w:lang w:val="en-US" w:eastAsia="zh-CN"/>
        </w:rPr>
      </w:pPr>
      <w:r>
        <w:rPr>
          <w:rFonts w:hint="eastAsia"/>
          <w:color w:val="auto"/>
          <w:highlight w:val="none"/>
          <w:lang w:val="en-US" w:eastAsia="zh-CN"/>
        </w:rPr>
        <w:t>（4）加强绿化工程，尽快规划绿地、各种裸露地面绿化和覆盖工作；一些备用的工程建设用地，在工程项目无法马上建设的情况下，进行临时性的绿化覆盖，降低水土流失的可能性。</w:t>
      </w:r>
    </w:p>
    <w:p>
      <w:pPr>
        <w:rPr>
          <w:rFonts w:hint="eastAsia"/>
          <w:color w:val="auto"/>
          <w:highlight w:val="none"/>
          <w:lang w:val="en-US" w:eastAsia="zh-CN"/>
        </w:rPr>
      </w:pPr>
      <w:r>
        <w:rPr>
          <w:rFonts w:hint="eastAsia"/>
          <w:color w:val="auto"/>
          <w:highlight w:val="none"/>
          <w:lang w:val="en-US" w:eastAsia="zh-CN"/>
        </w:rPr>
        <w:t>（5）项目建设动土范围界限四周设置挡土墙，必要时可用砖砌挡土墙，可有效地防止水土流失的发生。</w:t>
      </w:r>
    </w:p>
    <w:p>
      <w:pPr>
        <w:pStyle w:val="3"/>
        <w:numPr>
          <w:ilvl w:val="1"/>
          <w:numId w:val="7"/>
        </w:numPr>
        <w:bidi w:val="0"/>
        <w:rPr>
          <w:rFonts w:hint="eastAsia"/>
          <w:color w:val="auto"/>
          <w:highlight w:val="none"/>
          <w:lang w:val="en-US" w:eastAsia="zh-CN"/>
        </w:rPr>
      </w:pPr>
      <w:bookmarkStart w:id="628" w:name="_Toc8324"/>
      <w:bookmarkStart w:id="629" w:name="_Toc29395"/>
      <w:bookmarkStart w:id="630" w:name="_Toc29472"/>
      <w:bookmarkStart w:id="631" w:name="_Toc10123"/>
      <w:r>
        <w:rPr>
          <w:rFonts w:hint="eastAsia"/>
          <w:color w:val="auto"/>
          <w:highlight w:val="none"/>
          <w:lang w:val="en-US" w:eastAsia="zh-CN"/>
        </w:rPr>
        <w:t>现有工程污染防治措施</w:t>
      </w:r>
      <w:bookmarkEnd w:id="628"/>
      <w:bookmarkEnd w:id="629"/>
      <w:bookmarkEnd w:id="630"/>
      <w:bookmarkEnd w:id="631"/>
    </w:p>
    <w:p>
      <w:pPr>
        <w:pStyle w:val="4"/>
        <w:numPr>
          <w:ilvl w:val="2"/>
          <w:numId w:val="7"/>
        </w:numPr>
        <w:tabs>
          <w:tab w:val="left" w:pos="420"/>
        </w:tabs>
        <w:bidi w:val="0"/>
        <w:rPr>
          <w:rFonts w:hint="default"/>
          <w:color w:val="auto"/>
          <w:highlight w:val="none"/>
          <w:lang w:val="en-US" w:eastAsia="zh-CN"/>
        </w:rPr>
      </w:pPr>
      <w:r>
        <w:rPr>
          <w:rFonts w:hint="eastAsia"/>
          <w:color w:val="auto"/>
          <w:highlight w:val="none"/>
          <w:lang w:val="en-US" w:eastAsia="zh-CN"/>
        </w:rPr>
        <w:t>废气污染防治措施</w:t>
      </w:r>
    </w:p>
    <w:p>
      <w:pPr>
        <w:rPr>
          <w:rFonts w:hint="eastAsia"/>
          <w:color w:val="auto"/>
          <w:highlight w:val="none"/>
          <w:lang w:val="en-US" w:eastAsia="zh-CN"/>
        </w:rPr>
      </w:pPr>
      <w:r>
        <w:rPr>
          <w:rFonts w:hint="eastAsia"/>
          <w:color w:val="auto"/>
          <w:highlight w:val="none"/>
          <w:lang w:val="en-US" w:eastAsia="zh-CN"/>
        </w:rPr>
        <w:t>（1）废气处理措施</w:t>
      </w:r>
    </w:p>
    <w:p>
      <w:pPr>
        <w:rPr>
          <w:rFonts w:hint="eastAsia"/>
          <w:color w:val="auto"/>
          <w:highlight w:val="none"/>
          <w:lang w:val="en-US" w:eastAsia="zh-CN"/>
        </w:rPr>
      </w:pPr>
      <w:r>
        <w:rPr>
          <w:rFonts w:hint="eastAsia"/>
          <w:color w:val="auto"/>
          <w:highlight w:val="none"/>
          <w:lang w:val="en-US" w:eastAsia="zh-CN"/>
        </w:rPr>
        <w:t>现有工程采取的废气处理措施详见下表。</w:t>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pStyle w:val="24"/>
        <w:numPr>
          <w:ilvl w:val="6"/>
          <w:numId w:val="7"/>
        </w:numPr>
        <w:tabs>
          <w:tab w:val="left" w:pos="420"/>
        </w:tabs>
        <w:bidi w:val="0"/>
        <w:rPr>
          <w:rFonts w:hint="default"/>
          <w:color w:val="auto"/>
          <w:highlight w:val="none"/>
          <w:lang w:val="en-US" w:eastAsia="zh-CN"/>
        </w:rPr>
      </w:pPr>
      <w:r>
        <w:rPr>
          <w:rFonts w:hint="eastAsia"/>
          <w:color w:val="auto"/>
          <w:highlight w:val="none"/>
          <w:lang w:val="en-US" w:eastAsia="zh-CN"/>
        </w:rPr>
        <w:t>现有工程采取的废气处理措施表</w:t>
      </w:r>
    </w:p>
    <w:p>
      <w:pPr>
        <w:rPr>
          <w:rFonts w:hint="eastAsia"/>
          <w:color w:val="auto"/>
          <w:highlight w:val="none"/>
          <w:lang w:val="en-US" w:eastAsia="zh-CN"/>
        </w:rPr>
      </w:pPr>
      <w:r>
        <w:rPr>
          <w:rFonts w:hint="eastAsia"/>
          <w:color w:val="auto"/>
          <w:highlight w:val="none"/>
          <w:lang w:val="en-US" w:eastAsia="zh-CN"/>
        </w:rPr>
        <w:t>（2）达标性分析</w:t>
      </w:r>
    </w:p>
    <w:p>
      <w:pPr>
        <w:rPr>
          <w:rFonts w:hint="default"/>
          <w:color w:val="auto"/>
          <w:highlight w:val="none"/>
          <w:lang w:val="en-US" w:eastAsia="zh-CN"/>
        </w:rPr>
      </w:pPr>
      <w:r>
        <w:rPr>
          <w:rFonts w:hint="default"/>
          <w:color w:val="auto"/>
          <w:highlight w:val="none"/>
          <w:lang w:val="en-US" w:eastAsia="zh-CN"/>
        </w:rPr>
        <w:t>根据现有工程</w:t>
      </w:r>
      <w:r>
        <w:rPr>
          <w:rFonts w:hint="eastAsia"/>
          <w:color w:val="auto"/>
          <w:highlight w:val="none"/>
          <w:lang w:val="en-US" w:eastAsia="zh-CN"/>
        </w:rPr>
        <w:t>分析</w:t>
      </w:r>
      <w:r>
        <w:rPr>
          <w:rFonts w:hint="default"/>
          <w:color w:val="auto"/>
          <w:highlight w:val="none"/>
          <w:lang w:val="en-US" w:eastAsia="zh-CN"/>
        </w:rPr>
        <w:t>（第</w:t>
      </w:r>
      <w:r>
        <w:rPr>
          <w:rFonts w:hint="eastAsia"/>
          <w:color w:val="auto"/>
          <w:highlight w:val="none"/>
          <w:lang w:val="en-US" w:eastAsia="zh-CN"/>
        </w:rPr>
        <w:t>二</w:t>
      </w:r>
      <w:r>
        <w:rPr>
          <w:rFonts w:hint="default"/>
          <w:color w:val="auto"/>
          <w:highlight w:val="none"/>
          <w:lang w:val="en-US" w:eastAsia="zh-CN"/>
        </w:rPr>
        <w:t>章），现有工程采取的废气处理措施均能够达标排放，采取的废气处理措施是可行的。</w:t>
      </w:r>
    </w:p>
    <w:p>
      <w:pPr>
        <w:pStyle w:val="4"/>
        <w:numPr>
          <w:ilvl w:val="2"/>
          <w:numId w:val="7"/>
        </w:numPr>
        <w:tabs>
          <w:tab w:val="left" w:pos="420"/>
        </w:tabs>
        <w:bidi w:val="0"/>
        <w:rPr>
          <w:rFonts w:hint="default"/>
          <w:color w:val="auto"/>
          <w:highlight w:val="none"/>
          <w:lang w:val="en-US" w:eastAsia="zh-CN"/>
        </w:rPr>
      </w:pPr>
      <w:r>
        <w:rPr>
          <w:rFonts w:hint="eastAsia"/>
          <w:color w:val="auto"/>
          <w:highlight w:val="none"/>
          <w:lang w:val="en-US" w:eastAsia="zh-CN"/>
        </w:rPr>
        <w:t>废水防治措施</w:t>
      </w:r>
    </w:p>
    <w:p>
      <w:pPr>
        <w:rPr>
          <w:rFonts w:hint="eastAsia" w:cs="Times New Roman"/>
          <w:bCs/>
          <w:color w:val="auto"/>
          <w:kern w:val="0"/>
          <w:sz w:val="24"/>
          <w:szCs w:val="24"/>
          <w:highlight w:val="none"/>
          <w:lang w:val="en-US" w:eastAsia="zh-CN"/>
        </w:rPr>
      </w:pPr>
      <w:r>
        <w:rPr>
          <w:rFonts w:hint="eastAsia"/>
          <w:color w:val="auto"/>
          <w:highlight w:val="none"/>
          <w:lang w:val="en-US" w:eastAsia="zh-CN"/>
        </w:rPr>
        <w:t>现有工程产生的废水主要有生产废水和生活污水。生产废水主要包括组件清洗废水</w:t>
      </w:r>
      <w:r>
        <w:rPr>
          <w:rFonts w:hint="eastAsia"/>
          <w:color w:val="auto"/>
          <w:sz w:val="24"/>
          <w:szCs w:val="24"/>
          <w:highlight w:val="none"/>
          <w:lang w:val="en-US" w:eastAsia="zh-CN"/>
        </w:rPr>
        <w:t>、原料漂洗（清洗）废水、车间地面冲洗废水。项目现有工程设有1座污水处理站用于处理现有工程产生的生产废水，处理能力为50 t/d，处理工艺为</w:t>
      </w:r>
      <w:r>
        <w:rPr>
          <w:rFonts w:hint="default" w:ascii="Times New Roman" w:hAnsi="Times New Roman" w:cs="Times New Roman"/>
          <w:bCs/>
          <w:color w:val="auto"/>
          <w:kern w:val="0"/>
          <w:sz w:val="24"/>
          <w:szCs w:val="24"/>
          <w:highlight w:val="none"/>
        </w:rPr>
        <w:t>“气浮</w:t>
      </w:r>
      <w:r>
        <w:rPr>
          <w:rFonts w:hint="default" w:ascii="Times New Roman" w:hAnsi="Times New Roman" w:cs="Times New Roman"/>
          <w:bCs/>
          <w:color w:val="auto"/>
          <w:kern w:val="0"/>
          <w:sz w:val="24"/>
          <w:szCs w:val="24"/>
          <w:highlight w:val="none"/>
          <w:lang w:val="en-US" w:eastAsia="zh-CN"/>
        </w:rPr>
        <w:t>+斜板沉淀</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bCs/>
          <w:color w:val="auto"/>
          <w:kern w:val="0"/>
          <w:sz w:val="24"/>
          <w:szCs w:val="24"/>
          <w:highlight w:val="none"/>
          <w:lang w:val="en-US" w:eastAsia="zh-CN"/>
        </w:rPr>
        <w:t>A</w:t>
      </w:r>
      <w:r>
        <w:rPr>
          <w:rFonts w:hint="default" w:ascii="Times New Roman" w:hAnsi="Times New Roman" w:cs="Times New Roman"/>
          <w:bCs/>
          <w:color w:val="auto"/>
          <w:kern w:val="0"/>
          <w:sz w:val="24"/>
          <w:szCs w:val="24"/>
          <w:highlight w:val="none"/>
          <w:vertAlign w:val="superscript"/>
          <w:lang w:val="en-US" w:eastAsia="zh-CN"/>
        </w:rPr>
        <w:t>2</w:t>
      </w:r>
      <w:r>
        <w:rPr>
          <w:rFonts w:hint="default" w:ascii="Times New Roman" w:hAnsi="Times New Roman" w:cs="Times New Roman"/>
          <w:bCs/>
          <w:color w:val="auto"/>
          <w:kern w:val="0"/>
          <w:sz w:val="24"/>
          <w:szCs w:val="24"/>
          <w:highlight w:val="none"/>
          <w:lang w:val="en-US" w:eastAsia="zh-CN"/>
        </w:rPr>
        <w:t>O</w:t>
      </w:r>
      <w:r>
        <w:rPr>
          <w:rFonts w:hint="default" w:ascii="Times New Roman" w:hAnsi="Times New Roman" w:cs="Times New Roman"/>
          <w:bCs/>
          <w:color w:val="auto"/>
          <w:kern w:val="0"/>
          <w:sz w:val="24"/>
          <w:szCs w:val="24"/>
          <w:highlight w:val="none"/>
        </w:rPr>
        <w:t>+MBR膜</w:t>
      </w:r>
      <w:r>
        <w:rPr>
          <w:rFonts w:hint="default" w:ascii="Times New Roman" w:hAnsi="Times New Roman" w:cs="Times New Roman"/>
          <w:bCs/>
          <w:color w:val="auto"/>
          <w:kern w:val="0"/>
          <w:sz w:val="24"/>
          <w:szCs w:val="24"/>
          <w:highlight w:val="none"/>
          <w:lang w:val="en-US" w:eastAsia="zh-CN"/>
        </w:rPr>
        <w:t>+板框压滤</w:t>
      </w:r>
      <w:r>
        <w:rPr>
          <w:rFonts w:hint="default" w:ascii="Times New Roman" w:hAnsi="Times New Roman" w:cs="Times New Roman"/>
          <w:bCs/>
          <w:color w:val="auto"/>
          <w:kern w:val="0"/>
          <w:sz w:val="24"/>
          <w:szCs w:val="24"/>
          <w:highlight w:val="none"/>
        </w:rPr>
        <w:t>”</w:t>
      </w:r>
      <w:r>
        <w:rPr>
          <w:rFonts w:hint="eastAsia"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lang w:val="en-US" w:eastAsia="zh-CN"/>
        </w:rPr>
        <w:t>生产废水处理达</w:t>
      </w:r>
      <w:r>
        <w:rPr>
          <w:rFonts w:hint="eastAsia" w:cs="Times New Roman"/>
          <w:color w:val="auto"/>
          <w:highlight w:val="none"/>
          <w:lang w:val="en-US" w:eastAsia="zh-CN"/>
        </w:rPr>
        <w:t>《城市污水再生利用 工业用水水质》（GB/T19923-2005）表1中洗涤用水水质标准后全部回用于原料清洗，不排放</w:t>
      </w:r>
      <w:r>
        <w:rPr>
          <w:rFonts w:hint="eastAsia" w:cs="Times New Roman"/>
          <w:bCs/>
          <w:color w:val="auto"/>
          <w:kern w:val="0"/>
          <w:sz w:val="24"/>
          <w:szCs w:val="24"/>
          <w:highlight w:val="none"/>
          <w:lang w:eastAsia="zh-CN"/>
        </w:rPr>
        <w:t>；</w:t>
      </w:r>
      <w:r>
        <w:rPr>
          <w:rFonts w:hint="eastAsia" w:cs="Times New Roman"/>
          <w:bCs/>
          <w:color w:val="auto"/>
          <w:kern w:val="0"/>
          <w:sz w:val="24"/>
          <w:szCs w:val="24"/>
          <w:highlight w:val="none"/>
          <w:lang w:val="en-US" w:eastAsia="zh-CN"/>
        </w:rPr>
        <w:t>生活污水经化粪池处理后排入园区污水管网，进入牙城镇污水处理厂处理。</w:t>
      </w:r>
    </w:p>
    <w:p>
      <w:pPr>
        <w:rPr>
          <w:rFonts w:hint="default"/>
          <w:color w:val="auto"/>
          <w:highlight w:val="none"/>
          <w:lang w:val="en-US" w:eastAsia="zh-CN"/>
        </w:rPr>
      </w:pPr>
      <w:r>
        <w:rPr>
          <w:rFonts w:ascii="Times New Roman" w:hAnsi="Times New Roman" w:cs="Times New Roman"/>
          <w:color w:val="auto"/>
          <w:highlight w:val="none"/>
        </w:rPr>
        <w:t>根据</w:t>
      </w:r>
      <w:r>
        <w:rPr>
          <w:rFonts w:hint="eastAsia" w:ascii="Times New Roman" w:hAnsi="Times New Roman" w:eastAsia="宋体" w:cs="Times New Roman"/>
          <w:color w:val="auto"/>
          <w:sz w:val="24"/>
          <w:szCs w:val="24"/>
          <w:highlight w:val="none"/>
          <w:lang w:val="en-US" w:eastAsia="zh-CN"/>
        </w:rPr>
        <w:t>《福建闽宏纤维有限公司年产3万吨的PET再生纤维（一期工程）项目竣工环境保护验收监测报告》中委托</w:t>
      </w:r>
      <w:r>
        <w:rPr>
          <w:rFonts w:hint="default" w:ascii="Times New Roman" w:hAnsi="Times New Roman" w:eastAsia="宋体" w:cs="Times New Roman"/>
          <w:color w:val="auto"/>
          <w:sz w:val="24"/>
          <w:szCs w:val="24"/>
          <w:highlight w:val="none"/>
          <w:lang w:val="en-US" w:eastAsia="zh-CN"/>
        </w:rPr>
        <w:t>厦门威正检测技术有限公司</w:t>
      </w:r>
      <w:r>
        <w:rPr>
          <w:rFonts w:hint="eastAsia" w:ascii="Times New Roman" w:hAnsi="Times New Roman" w:eastAsia="宋体" w:cs="Times New Roman"/>
          <w:color w:val="auto"/>
          <w:sz w:val="24"/>
          <w:szCs w:val="24"/>
          <w:highlight w:val="none"/>
          <w:lang w:val="en-US" w:eastAsia="zh-CN"/>
        </w:rPr>
        <w:t>于2019年3月5日~2019年3月6日对1号厂区生活污水的水质监测数据和《福建闽宏纤维有限公司年产3万吨的PET再生纤维（二期工程）项目竣工环境保护验收监测报告》中</w:t>
      </w:r>
      <w:r>
        <w:rPr>
          <w:rFonts w:hint="default" w:ascii="Times New Roman" w:hAnsi="Times New Roman" w:eastAsia="宋体" w:cs="Times New Roman"/>
          <w:color w:val="auto"/>
          <w:sz w:val="24"/>
          <w:szCs w:val="24"/>
          <w:highlight w:val="none"/>
          <w:lang w:val="en-US" w:eastAsia="zh-CN"/>
        </w:rPr>
        <w:t>委托</w:t>
      </w:r>
      <w:r>
        <w:rPr>
          <w:rFonts w:hint="default" w:ascii="Times New Roman" w:hAnsi="Times New Roman" w:cs="Times New Roman"/>
          <w:color w:val="auto"/>
          <w:sz w:val="24"/>
          <w:szCs w:val="24"/>
          <w:highlight w:val="none"/>
          <w:lang w:val="en-US" w:eastAsia="zh-CN"/>
        </w:rPr>
        <w:t>厦门科仪检测技术有限公司</w:t>
      </w:r>
      <w:r>
        <w:rPr>
          <w:rFonts w:hint="default" w:ascii="Times New Roman" w:hAnsi="Times New Roman" w:eastAsia="宋体" w:cs="Times New Roman"/>
          <w:color w:val="auto"/>
          <w:sz w:val="24"/>
          <w:szCs w:val="24"/>
          <w:highlight w:val="none"/>
          <w:lang w:val="en-US" w:eastAsia="zh-CN"/>
        </w:rPr>
        <w:t>于2021年</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月</w:t>
      </w:r>
      <w:r>
        <w:rPr>
          <w:rFonts w:hint="default" w:ascii="Times New Roman" w:hAnsi="Times New Roman" w:eastAsia="宋体" w:cs="Times New Roman"/>
          <w:color w:val="auto"/>
          <w:highlight w:val="none"/>
          <w:lang w:val="en-US" w:eastAsia="zh-CN"/>
        </w:rPr>
        <w:t>15日~2021年</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月16日对污水处理站进出口</w:t>
      </w:r>
      <w:r>
        <w:rPr>
          <w:rFonts w:hint="eastAsia" w:ascii="Times New Roman" w:hAnsi="Times New Roman" w:eastAsia="宋体" w:cs="Times New Roman"/>
          <w:color w:val="auto"/>
          <w:highlight w:val="none"/>
          <w:lang w:val="en-US" w:eastAsia="zh-CN"/>
        </w:rPr>
        <w:t>、2号厂区生活污水的水质监测数据。</w:t>
      </w:r>
      <w:r>
        <w:rPr>
          <w:rFonts w:hint="default" w:ascii="Times New Roman" w:hAnsi="Times New Roman" w:eastAsia="宋体" w:cs="Times New Roman"/>
          <w:color w:val="auto"/>
          <w:highlight w:val="none"/>
          <w:lang w:val="en-US" w:eastAsia="zh-CN"/>
        </w:rPr>
        <w:t>根据监测结果，污水处理站出口水质均可</w:t>
      </w:r>
      <w:r>
        <w:rPr>
          <w:rFonts w:hint="eastAsia" w:cs="Times New Roman"/>
          <w:color w:val="auto"/>
          <w:highlight w:val="none"/>
          <w:lang w:val="en-US" w:eastAsia="zh-CN"/>
        </w:rPr>
        <w:t>符合</w:t>
      </w:r>
      <w:r>
        <w:rPr>
          <w:rFonts w:hint="eastAsia" w:cs="Times New Roman"/>
          <w:color w:val="auto"/>
          <w:highlight w:val="none"/>
          <w:lang w:val="en-US" w:eastAsia="zh-CN"/>
        </w:rPr>
        <w:t>《城市污水再生利用 工业用水水质》（GB/T19923-2005）表1中洗涤用水水质标准，满足回用水质要求</w:t>
      </w:r>
      <w:r>
        <w:rPr>
          <w:rFonts w:hint="eastAsia" w:cs="Times New Roman"/>
          <w:color w:val="auto"/>
          <w:highlight w:val="none"/>
          <w:lang w:eastAsia="zh-CN"/>
        </w:rPr>
        <w:t>；</w:t>
      </w:r>
      <w:r>
        <w:rPr>
          <w:rFonts w:hint="default" w:ascii="Times New Roman" w:hAnsi="Times New Roman" w:cs="Times New Roman"/>
          <w:color w:val="auto"/>
          <w:highlight w:val="none"/>
          <w:lang w:val="en-US" w:eastAsia="zh-CN"/>
        </w:rPr>
        <w:t>生活污水经</w:t>
      </w:r>
      <w:r>
        <w:rPr>
          <w:rFonts w:hint="eastAsia" w:cs="Times New Roman"/>
          <w:color w:val="auto"/>
          <w:highlight w:val="none"/>
          <w:lang w:val="en-US" w:eastAsia="zh-CN"/>
        </w:rPr>
        <w:t>化粪池</w:t>
      </w:r>
      <w:r>
        <w:rPr>
          <w:rFonts w:hint="default" w:ascii="Times New Roman" w:hAnsi="Times New Roman" w:cs="Times New Roman"/>
          <w:color w:val="auto"/>
          <w:highlight w:val="none"/>
          <w:lang w:val="en-US" w:eastAsia="zh-CN"/>
        </w:rPr>
        <w:t>处理后出口水质符合</w:t>
      </w:r>
      <w:r>
        <w:rPr>
          <w:rFonts w:hint="eastAsia" w:cs="Times New Roman"/>
          <w:color w:val="auto"/>
          <w:highlight w:val="none"/>
          <w:lang w:val="en-US" w:eastAsia="zh-CN"/>
        </w:rPr>
        <w:t>牙城镇污水处理厂设计进水水质要求。</w:t>
      </w:r>
    </w:p>
    <w:p>
      <w:pPr>
        <w:pStyle w:val="4"/>
        <w:numPr>
          <w:ilvl w:val="2"/>
          <w:numId w:val="7"/>
        </w:numPr>
        <w:tabs>
          <w:tab w:val="left" w:pos="420"/>
        </w:tabs>
        <w:bidi w:val="0"/>
        <w:rPr>
          <w:rFonts w:hint="default"/>
          <w:color w:val="auto"/>
          <w:highlight w:val="none"/>
          <w:lang w:val="en-US" w:eastAsia="zh-CN"/>
        </w:rPr>
      </w:pPr>
      <w:r>
        <w:rPr>
          <w:rFonts w:hint="eastAsia"/>
          <w:color w:val="auto"/>
          <w:highlight w:val="none"/>
          <w:lang w:val="en-US" w:eastAsia="zh-CN"/>
        </w:rPr>
        <w:t>噪声污染防治措施</w:t>
      </w:r>
    </w:p>
    <w:p>
      <w:pPr>
        <w:rPr>
          <w:rFonts w:hint="default"/>
          <w:color w:val="auto"/>
          <w:highlight w:val="none"/>
          <w:lang w:val="en-US" w:eastAsia="zh-CN"/>
        </w:rPr>
      </w:pPr>
      <w:r>
        <w:rPr>
          <w:rFonts w:hint="eastAsia"/>
          <w:color w:val="auto"/>
          <w:highlight w:val="none"/>
          <w:lang w:val="en-US" w:eastAsia="zh-CN"/>
        </w:rPr>
        <w:t>现有工程噪声源主要来自</w:t>
      </w:r>
      <w:r>
        <w:rPr>
          <w:rFonts w:hint="default" w:ascii="Times New Roman" w:hAnsi="Times New Roman" w:cs="Times New Roman"/>
          <w:color w:val="auto"/>
          <w:highlight w:val="none"/>
          <w:lang w:val="en-US" w:eastAsia="zh-CN"/>
        </w:rPr>
        <w:t>造粒</w:t>
      </w:r>
      <w:r>
        <w:rPr>
          <w:rFonts w:hint="eastAsia" w:cs="Times New Roman"/>
          <w:color w:val="auto"/>
          <w:highlight w:val="none"/>
          <w:lang w:val="en-US" w:eastAsia="zh-CN"/>
        </w:rPr>
        <w:t>生产线</w:t>
      </w:r>
      <w:r>
        <w:rPr>
          <w:rFonts w:hint="default" w:ascii="Times New Roman" w:hAnsi="Times New Roman" w:cs="Times New Roman"/>
          <w:color w:val="auto"/>
          <w:highlight w:val="none"/>
          <w:lang w:val="en-US" w:eastAsia="zh-CN"/>
        </w:rPr>
        <w:t>设备（破碎机、造粒机等）、纺丝生产线设备（干燥机、纺丝机、牵伸机、切断机、打包机等）和辅助设施（真空泵、工业空调送风机组、</w:t>
      </w:r>
      <w:r>
        <w:rPr>
          <w:rFonts w:hint="default" w:ascii="Times New Roman" w:hAnsi="Times New Roman" w:cs="Times New Roman"/>
          <w:color w:val="auto"/>
          <w:highlight w:val="none"/>
        </w:rPr>
        <w:t>纺丝环吹风冷却系统</w:t>
      </w:r>
      <w:r>
        <w:rPr>
          <w:rFonts w:hint="default" w:ascii="Times New Roman" w:hAnsi="Times New Roman" w:cs="Times New Roman"/>
          <w:color w:val="auto"/>
          <w:highlight w:val="none"/>
          <w:lang w:val="en-US" w:eastAsia="zh-CN"/>
        </w:rPr>
        <w:t>等）等机械设备运行时产生的噪声</w:t>
      </w:r>
      <w:r>
        <w:rPr>
          <w:rFonts w:hint="eastAsia" w:ascii="Times New Roman" w:hAnsi="Times New Roman" w:cs="Times New Roman"/>
          <w:color w:val="auto"/>
          <w:highlight w:val="none"/>
          <w:lang w:val="en-US" w:eastAsia="zh-CN"/>
        </w:rPr>
        <w:t>，</w:t>
      </w:r>
      <w:r>
        <w:rPr>
          <w:rFonts w:hint="default"/>
          <w:color w:val="auto"/>
          <w:highlight w:val="none"/>
          <w:lang w:val="en-US" w:eastAsia="zh-CN"/>
        </w:rPr>
        <w:t>主要采取隔声、消声、减震等噪声控制措施。</w:t>
      </w:r>
    </w:p>
    <w:p>
      <w:pPr>
        <w:rPr>
          <w:rFonts w:hint="default"/>
          <w:color w:val="auto"/>
          <w:highlight w:val="none"/>
          <w:lang w:val="en-US" w:eastAsia="zh-CN"/>
        </w:rPr>
      </w:pPr>
      <w:r>
        <w:rPr>
          <w:rFonts w:hint="default"/>
          <w:color w:val="auto"/>
          <w:highlight w:val="none"/>
          <w:lang w:val="en-US" w:eastAsia="zh-CN"/>
        </w:rPr>
        <w:t>根据第</w:t>
      </w:r>
      <w:r>
        <w:rPr>
          <w:rFonts w:hint="eastAsia"/>
          <w:color w:val="auto"/>
          <w:highlight w:val="none"/>
          <w:lang w:val="en-US" w:eastAsia="zh-CN"/>
        </w:rPr>
        <w:t>2</w:t>
      </w:r>
      <w:r>
        <w:rPr>
          <w:rFonts w:hint="default"/>
          <w:color w:val="auto"/>
          <w:highlight w:val="none"/>
          <w:lang w:val="en-US" w:eastAsia="zh-CN"/>
        </w:rPr>
        <w:t>章</w:t>
      </w:r>
      <w:r>
        <w:rPr>
          <w:rFonts w:hint="eastAsia"/>
          <w:color w:val="auto"/>
          <w:highlight w:val="none"/>
          <w:lang w:val="en-US" w:eastAsia="zh-CN"/>
        </w:rPr>
        <w:t>2.7.3</w:t>
      </w:r>
      <w:r>
        <w:rPr>
          <w:rFonts w:hint="default"/>
          <w:color w:val="auto"/>
          <w:highlight w:val="none"/>
          <w:lang w:val="en-US" w:eastAsia="zh-CN"/>
        </w:rPr>
        <w:t>小节，厂界昼间噪声范围</w:t>
      </w:r>
      <w:r>
        <w:rPr>
          <w:rFonts w:hint="eastAsia"/>
          <w:color w:val="auto"/>
          <w:highlight w:val="none"/>
          <w:lang w:val="en-US" w:eastAsia="zh-CN"/>
        </w:rPr>
        <w:t>60.7</w:t>
      </w:r>
      <w:r>
        <w:rPr>
          <w:rFonts w:hint="default"/>
          <w:color w:val="auto"/>
          <w:highlight w:val="none"/>
          <w:lang w:val="en-US" w:eastAsia="zh-CN"/>
        </w:rPr>
        <w:t>～</w:t>
      </w:r>
      <w:r>
        <w:rPr>
          <w:rFonts w:hint="eastAsia"/>
          <w:color w:val="auto"/>
          <w:highlight w:val="none"/>
          <w:lang w:val="en-US" w:eastAsia="zh-CN"/>
        </w:rPr>
        <w:t>64.3</w:t>
      </w:r>
      <w:r>
        <w:rPr>
          <w:rFonts w:hint="default"/>
          <w:color w:val="auto"/>
          <w:highlight w:val="none"/>
          <w:lang w:val="en-US" w:eastAsia="zh-CN"/>
        </w:rPr>
        <w:t>dB，夜间噪声范围</w:t>
      </w:r>
      <w:r>
        <w:rPr>
          <w:rFonts w:hint="eastAsia"/>
          <w:color w:val="auto"/>
          <w:highlight w:val="none"/>
          <w:lang w:val="en-US" w:eastAsia="zh-CN"/>
        </w:rPr>
        <w:t>51.1</w:t>
      </w:r>
      <w:r>
        <w:rPr>
          <w:rFonts w:hint="default"/>
          <w:color w:val="auto"/>
          <w:highlight w:val="none"/>
          <w:lang w:val="en-US" w:eastAsia="zh-CN"/>
        </w:rPr>
        <w:t>～</w:t>
      </w:r>
      <w:r>
        <w:rPr>
          <w:rFonts w:hint="eastAsia"/>
          <w:color w:val="auto"/>
          <w:highlight w:val="none"/>
          <w:lang w:val="en-US" w:eastAsia="zh-CN"/>
        </w:rPr>
        <w:t>53.1</w:t>
      </w:r>
      <w:r>
        <w:rPr>
          <w:rFonts w:hint="default"/>
          <w:color w:val="auto"/>
          <w:highlight w:val="none"/>
          <w:lang w:val="en-US" w:eastAsia="zh-CN"/>
        </w:rPr>
        <w:t>dB，各测点的厂界噪声均符合GB12348-2008《工业企业厂界噪声标准》3类标准昼间65dB、夜间55dB要求，现有采取的噪声控制措施是可行的。</w:t>
      </w:r>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固体废物处置措施</w:t>
      </w:r>
    </w:p>
    <w:p>
      <w:pPr>
        <w:bidi w:val="0"/>
        <w:rPr>
          <w:rFonts w:hint="default"/>
          <w:color w:val="auto"/>
          <w:highlight w:val="none"/>
          <w:lang w:val="en-US" w:eastAsia="zh-CN"/>
        </w:rPr>
      </w:pPr>
      <w:r>
        <w:rPr>
          <w:rFonts w:hint="default"/>
          <w:color w:val="auto"/>
          <w:highlight w:val="none"/>
          <w:lang w:val="en-US" w:eastAsia="zh-CN"/>
        </w:rPr>
        <w:t>（1）一般工业固体废物</w:t>
      </w:r>
    </w:p>
    <w:p>
      <w:pPr>
        <w:bidi w:val="0"/>
        <w:rPr>
          <w:rFonts w:hint="default"/>
          <w:color w:val="auto"/>
          <w:highlight w:val="none"/>
          <w:lang w:val="en-US" w:eastAsia="zh-CN"/>
        </w:rPr>
      </w:pPr>
      <w:r>
        <w:rPr>
          <w:rFonts w:hint="eastAsia"/>
          <w:color w:val="auto"/>
          <w:highlight w:val="none"/>
          <w:lang w:val="en-US" w:eastAsia="zh-CN"/>
        </w:rPr>
        <w:t>现有工程产生的</w:t>
      </w:r>
      <w:r>
        <w:rPr>
          <w:rFonts w:hint="default"/>
          <w:color w:val="auto"/>
          <w:highlight w:val="none"/>
          <w:lang w:val="en-US" w:eastAsia="zh-CN"/>
        </w:rPr>
        <w:t>一般工业固体废物主要有原辅材料废包装袋、废熔块、废丝、污泥。一般工业固体废物分类收集后，暂存于一般工业固体废物贮存间</w:t>
      </w:r>
      <w:r>
        <w:rPr>
          <w:rFonts w:hint="eastAsia"/>
          <w:color w:val="auto"/>
          <w:highlight w:val="none"/>
          <w:lang w:val="en-US" w:eastAsia="zh-CN"/>
        </w:rPr>
        <w:t>（面积为200 m</w:t>
      </w:r>
      <w:r>
        <w:rPr>
          <w:rFonts w:hint="eastAsia"/>
          <w:color w:val="auto"/>
          <w:highlight w:val="none"/>
          <w:vertAlign w:val="superscript"/>
          <w:lang w:val="en-US" w:eastAsia="zh-CN"/>
        </w:rPr>
        <w:t>2</w:t>
      </w:r>
      <w:r>
        <w:rPr>
          <w:rFonts w:hint="eastAsia"/>
          <w:color w:val="auto"/>
          <w:highlight w:val="none"/>
          <w:lang w:val="en-US" w:eastAsia="zh-CN"/>
        </w:rPr>
        <w:t>）</w:t>
      </w:r>
      <w:r>
        <w:rPr>
          <w:rFonts w:hint="default"/>
          <w:color w:val="auto"/>
          <w:highlight w:val="none"/>
          <w:lang w:val="en-US" w:eastAsia="zh-CN"/>
        </w:rPr>
        <w:t>，废包装袋定期由原材料供应公司回收，杂质委托环卫部门清运处置，废熔块、废丝经破碎后回用于造粒生产线，污泥委托委托三明金牛环保科技有限公司水泥窑协同处置。</w:t>
      </w:r>
    </w:p>
    <w:p>
      <w:pPr>
        <w:bidi w:val="0"/>
        <w:rPr>
          <w:rFonts w:hint="default"/>
          <w:color w:val="auto"/>
          <w:highlight w:val="none"/>
          <w:lang w:val="en-US" w:eastAsia="zh-CN"/>
        </w:rPr>
      </w:pPr>
      <w:r>
        <w:rPr>
          <w:rFonts w:hint="default"/>
          <w:color w:val="auto"/>
          <w:highlight w:val="none"/>
          <w:lang w:val="en-US" w:eastAsia="zh-CN"/>
        </w:rPr>
        <w:t>（2）危险废物</w:t>
      </w:r>
    </w:p>
    <w:p>
      <w:pPr>
        <w:bidi w:val="0"/>
        <w:rPr>
          <w:rFonts w:hint="default"/>
          <w:color w:val="auto"/>
          <w:highlight w:val="none"/>
          <w:lang w:val="en-US" w:eastAsia="zh-CN"/>
        </w:rPr>
      </w:pPr>
      <w:r>
        <w:rPr>
          <w:rFonts w:hint="eastAsia"/>
          <w:color w:val="auto"/>
          <w:highlight w:val="none"/>
          <w:lang w:val="en-US" w:eastAsia="zh-CN"/>
        </w:rPr>
        <w:t>现有工程</w:t>
      </w:r>
      <w:r>
        <w:rPr>
          <w:rFonts w:hint="default"/>
          <w:color w:val="auto"/>
          <w:highlight w:val="none"/>
          <w:lang w:val="en-US" w:eastAsia="zh-CN"/>
        </w:rPr>
        <w:t>产生的危险废物主要包括：废油剂、真空煅烧废渣、含油抹布、废油剂空桶。危险废物分类收集后，暂存于危险废物贮存间</w:t>
      </w:r>
      <w:r>
        <w:rPr>
          <w:rFonts w:hint="eastAsia"/>
          <w:color w:val="auto"/>
          <w:highlight w:val="none"/>
          <w:lang w:val="en-US" w:eastAsia="zh-CN"/>
        </w:rPr>
        <w:t>（面积为10 m</w:t>
      </w:r>
      <w:r>
        <w:rPr>
          <w:rFonts w:hint="eastAsia"/>
          <w:color w:val="auto"/>
          <w:highlight w:val="none"/>
          <w:vertAlign w:val="superscript"/>
          <w:lang w:val="en-US" w:eastAsia="zh-CN"/>
        </w:rPr>
        <w:t>2</w:t>
      </w:r>
      <w:r>
        <w:rPr>
          <w:rFonts w:hint="eastAsia"/>
          <w:color w:val="auto"/>
          <w:highlight w:val="none"/>
          <w:lang w:val="en-US" w:eastAsia="zh-CN"/>
        </w:rPr>
        <w:t>）</w:t>
      </w:r>
      <w:r>
        <w:rPr>
          <w:rFonts w:hint="default"/>
          <w:color w:val="auto"/>
          <w:highlight w:val="none"/>
          <w:lang w:val="en-US" w:eastAsia="zh-CN"/>
        </w:rPr>
        <w:t>，废油剂定期委托福建省三明辉润石化有限公司处置，真空煅烧废渣委托邵武绿益新环保产业开发有限公司处置，废油剂空桶由厂家回收综合利用。根据《国家危险废物名录》（2021年版），</w:t>
      </w:r>
      <w:r>
        <w:rPr>
          <w:rFonts w:hint="eastAsia"/>
          <w:color w:val="auto"/>
          <w:highlight w:val="none"/>
          <w:lang w:val="en-US" w:eastAsia="zh-CN"/>
        </w:rPr>
        <w:t>混入生活垃圾的</w:t>
      </w:r>
      <w:r>
        <w:rPr>
          <w:rFonts w:hint="default"/>
          <w:color w:val="auto"/>
          <w:highlight w:val="none"/>
          <w:lang w:val="en-US" w:eastAsia="zh-CN"/>
        </w:rPr>
        <w:t>含油抹布属于豁免废物，与生活垃圾一同委托环卫部门清运处理。</w:t>
      </w:r>
    </w:p>
    <w:p>
      <w:pPr>
        <w:bidi w:val="0"/>
        <w:rPr>
          <w:rFonts w:hint="default"/>
          <w:color w:val="auto"/>
          <w:highlight w:val="none"/>
          <w:lang w:val="en-US" w:eastAsia="zh-CN"/>
        </w:rPr>
      </w:pPr>
      <w:r>
        <w:rPr>
          <w:rFonts w:hint="default"/>
          <w:color w:val="auto"/>
          <w:highlight w:val="none"/>
          <w:lang w:val="en-US" w:eastAsia="zh-CN"/>
        </w:rPr>
        <w:t>（3）生活垃圾</w:t>
      </w:r>
    </w:p>
    <w:p>
      <w:pPr>
        <w:bidi w:val="0"/>
        <w:rPr>
          <w:rFonts w:hint="default"/>
          <w:color w:val="auto"/>
          <w:highlight w:val="none"/>
          <w:lang w:val="en-US" w:eastAsia="zh-CN"/>
        </w:rPr>
      </w:pPr>
      <w:r>
        <w:rPr>
          <w:rFonts w:hint="eastAsia"/>
          <w:color w:val="auto"/>
          <w:highlight w:val="none"/>
          <w:lang w:val="en-US" w:eastAsia="zh-CN"/>
        </w:rPr>
        <w:t>现有工程</w:t>
      </w:r>
      <w:r>
        <w:rPr>
          <w:rFonts w:hint="default"/>
          <w:color w:val="auto"/>
          <w:highlight w:val="none"/>
          <w:lang w:val="en-US" w:eastAsia="zh-CN"/>
        </w:rPr>
        <w:t>产生的生活垃圾分类收集后，委托环卫部门及时清运处理。</w:t>
      </w:r>
    </w:p>
    <w:p>
      <w:pPr>
        <w:pStyle w:val="3"/>
        <w:numPr>
          <w:ilvl w:val="1"/>
          <w:numId w:val="7"/>
        </w:numPr>
        <w:bidi w:val="0"/>
        <w:rPr>
          <w:rFonts w:hint="eastAsia"/>
          <w:color w:val="auto"/>
          <w:highlight w:val="none"/>
          <w:lang w:val="en-US" w:eastAsia="zh-CN"/>
        </w:rPr>
      </w:pPr>
      <w:bookmarkStart w:id="632" w:name="_Toc29370"/>
      <w:bookmarkStart w:id="633" w:name="_Toc14417"/>
      <w:bookmarkStart w:id="634" w:name="_Toc2853"/>
      <w:bookmarkStart w:id="635" w:name="_Toc25229"/>
      <w:r>
        <w:rPr>
          <w:rFonts w:hint="eastAsia"/>
          <w:color w:val="auto"/>
          <w:highlight w:val="none"/>
          <w:lang w:val="en-US" w:eastAsia="zh-CN"/>
        </w:rPr>
        <w:t>扩建项目运营期污染防治措施</w:t>
      </w:r>
      <w:bookmarkEnd w:id="632"/>
      <w:bookmarkEnd w:id="633"/>
      <w:bookmarkEnd w:id="634"/>
      <w:bookmarkEnd w:id="635"/>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废气污染防治措施可行性分析</w:t>
      </w:r>
    </w:p>
    <w:p>
      <w:pPr>
        <w:pStyle w:val="5"/>
        <w:numPr>
          <w:ilvl w:val="3"/>
          <w:numId w:val="7"/>
        </w:numPr>
        <w:tabs>
          <w:tab w:val="left" w:pos="420"/>
        </w:tabs>
        <w:bidi w:val="0"/>
        <w:rPr>
          <w:rFonts w:hint="eastAsia"/>
          <w:color w:val="auto"/>
          <w:highlight w:val="none"/>
          <w:lang w:val="en-US" w:eastAsia="zh-CN"/>
        </w:rPr>
      </w:pPr>
      <w:r>
        <w:rPr>
          <w:rFonts w:hint="eastAsia"/>
          <w:color w:val="auto"/>
          <w:highlight w:val="none"/>
          <w:lang w:val="en-US" w:eastAsia="zh-CN"/>
        </w:rPr>
        <w:t>本项目拟采取污染防治措施</w:t>
      </w:r>
    </w:p>
    <w:p>
      <w:pPr>
        <w:rPr>
          <w:rFonts w:hint="eastAsia"/>
          <w:color w:val="auto"/>
          <w:highlight w:val="none"/>
          <w:lang w:val="en-US" w:eastAsia="zh-CN"/>
        </w:rPr>
      </w:pPr>
      <w:r>
        <w:rPr>
          <w:rFonts w:hint="default"/>
          <w:color w:val="auto"/>
          <w:highlight w:val="none"/>
          <w:lang w:val="en-US" w:eastAsia="zh-CN"/>
        </w:rPr>
        <w:t>本项目</w:t>
      </w:r>
      <w:r>
        <w:rPr>
          <w:rFonts w:hint="eastAsia"/>
          <w:color w:val="auto"/>
          <w:highlight w:val="none"/>
          <w:lang w:val="en-US" w:eastAsia="zh-CN"/>
        </w:rPr>
        <w:t>废气防治措施如下表所示。</w:t>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pStyle w:val="24"/>
        <w:numPr>
          <w:ilvl w:val="6"/>
          <w:numId w:val="7"/>
        </w:numPr>
        <w:tabs>
          <w:tab w:val="left" w:pos="420"/>
        </w:tabs>
        <w:bidi w:val="0"/>
        <w:rPr>
          <w:rFonts w:hint="default"/>
          <w:color w:val="auto"/>
          <w:highlight w:val="none"/>
          <w:lang w:val="en-US" w:eastAsia="zh-CN"/>
        </w:rPr>
      </w:pPr>
      <w:r>
        <w:rPr>
          <w:rFonts w:hint="default"/>
          <w:color w:val="auto"/>
          <w:highlight w:val="none"/>
          <w:lang w:val="en-US" w:eastAsia="zh-CN"/>
        </w:rPr>
        <w:t>废气污染防治措施情况分析一览表</w:t>
      </w:r>
    </w:p>
    <w:p>
      <w:pPr>
        <w:bidi w:val="0"/>
        <w:rPr>
          <w:rFonts w:hint="default" w:eastAsia="宋体"/>
          <w:color w:val="auto"/>
          <w:highlight w:val="none"/>
          <w:lang w:val="en-US" w:eastAsia="zh-CN"/>
        </w:rPr>
      </w:pPr>
      <w:r>
        <w:rPr>
          <w:rFonts w:hint="eastAsia"/>
          <w:color w:val="auto"/>
          <w:highlight w:val="none"/>
          <w:lang w:val="en-US" w:eastAsia="zh-CN"/>
        </w:rPr>
        <w:t>本项目废气管线走向如下图所示。</w:t>
      </w:r>
    </w:p>
    <w:p>
      <w:pPr>
        <w:pStyle w:val="21"/>
        <w:bidi w:val="0"/>
        <w:rPr>
          <w:color w:val="auto"/>
          <w:highlight w:val="none"/>
        </w:rPr>
      </w:pPr>
    </w:p>
    <w:p>
      <w:pPr>
        <w:pStyle w:val="22"/>
        <w:numPr>
          <w:ilvl w:val="7"/>
          <w:numId w:val="7"/>
        </w:numPr>
        <w:bidi w:val="0"/>
        <w:rPr>
          <w:rFonts w:hint="default"/>
          <w:color w:val="auto"/>
          <w:highlight w:val="none"/>
          <w:lang w:val="en-US" w:eastAsia="zh-CN"/>
        </w:rPr>
      </w:pPr>
      <w:r>
        <w:rPr>
          <w:rFonts w:hint="eastAsia"/>
          <w:color w:val="auto"/>
          <w:highlight w:val="none"/>
          <w:lang w:val="en-US" w:eastAsia="zh-CN"/>
        </w:rPr>
        <w:t>废气管线走向图</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废气污染防治措施可行性分析</w:t>
      </w:r>
    </w:p>
    <w:p>
      <w:pPr>
        <w:bidi w:val="0"/>
        <w:rPr>
          <w:rFonts w:hint="default"/>
          <w:color w:val="auto"/>
          <w:highlight w:val="none"/>
          <w:lang w:val="en-US" w:eastAsia="zh-CN"/>
        </w:rPr>
      </w:pPr>
      <w:r>
        <w:rPr>
          <w:rFonts w:hint="default"/>
          <w:color w:val="auto"/>
          <w:highlight w:val="none"/>
          <w:lang w:val="en-US" w:eastAsia="zh-CN"/>
        </w:rPr>
        <w:t>（1）</w:t>
      </w:r>
      <w:r>
        <w:rPr>
          <w:rFonts w:hint="eastAsia"/>
          <w:color w:val="auto"/>
          <w:highlight w:val="none"/>
          <w:lang w:val="en-US" w:eastAsia="zh-CN"/>
        </w:rPr>
        <w:t>破碎粉尘</w:t>
      </w:r>
    </w:p>
    <w:p>
      <w:pPr>
        <w:spacing w:line="360" w:lineRule="auto"/>
        <w:ind w:firstLine="480" w:firstLineChars="200"/>
        <w:rPr>
          <w:rFonts w:hint="default" w:ascii="Times New Roman" w:hAnsi="Times New Roman" w:eastAsia="宋体" w:cs="Times New Roman"/>
          <w:color w:val="auto"/>
          <w:kern w:val="0"/>
          <w:sz w:val="24"/>
          <w:highlight w:val="none"/>
          <w:u w:val="none" w:color="auto"/>
        </w:rPr>
      </w:pPr>
      <w:r>
        <w:rPr>
          <w:rFonts w:hint="default" w:ascii="Times New Roman" w:hAnsi="Times New Roman" w:eastAsia="宋体" w:cs="Times New Roman"/>
          <w:b w:val="0"/>
          <w:i w:val="0"/>
          <w:color w:val="auto"/>
          <w:sz w:val="24"/>
          <w:szCs w:val="24"/>
          <w:highlight w:val="none"/>
          <w:u w:val="none" w:color="auto"/>
        </w:rPr>
        <w:t>项目颗粒物主要产生于</w:t>
      </w:r>
      <w:r>
        <w:rPr>
          <w:rFonts w:hint="eastAsia" w:ascii="Times New Roman" w:hAnsi="Times New Roman" w:eastAsia="宋体" w:cs="Times New Roman"/>
          <w:b w:val="0"/>
          <w:i w:val="0"/>
          <w:color w:val="auto"/>
          <w:sz w:val="24"/>
          <w:szCs w:val="24"/>
          <w:highlight w:val="none"/>
          <w:u w:val="none" w:color="auto"/>
          <w:lang w:val="en-US" w:eastAsia="zh-CN"/>
        </w:rPr>
        <w:t>破碎粉尘</w:t>
      </w:r>
      <w:r>
        <w:rPr>
          <w:rFonts w:hint="default" w:ascii="Times New Roman" w:hAnsi="Times New Roman" w:eastAsia="宋体" w:cs="Times New Roman"/>
          <w:b w:val="0"/>
          <w:i w:val="0"/>
          <w:color w:val="auto"/>
          <w:sz w:val="24"/>
          <w:szCs w:val="24"/>
          <w:highlight w:val="none"/>
          <w:u w:val="none" w:color="auto"/>
        </w:rPr>
        <w:t>。</w:t>
      </w:r>
      <w:r>
        <w:rPr>
          <w:rFonts w:hint="default" w:ascii="Times New Roman" w:hAnsi="Times New Roman" w:eastAsia="宋体" w:cs="Times New Roman"/>
          <w:color w:val="auto"/>
          <w:sz w:val="24"/>
          <w:highlight w:val="none"/>
          <w:u w:val="none" w:color="auto"/>
        </w:rPr>
        <w:t>布袋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布袋除尘器的除尘效率可达9</w:t>
      </w:r>
      <w:r>
        <w:rPr>
          <w:rFonts w:hint="eastAsia" w:ascii="Times New Roman" w:hAnsi="Times New Roman" w:eastAsia="宋体" w:cs="Times New Roman"/>
          <w:color w:val="auto"/>
          <w:sz w:val="24"/>
          <w:highlight w:val="none"/>
          <w:u w:val="none" w:color="auto"/>
          <w:lang w:val="en-US" w:eastAsia="zh-CN"/>
        </w:rPr>
        <w:t>9</w:t>
      </w:r>
      <w:r>
        <w:rPr>
          <w:rFonts w:hint="default" w:ascii="Times New Roman" w:hAnsi="Times New Roman" w:eastAsia="宋体" w:cs="Times New Roman"/>
          <w:color w:val="auto"/>
          <w:sz w:val="24"/>
          <w:highlight w:val="none"/>
          <w:u w:val="none" w:color="auto"/>
        </w:rPr>
        <w:t>%以上</w:t>
      </w:r>
      <w:r>
        <w:rPr>
          <w:rFonts w:hint="eastAsia" w:ascii="Times New Roman" w:hAnsi="Times New Roman" w:eastAsia="宋体" w:cs="Times New Roman"/>
          <w:color w:val="auto"/>
          <w:sz w:val="24"/>
          <w:highlight w:val="none"/>
          <w:u w:val="none" w:color="auto"/>
          <w:lang w:eastAsia="zh-CN"/>
        </w:rPr>
        <w:t>（</w:t>
      </w:r>
      <w:r>
        <w:rPr>
          <w:rFonts w:hint="eastAsia"/>
          <w:color w:val="auto"/>
          <w:highlight w:val="none"/>
        </w:rPr>
        <w:t>浙江中材工程设计研究院有限公司张烁在《水泥行业粉尘污染控制技术分析》一文中表明 ：“袋式除尘器在实际应用过程中粉尘净化效率能够达到99%以上”</w:t>
      </w:r>
      <w:r>
        <w:rPr>
          <w:rFonts w:hint="eastAsia" w:ascii="Times New Roman" w:hAnsi="Times New Roman" w:eastAsia="宋体" w:cs="Times New Roman"/>
          <w:color w:val="auto"/>
          <w:sz w:val="24"/>
          <w:highlight w:val="none"/>
          <w:u w:val="none" w:color="auto"/>
          <w:lang w:eastAsia="zh-CN"/>
        </w:rPr>
        <w:t>）。</w:t>
      </w:r>
      <w:r>
        <w:rPr>
          <w:rFonts w:hint="eastAsia" w:ascii="Times New Roman" w:hAnsi="Times New Roman" w:eastAsia="宋体" w:cs="Times New Roman"/>
          <w:color w:val="auto"/>
          <w:sz w:val="24"/>
          <w:highlight w:val="none"/>
          <w:u w:val="none" w:color="auto"/>
          <w:lang w:val="en-US" w:eastAsia="zh-CN"/>
        </w:rPr>
        <w:t>本项目布袋除尘效率取95%，</w:t>
      </w:r>
      <w:r>
        <w:rPr>
          <w:rFonts w:hint="default" w:ascii="Times New Roman" w:hAnsi="Times New Roman" w:eastAsia="宋体" w:cs="Times New Roman"/>
          <w:color w:val="auto"/>
          <w:sz w:val="24"/>
          <w:highlight w:val="none"/>
          <w:u w:val="none" w:color="auto"/>
        </w:rPr>
        <w:t>可以确保处理后的颗粒物排放处于</w:t>
      </w:r>
      <w:r>
        <w:rPr>
          <w:rFonts w:hint="default" w:ascii="Times New Roman" w:hAnsi="Times New Roman" w:cs="Times New Roman"/>
          <w:color w:val="auto"/>
          <w:highlight w:val="none"/>
          <w:lang w:val="en-US" w:eastAsia="zh-CN"/>
        </w:rPr>
        <w:t>《合成树脂工业污染物排放标准》（GB</w:t>
      </w:r>
      <w:r>
        <w:rPr>
          <w:rFonts w:hint="eastAsia" w:cs="Times New Roman"/>
          <w:color w:val="auto"/>
          <w:highlight w:val="none"/>
          <w:lang w:val="en-US" w:eastAsia="zh-CN"/>
        </w:rPr>
        <w:t>31572</w:t>
      </w:r>
      <w:r>
        <w:rPr>
          <w:rFonts w:hint="default" w:ascii="Times New Roman" w:hAnsi="Times New Roman" w:cs="Times New Roman"/>
          <w:color w:val="auto"/>
          <w:highlight w:val="none"/>
          <w:lang w:val="en-US" w:eastAsia="zh-CN"/>
        </w:rPr>
        <w:t>-2015）中表4大气污染物排放限值</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kern w:val="0"/>
          <w:sz w:val="24"/>
          <w:highlight w:val="none"/>
          <w:u w:val="none" w:color="auto"/>
        </w:rPr>
        <w:t>对周边的环境影响降至最低，此类治理措施可行。</w:t>
      </w:r>
    </w:p>
    <w:p>
      <w:pPr>
        <w:bidi w:val="0"/>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lang w:val="en-US" w:eastAsia="zh-CN"/>
        </w:rPr>
        <w:t>摩擦造粒废气及纺丝组件煅烧废气</w:t>
      </w:r>
    </w:p>
    <w:p>
      <w:pPr>
        <w:bidi w:val="0"/>
        <w:rPr>
          <w:rFonts w:hint="eastAsia"/>
          <w:color w:val="auto"/>
          <w:highlight w:val="none"/>
          <w:lang w:val="en-US" w:eastAsia="zh-CN"/>
        </w:rPr>
      </w:pPr>
      <w:r>
        <w:rPr>
          <w:rFonts w:hint="eastAsia"/>
          <w:color w:val="auto"/>
          <w:highlight w:val="none"/>
          <w:lang w:val="en-US" w:eastAsia="zh-CN"/>
        </w:rPr>
        <w:t>摩擦造粒废气及纺丝组件煅烧废气主要为颗粒物及非甲烷总烃，经“</w:t>
      </w:r>
      <w:r>
        <w:rPr>
          <w:rFonts w:hint="default"/>
          <w:color w:val="auto"/>
          <w:highlight w:val="none"/>
          <w:lang w:val="en-US" w:eastAsia="zh-CN"/>
        </w:rPr>
        <w:t>布袋除尘器+</w:t>
      </w:r>
      <w:r>
        <w:rPr>
          <w:rFonts w:hint="eastAsia"/>
          <w:color w:val="auto"/>
          <w:highlight w:val="none"/>
          <w:lang w:val="en-US" w:eastAsia="zh-CN"/>
        </w:rPr>
        <w:t>碱液</w:t>
      </w:r>
      <w:r>
        <w:rPr>
          <w:rFonts w:hint="default"/>
          <w:color w:val="auto"/>
          <w:highlight w:val="none"/>
          <w:lang w:val="en-US" w:eastAsia="zh-CN"/>
        </w:rPr>
        <w:t>喷淋+除雾器+</w:t>
      </w:r>
      <w:r>
        <w:rPr>
          <w:rFonts w:hint="eastAsia"/>
          <w:color w:val="auto"/>
          <w:highlight w:val="none"/>
          <w:lang w:val="en-US" w:eastAsia="zh-CN"/>
        </w:rPr>
        <w:t>低温等离子”处理后通过32m高排气筒DA007排放。</w:t>
      </w:r>
    </w:p>
    <w:p>
      <w:pPr>
        <w:bidi w:val="0"/>
        <w:rPr>
          <w:rFonts w:hint="default" w:eastAsia="宋体"/>
          <w:color w:val="auto"/>
          <w:highlight w:val="none"/>
          <w:lang w:val="en-US" w:eastAsia="zh-CN"/>
        </w:rPr>
      </w:pPr>
      <w:r>
        <w:rPr>
          <w:rFonts w:hint="eastAsia"/>
          <w:color w:val="auto"/>
          <w:highlight w:val="none"/>
          <w:lang w:val="en-US" w:eastAsia="zh-CN"/>
        </w:rPr>
        <w:t>碱液喷淋：</w:t>
      </w:r>
      <w:r>
        <w:rPr>
          <w:color w:val="auto"/>
          <w:highlight w:val="none"/>
        </w:rPr>
        <w:t>喷淋塔内填料层作为气液两相间接触构件的传质设备。</w:t>
      </w:r>
      <w:r>
        <w:rPr>
          <w:rFonts w:hint="default"/>
          <w:color w:val="auto"/>
          <w:highlight w:val="none"/>
        </w:rPr>
        <w:fldChar w:fldCharType="begin"/>
      </w:r>
      <w:r>
        <w:rPr>
          <w:rFonts w:hint="default"/>
          <w:color w:val="auto"/>
          <w:highlight w:val="none"/>
        </w:rPr>
        <w:instrText xml:space="preserve"> HYPERLINK "https://baike.sogou.com/lemma/ShowInnerLink.htm?lemmaId=512881&amp;ss_c=ssc.citiao.link" \t "https://baike.sogou.com/_blank" </w:instrText>
      </w:r>
      <w:r>
        <w:rPr>
          <w:rFonts w:hint="default"/>
          <w:color w:val="auto"/>
          <w:highlight w:val="none"/>
        </w:rPr>
        <w:fldChar w:fldCharType="separate"/>
      </w:r>
      <w:r>
        <w:rPr>
          <w:rFonts w:hint="default"/>
          <w:color w:val="auto"/>
          <w:highlight w:val="none"/>
        </w:rPr>
        <w:t>填料塔</w:t>
      </w:r>
      <w:r>
        <w:rPr>
          <w:rFonts w:hint="default"/>
          <w:color w:val="auto"/>
          <w:highlight w:val="none"/>
        </w:rPr>
        <w:fldChar w:fldCharType="end"/>
      </w:r>
      <w:r>
        <w:rPr>
          <w:rFonts w:hint="default"/>
          <w:color w:val="auto"/>
          <w:highlight w:val="none"/>
        </w:rPr>
        <w:t>底部装有填料支承板，填料以乱堆方式放置在支承板上。填料的上方安装填料压板，以防被上升气流吹动。喷淋塔喷淋液从塔顶经液体分布器喷淋到填料上，并沿填料表面流下。气体从塔底送入，经气体分布装置分布后，与液体呈逆流连续通过填料层的空隙，在填料表面上，气液两相密切接触进行传质。</w:t>
      </w:r>
      <w:r>
        <w:rPr>
          <w:rFonts w:hint="eastAsia"/>
          <w:color w:val="auto"/>
          <w:highlight w:val="none"/>
          <w:lang w:val="en-US" w:eastAsia="zh-CN"/>
        </w:rPr>
        <w:t>碱液与油雾和颗粒物接触形成大分子油水混合物，混合物质量重沉降于喷淋塔底部，到达去除油雾及颗粒物的目的。</w:t>
      </w:r>
    </w:p>
    <w:p>
      <w:pPr>
        <w:bidi w:val="0"/>
        <w:rPr>
          <w:rFonts w:hint="eastAsia"/>
          <w:color w:val="auto"/>
          <w:highlight w:val="none"/>
          <w:lang w:val="en-US" w:eastAsia="zh-CN"/>
        </w:rPr>
      </w:pPr>
      <w:r>
        <w:rPr>
          <w:rFonts w:hint="eastAsia"/>
          <w:color w:val="auto"/>
          <w:highlight w:val="none"/>
          <w:lang w:val="en-US" w:eastAsia="zh-CN"/>
        </w:rPr>
        <w:t>除雾器：经喷淋塔去除后的废气含水量较高，对后续的低温等离子吸附影响较大。因此喷淋塔后需安装除雾器去除废气中的水分。</w:t>
      </w:r>
    </w:p>
    <w:p>
      <w:pPr>
        <w:bidi w:val="0"/>
        <w:rPr>
          <w:rFonts w:hint="default"/>
          <w:color w:val="auto"/>
          <w:highlight w:val="none"/>
          <w:lang w:val="en-US" w:eastAsia="zh-CN"/>
        </w:rPr>
      </w:pPr>
      <w:r>
        <w:rPr>
          <w:rFonts w:hint="eastAsia"/>
          <w:color w:val="auto"/>
          <w:highlight w:val="none"/>
          <w:lang w:val="en-US" w:eastAsia="zh-CN"/>
        </w:rPr>
        <w:t>低温等离子：低温等离子体去除污染物的机理是：在外加电场的作用下，介质放电产生大量携能电子轰击污染物分子，使其电离、解离和激发，然后便引发了一系列复杂的物理、化学反应，使复杂大分子污染物转变为简单小分子安全物质，或使有毒有害物质转变为无毒无害或低毒低害物质，从而使有机废气得以降解去除。低温等离子体是气体电离产生的。在中性气体中施加一个足够大的电场，气体就被电离，被电离的物质被称为等离子体。它包含中性粒子，电子和离子。除此之外，在电离过程中还产生了大量的其它物质，如活性基，紫外线等。在低温等离子体中电子由于它的质量比较轻，因此更容易受到电场的作用而被加速，获得较高的能量。而粒子由于质量很重，基本上电场加速不了它们，因此它们的温度接近室温。因此在低温等离子体中电子温度要远大于电子温度。</w:t>
      </w:r>
    </w:p>
    <w:p>
      <w:pPr>
        <w:bidi w:val="0"/>
        <w:rPr>
          <w:rFonts w:hint="default"/>
          <w:color w:val="auto"/>
          <w:highlight w:val="none"/>
          <w:lang w:val="en-US" w:eastAsia="zh-CN"/>
        </w:rPr>
      </w:pPr>
      <w:r>
        <w:rPr>
          <w:rFonts w:hint="eastAsia"/>
          <w:color w:val="auto"/>
          <w:highlight w:val="none"/>
          <w:lang w:val="en-US" w:eastAsia="zh-CN"/>
        </w:rPr>
        <w:t>①颗粒物</w:t>
      </w:r>
    </w:p>
    <w:p>
      <w:pPr>
        <w:bidi w:val="0"/>
        <w:rPr>
          <w:rFonts w:hint="default"/>
          <w:color w:val="auto"/>
          <w:highlight w:val="none"/>
        </w:rPr>
      </w:pPr>
      <w:r>
        <w:rPr>
          <w:rFonts w:hint="eastAsia"/>
          <w:color w:val="auto"/>
          <w:highlight w:val="none"/>
          <w:lang w:val="en-US" w:eastAsia="zh-CN"/>
        </w:rPr>
        <w:t>本项目</w:t>
      </w:r>
      <w:r>
        <w:rPr>
          <w:rFonts w:hint="default"/>
          <w:color w:val="auto"/>
          <w:highlight w:val="none"/>
          <w:lang w:val="en-US" w:eastAsia="zh-CN"/>
        </w:rPr>
        <w:t>摩擦造粒废气</w:t>
      </w:r>
      <w:r>
        <w:rPr>
          <w:rFonts w:hint="eastAsia"/>
          <w:color w:val="auto"/>
          <w:highlight w:val="none"/>
          <w:lang w:val="en-US" w:eastAsia="zh-CN"/>
        </w:rPr>
        <w:t>产生的颗粒物主要是经处理工艺中的</w:t>
      </w:r>
      <w:r>
        <w:rPr>
          <w:rFonts w:hint="default"/>
          <w:color w:val="auto"/>
          <w:highlight w:val="none"/>
          <w:lang w:val="en-US" w:eastAsia="zh-CN"/>
        </w:rPr>
        <w:t>布袋除尘器+水喷淋+静电油烟吸附</w:t>
      </w:r>
      <w:r>
        <w:rPr>
          <w:rFonts w:hint="eastAsia"/>
          <w:color w:val="auto"/>
          <w:highlight w:val="none"/>
          <w:lang w:val="en-US" w:eastAsia="zh-CN"/>
        </w:rPr>
        <w:t>去除。袋式除尘器是含尘气体通过滤袋（简称布袋）滤去其中粉尘粒子的分离捕集装置，是过滤式除尘器的一种。袋式除尘器对净化含傲米或亚微米数量级的粉尘粒子的气体效率较高，一般可达99%，但不适于净化含粘结和吸湿性强的含尘气体，用布袋除尘器净化烟尘时的温度不能低于露点温度，否则将会产生结露，堵塞布袋滤料的孔隙。</w:t>
      </w:r>
      <w:r>
        <w:rPr>
          <w:rFonts w:hint="default"/>
          <w:color w:val="auto"/>
          <w:highlight w:val="none"/>
          <w:lang w:val="en-US" w:eastAsia="zh-CN"/>
        </w:rPr>
        <w:t>摩擦造粒废气</w:t>
      </w:r>
      <w:r>
        <w:rPr>
          <w:rFonts w:hint="eastAsia"/>
          <w:color w:val="auto"/>
          <w:highlight w:val="none"/>
          <w:lang w:val="en-US" w:eastAsia="zh-CN"/>
        </w:rPr>
        <w:t>中含油脂</w:t>
      </w:r>
      <w:r>
        <w:rPr>
          <w:rFonts w:hint="default" w:ascii="Times New Roman" w:hAnsi="Times New Roman" w:cs="Times New Roman"/>
          <w:color w:val="auto"/>
          <w:highlight w:val="none"/>
          <w:vertAlign w:val="baseline"/>
          <w:lang w:val="en-US" w:eastAsia="zh-CN"/>
        </w:rPr>
        <w:t>杂质</w:t>
      </w:r>
      <w:r>
        <w:rPr>
          <w:rFonts w:hint="eastAsia" w:ascii="Times New Roman" w:hAnsi="Times New Roman" w:cs="Times New Roman"/>
          <w:color w:val="auto"/>
          <w:highlight w:val="none"/>
          <w:vertAlign w:val="baseline"/>
          <w:lang w:val="en-US" w:eastAsia="zh-CN"/>
        </w:rPr>
        <w:t>，部分颗粒物粘结在油脂上不易被去除，因此，本项目颗粒物还需经水喷淋+静电油烟吸附进一步去除颗粒物。根据</w:t>
      </w:r>
      <w:r>
        <w:rPr>
          <w:rFonts w:eastAsia="宋体"/>
          <w:color w:val="auto"/>
          <w:highlight w:val="none"/>
        </w:rPr>
        <w:t>《三废处理工程技术手册》(废</w:t>
      </w:r>
      <w:r>
        <w:rPr>
          <w:rFonts w:hint="eastAsia" w:eastAsia="宋体"/>
          <w:color w:val="auto"/>
          <w:highlight w:val="none"/>
          <w:lang w:val="en-US" w:eastAsia="zh-CN"/>
        </w:rPr>
        <w:t>气</w:t>
      </w:r>
      <w:r>
        <w:rPr>
          <w:rFonts w:eastAsia="宋体"/>
          <w:color w:val="auto"/>
          <w:highlight w:val="none"/>
        </w:rPr>
        <w:t>卷/北京市环境保护科学研究院等主编)中</w:t>
      </w:r>
      <w:r>
        <w:rPr>
          <w:rFonts w:hint="eastAsia" w:eastAsia="宋体"/>
          <w:color w:val="auto"/>
          <w:highlight w:val="none"/>
          <w:lang w:val="en-US" w:eastAsia="zh-CN"/>
        </w:rPr>
        <w:t>表面：</w:t>
      </w:r>
      <w:r>
        <w:rPr>
          <w:rFonts w:hint="eastAsia" w:ascii="Times New Roman" w:hAnsi="Times New Roman" w:cs="Times New Roman"/>
          <w:color w:val="auto"/>
          <w:highlight w:val="none"/>
          <w:vertAlign w:val="baseline"/>
          <w:lang w:val="en-US" w:eastAsia="zh-CN"/>
        </w:rPr>
        <w:t>湿法除尘除尘效率一般在60%。电除尘器是一种高效除尘器，除尘效率可达99%以上，去细微粉尘捕集性能优异，捕集最小粒径可达0.0</w:t>
      </w:r>
      <w:r>
        <w:rPr>
          <w:rFonts w:hint="default" w:ascii="Times New Roman" w:hAnsi="Times New Roman" w:cs="Times New Roman"/>
          <w:color w:val="auto"/>
          <w:highlight w:val="none"/>
          <w:vertAlign w:val="baseline"/>
          <w:lang w:val="en-US" w:eastAsia="zh-CN"/>
        </w:rPr>
        <w:t>5μm</w:t>
      </w:r>
      <w:r>
        <w:rPr>
          <w:rFonts w:hint="eastAsia" w:ascii="Times New Roman" w:hAnsi="Times New Roman" w:cs="Times New Roman"/>
          <w:color w:val="auto"/>
          <w:highlight w:val="none"/>
          <w:vertAlign w:val="baseline"/>
          <w:lang w:val="en-US" w:eastAsia="zh-CN"/>
        </w:rPr>
        <w:t>，并可按要求获得从低效到高效的任意除尘效率。因此，</w:t>
      </w:r>
      <w:r>
        <w:rPr>
          <w:rFonts w:hint="default"/>
          <w:color w:val="auto"/>
          <w:highlight w:val="none"/>
          <w:lang w:val="en-US" w:eastAsia="zh-CN"/>
        </w:rPr>
        <w:t>摩擦造粒废气</w:t>
      </w:r>
      <w:r>
        <w:rPr>
          <w:rFonts w:hint="eastAsia"/>
          <w:color w:val="auto"/>
          <w:highlight w:val="none"/>
          <w:lang w:val="en-US" w:eastAsia="zh-CN"/>
        </w:rPr>
        <w:t>产生的颗粒物经“</w:t>
      </w:r>
      <w:r>
        <w:rPr>
          <w:rFonts w:hint="default"/>
          <w:color w:val="auto"/>
          <w:highlight w:val="none"/>
          <w:lang w:val="en-US" w:eastAsia="zh-CN"/>
        </w:rPr>
        <w:t>布袋除尘器+水喷淋+静电油烟吸附</w:t>
      </w:r>
      <w:r>
        <w:rPr>
          <w:rFonts w:hint="eastAsia"/>
          <w:color w:val="auto"/>
          <w:highlight w:val="none"/>
          <w:lang w:val="en-US" w:eastAsia="zh-CN"/>
        </w:rPr>
        <w:t>”处理后</w:t>
      </w:r>
      <w:r>
        <w:rPr>
          <w:rFonts w:hint="default"/>
          <w:color w:val="auto"/>
          <w:highlight w:val="none"/>
        </w:rPr>
        <w:t>可以确保颗粒物排放</w:t>
      </w:r>
      <w:r>
        <w:rPr>
          <w:rFonts w:hint="eastAsia"/>
          <w:color w:val="auto"/>
          <w:highlight w:val="none"/>
          <w:lang w:val="en-US" w:eastAsia="zh-CN"/>
        </w:rPr>
        <w:t>达到</w:t>
      </w:r>
      <w:r>
        <w:rPr>
          <w:rFonts w:hint="default"/>
          <w:color w:val="auto"/>
          <w:highlight w:val="none"/>
          <w:lang w:val="en-US" w:eastAsia="zh-CN"/>
        </w:rPr>
        <w:t>《合成树脂工业污染物排放标准》（GB</w:t>
      </w:r>
      <w:r>
        <w:rPr>
          <w:rFonts w:hint="eastAsia"/>
          <w:color w:val="auto"/>
          <w:highlight w:val="none"/>
          <w:lang w:val="en-US" w:eastAsia="zh-CN"/>
        </w:rPr>
        <w:t>31572</w:t>
      </w:r>
      <w:r>
        <w:rPr>
          <w:rFonts w:hint="default"/>
          <w:color w:val="auto"/>
          <w:highlight w:val="none"/>
          <w:lang w:val="en-US" w:eastAsia="zh-CN"/>
        </w:rPr>
        <w:t>-2015）中表4大气污染物排放限值</w:t>
      </w:r>
      <w:r>
        <w:rPr>
          <w:rFonts w:hint="default"/>
          <w:color w:val="auto"/>
          <w:highlight w:val="none"/>
        </w:rPr>
        <w:t>，对周边的环境影响降至最低</w:t>
      </w:r>
      <w:r>
        <w:rPr>
          <w:rFonts w:hint="eastAsia"/>
          <w:color w:val="auto"/>
          <w:highlight w:val="none"/>
          <w:lang w:eastAsia="zh-CN"/>
        </w:rPr>
        <w:t>。</w:t>
      </w:r>
      <w:r>
        <w:rPr>
          <w:rFonts w:hint="eastAsia"/>
          <w:color w:val="auto"/>
          <w:highlight w:val="none"/>
          <w:lang w:val="en-US" w:eastAsia="zh-CN"/>
        </w:rPr>
        <w:t>同时，参照《排污许可证申请与核发技术规范 废弃资源加工工业》（HJ1034-2019）附录A废气污染防治可行性技术参考中“废塑料熔融挤出（造粒）”，本项目造粒过程中产生的颗粒物采用的废气净化设施属于可行性技术。因此，</w:t>
      </w:r>
      <w:r>
        <w:rPr>
          <w:rFonts w:hint="default"/>
          <w:color w:val="auto"/>
          <w:highlight w:val="none"/>
        </w:rPr>
        <w:t>此类治理措施可行。</w:t>
      </w:r>
    </w:p>
    <w:p>
      <w:pPr>
        <w:bidi w:val="0"/>
        <w:rPr>
          <w:rFonts w:hint="default"/>
          <w:color w:val="auto"/>
          <w:highlight w:val="none"/>
          <w:lang w:val="en-US" w:eastAsia="zh-CN"/>
        </w:rPr>
      </w:pPr>
      <w:r>
        <w:rPr>
          <w:rFonts w:hint="eastAsia"/>
          <w:color w:val="auto"/>
          <w:highlight w:val="none"/>
          <w:lang w:val="en-US" w:eastAsia="zh-CN"/>
        </w:rPr>
        <w:t>②有机废气（以非甲烷总烃计）</w:t>
      </w:r>
    </w:p>
    <w:p>
      <w:pPr>
        <w:bidi w:val="0"/>
        <w:rPr>
          <w:rFonts w:hint="eastAsia"/>
          <w:color w:val="auto"/>
          <w:highlight w:val="none"/>
          <w:lang w:val="en-US" w:eastAsia="zh-CN"/>
        </w:rPr>
      </w:pPr>
      <w:r>
        <w:rPr>
          <w:rFonts w:hint="default"/>
          <w:color w:val="auto"/>
          <w:highlight w:val="none"/>
        </w:rPr>
        <w:t>经查工程经验和相关文献可知，</w:t>
      </w:r>
      <w:r>
        <w:rPr>
          <w:rFonts w:hint="eastAsia"/>
          <w:color w:val="auto"/>
          <w:highlight w:val="none"/>
          <w:lang w:val="en-US" w:eastAsia="zh-CN"/>
        </w:rPr>
        <w:t>喷淋塔对油烟气溶胶的初始</w:t>
      </w:r>
      <w:r>
        <w:rPr>
          <w:rFonts w:hint="eastAsia"/>
          <w:color w:val="auto"/>
          <w:highlight w:val="none"/>
        </w:rPr>
        <w:t>洗涤效率为</w:t>
      </w:r>
      <w:r>
        <w:rPr>
          <w:rFonts w:hint="eastAsia"/>
          <w:color w:val="auto"/>
          <w:highlight w:val="none"/>
          <w:lang w:val="en-US" w:eastAsia="zh-CN"/>
        </w:rPr>
        <w:t>81.2%</w:t>
      </w:r>
      <w:r>
        <w:rPr>
          <w:rFonts w:hint="eastAsia"/>
          <w:color w:val="auto"/>
          <w:highlight w:val="none"/>
        </w:rPr>
        <w:t>，并随时间逐渐下降到</w:t>
      </w:r>
      <w:r>
        <w:rPr>
          <w:rFonts w:hint="eastAsia"/>
          <w:color w:val="auto"/>
          <w:highlight w:val="none"/>
          <w:lang w:val="en-US" w:eastAsia="zh-CN"/>
        </w:rPr>
        <w:t>43.3%</w:t>
      </w:r>
      <w:r>
        <w:rPr>
          <w:rFonts w:hint="eastAsia"/>
          <w:color w:val="auto"/>
          <w:highlight w:val="none"/>
        </w:rPr>
        <w:t>，平均洗涤效率分别为</w:t>
      </w:r>
      <w:r>
        <w:rPr>
          <w:rFonts w:hint="eastAsia"/>
          <w:color w:val="auto"/>
          <w:highlight w:val="none"/>
          <w:lang w:val="en-US" w:eastAsia="zh-CN"/>
        </w:rPr>
        <w:t>67.4%</w:t>
      </w:r>
      <w:r>
        <w:rPr>
          <w:rFonts w:hint="eastAsia"/>
          <w:color w:val="auto"/>
          <w:highlight w:val="none"/>
        </w:rPr>
        <w:t>；大的油烟粒子被不断去除，油烟粒子的去除效率分别达到60％以上</w:t>
      </w:r>
      <w:r>
        <w:rPr>
          <w:rFonts w:hint="eastAsia"/>
          <w:color w:val="auto"/>
          <w:highlight w:val="none"/>
          <w:lang w:eastAsia="zh-CN"/>
        </w:rPr>
        <w:t>（不同洗涤剂净化油烟气溶胶实验研究，桂林工学院张帮鸾，</w:t>
      </w:r>
      <w:r>
        <w:rPr>
          <w:rFonts w:hint="eastAsia"/>
          <w:color w:val="auto"/>
          <w:highlight w:val="none"/>
          <w:lang w:val="en-US" w:eastAsia="zh-CN"/>
        </w:rPr>
        <w:t>2008年</w:t>
      </w:r>
      <w:r>
        <w:rPr>
          <w:rFonts w:hint="eastAsia"/>
          <w:color w:val="auto"/>
          <w:highlight w:val="none"/>
          <w:lang w:eastAsia="zh-CN"/>
        </w:rPr>
        <w:t>）</w:t>
      </w:r>
      <w:r>
        <w:rPr>
          <w:rFonts w:hint="eastAsia"/>
          <w:color w:val="auto"/>
          <w:highlight w:val="none"/>
        </w:rPr>
        <w:t>。</w:t>
      </w:r>
      <w:r>
        <w:rPr>
          <w:rFonts w:hint="eastAsia"/>
          <w:color w:val="auto"/>
          <w:highlight w:val="none"/>
          <w:lang w:val="en-US" w:eastAsia="zh-CN"/>
        </w:rPr>
        <w:t>因此，本环评保守考虑碱液喷淋塔单独对有机废气的去除效率为60%。</w:t>
      </w:r>
    </w:p>
    <w:p>
      <w:pPr>
        <w:bidi w:val="0"/>
        <w:rPr>
          <w:rFonts w:hint="default" w:eastAsia="宋体"/>
          <w:color w:val="auto"/>
          <w:highlight w:val="none"/>
          <w:lang w:val="en-US" w:eastAsia="zh-CN"/>
        </w:rPr>
      </w:pPr>
      <w:r>
        <w:rPr>
          <w:rFonts w:hint="eastAsia"/>
          <w:color w:val="auto"/>
          <w:highlight w:val="none"/>
          <w:lang w:val="en-US" w:eastAsia="zh-CN"/>
        </w:rPr>
        <w:t>低温等离子</w:t>
      </w:r>
      <w:r>
        <w:rPr>
          <w:color w:val="auto"/>
          <w:highlight w:val="none"/>
        </w:rPr>
        <w:t>占地少，设备体积小；维护方便，使用寿命长；无二次污染。</w:t>
      </w:r>
      <w:r>
        <w:rPr>
          <w:rFonts w:hint="eastAsia"/>
          <w:color w:val="auto"/>
          <w:highlight w:val="none"/>
          <w:lang w:val="en-US" w:eastAsia="zh-CN"/>
        </w:rPr>
        <w:t>同时，低温等离子对分解复杂成分的有机废气分解效果号。本项目PET在高温条件下分解的有机废气主要有</w:t>
      </w:r>
      <w:r>
        <w:rPr>
          <w:rFonts w:hint="default" w:ascii="Times New Roman" w:hAnsi="Times New Roman" w:cs="Times New Roman"/>
          <w:color w:val="auto"/>
          <w:highlight w:val="none"/>
          <w:vertAlign w:val="baseline"/>
          <w:lang w:val="en-US" w:eastAsia="zh-CN"/>
        </w:rPr>
        <w:t>烯烃、链烷烃、环烷烃、对苯二甲酸、乙二醇等</w:t>
      </w:r>
      <w:r>
        <w:rPr>
          <w:rFonts w:hint="eastAsia" w:ascii="Times New Roman" w:hAnsi="Times New Roman" w:cs="Times New Roman"/>
          <w:color w:val="auto"/>
          <w:highlight w:val="none"/>
          <w:vertAlign w:val="baseline"/>
          <w:lang w:val="en-US" w:eastAsia="zh-CN"/>
        </w:rPr>
        <w:t>，低温等离子技术能够在低温的情况下有效的把污染物降解为水和二氧化碳。</w:t>
      </w:r>
      <w:r>
        <w:rPr>
          <w:rFonts w:hint="default"/>
          <w:color w:val="auto"/>
          <w:highlight w:val="none"/>
        </w:rPr>
        <w:t>经查工程经验和相关文献</w:t>
      </w:r>
      <w:r>
        <w:rPr>
          <w:rFonts w:hint="eastAsia"/>
          <w:color w:val="auto"/>
          <w:highlight w:val="none"/>
          <w:lang w:eastAsia="zh-CN"/>
        </w:rPr>
        <w:t>：姜理英（姜理英，曹书岭，朱润晔，陈建孟，苏飞．介质阻挡放电对氯苯的降解特性及其产物分析[J]．环境科学，2015</w:t>
      </w:r>
      <w:r>
        <w:rPr>
          <w:rFonts w:hint="eastAsia"/>
          <w:color w:val="auto"/>
          <w:highlight w:val="none"/>
          <w:lang w:val="en-US" w:eastAsia="zh-CN"/>
        </w:rPr>
        <w:t>年</w:t>
      </w:r>
      <w:r>
        <w:rPr>
          <w:rFonts w:hint="eastAsia"/>
          <w:color w:val="auto"/>
          <w:highlight w:val="none"/>
          <w:lang w:eastAsia="zh-CN"/>
        </w:rPr>
        <w:t>）采用介质阻挡放电对氯苯进行降解实验，发现随着氯苯的浓度升高，氯苯降解率会降低，DBD降解氯苯存在一个最佳湿度范围</w:t>
      </w:r>
      <w:r>
        <w:rPr>
          <w:rFonts w:hint="default" w:ascii="Times New Roman" w:hAnsi="Times New Roman" w:cs="Times New Roman"/>
          <w:color w:val="auto"/>
          <w:highlight w:val="none"/>
          <w:lang w:eastAsia="zh-CN"/>
        </w:rPr>
        <w:t>值65</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75</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。Ji SuYoun等（Su Youn，Jongyoon Bae,Sunyoung Park．Plasma-assisted oxidation of toluene over Fe</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zeolitecatalyst in DBD reactor using adsorption</w:t>
      </w:r>
      <w:r>
        <w:rPr>
          <w:rFonts w:hint="eastAsia" w:ascii="Times New Roman" w:hAnsi="Times New Roman" w:cs="Times New Roman"/>
          <w:color w:val="auto"/>
          <w:highlight w:val="none"/>
          <w:lang w:val="en-US" w:eastAsia="zh-CN"/>
        </w:rPr>
        <w:t>/</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lang w:eastAsia="zh-CN"/>
        </w:rPr>
        <w:t>desorption system[J]．Catalysis．Communications，</w:t>
      </w:r>
      <w:r>
        <w:rPr>
          <w:rFonts w:hint="default" w:ascii="Times New Roman" w:hAnsi="Times New Roman" w:cs="Times New Roman"/>
          <w:color w:val="auto"/>
          <w:highlight w:val="none"/>
          <w:lang w:val="en-US" w:eastAsia="zh-CN"/>
        </w:rPr>
        <w:t>2018年</w:t>
      </w:r>
      <w:r>
        <w:rPr>
          <w:rFonts w:hint="eastAsia"/>
          <w:color w:val="auto"/>
          <w:highlight w:val="none"/>
          <w:lang w:eastAsia="zh-CN"/>
        </w:rPr>
        <w:t>）采用介质阻挡降解流速为</w:t>
      </w:r>
      <w:r>
        <w:rPr>
          <w:rFonts w:hint="eastAsia"/>
          <w:color w:val="auto"/>
          <w:highlight w:val="none"/>
          <w:lang w:val="en-US" w:eastAsia="zh-CN"/>
        </w:rPr>
        <w:t>0.2</w:t>
      </w:r>
      <w:r>
        <w:rPr>
          <w:rFonts w:hint="eastAsia"/>
          <w:color w:val="auto"/>
          <w:highlight w:val="none"/>
          <w:lang w:eastAsia="zh-CN"/>
        </w:rPr>
        <w:t>L</w:t>
      </w:r>
      <w:r>
        <w:rPr>
          <w:rFonts w:hint="eastAsia"/>
          <w:color w:val="auto"/>
          <w:highlight w:val="none"/>
          <w:lang w:val="en-US" w:eastAsia="zh-CN"/>
        </w:rPr>
        <w:t>/</w:t>
      </w:r>
      <w:r>
        <w:rPr>
          <w:rFonts w:hint="eastAsia"/>
          <w:color w:val="auto"/>
          <w:highlight w:val="none"/>
          <w:lang w:eastAsia="zh-CN"/>
        </w:rPr>
        <w:t>min的甲苯时，降解率可达100％；吴萧等（吴萧，刘胜余，何延宇，等．介质阻挡放电低温等离子体技术处理3种代表性VOC[J]．环境工程学报，2017</w:t>
      </w:r>
      <w:r>
        <w:rPr>
          <w:rFonts w:hint="eastAsia"/>
          <w:color w:val="auto"/>
          <w:highlight w:val="none"/>
          <w:lang w:val="en-US" w:eastAsia="zh-CN"/>
        </w:rPr>
        <w:t>年</w:t>
      </w:r>
      <w:r>
        <w:rPr>
          <w:rFonts w:hint="eastAsia"/>
          <w:color w:val="auto"/>
          <w:highlight w:val="none"/>
          <w:lang w:eastAsia="zh-CN"/>
        </w:rPr>
        <w:t>）采用介质阻挡放电降解初始质量浓度为244 mg</w:t>
      </w:r>
      <w:r>
        <w:rPr>
          <w:rFonts w:hint="eastAsia"/>
          <w:color w:val="auto"/>
          <w:highlight w:val="none"/>
          <w:lang w:val="en-US" w:eastAsia="zh-CN"/>
        </w:rPr>
        <w:t>/</w:t>
      </w:r>
      <w:r>
        <w:rPr>
          <w:rFonts w:hint="eastAsia"/>
          <w:color w:val="auto"/>
          <w:highlight w:val="none"/>
          <w:lang w:eastAsia="zh-CN"/>
        </w:rPr>
        <w:t>m</w:t>
      </w:r>
      <w:r>
        <w:rPr>
          <w:rFonts w:hint="eastAsia"/>
          <w:color w:val="auto"/>
          <w:highlight w:val="none"/>
          <w:vertAlign w:val="superscript"/>
          <w:lang w:eastAsia="zh-CN"/>
        </w:rPr>
        <w:t>3</w:t>
      </w:r>
      <w:r>
        <w:rPr>
          <w:rFonts w:hint="eastAsia"/>
          <w:color w:val="auto"/>
          <w:highlight w:val="none"/>
          <w:lang w:eastAsia="zh-CN"/>
        </w:rPr>
        <w:t>的三种代表性VOCs，降解率可达96．9％，取得较好的降解效果。</w:t>
      </w:r>
      <w:r>
        <w:rPr>
          <w:rFonts w:hint="eastAsia"/>
          <w:color w:val="auto"/>
          <w:highlight w:val="none"/>
          <w:lang w:val="en-US" w:eastAsia="zh-CN"/>
        </w:rPr>
        <w:t>因此，本评价保守考虑低温等离子对有机废气的去除效率取75%。</w:t>
      </w:r>
    </w:p>
    <w:p>
      <w:pPr>
        <w:spacing w:line="360" w:lineRule="auto"/>
        <w:ind w:firstLine="480" w:firstLineChars="200"/>
        <w:rPr>
          <w:rFonts w:hint="default" w:ascii="Times New Roman" w:hAnsi="Times New Roman" w:eastAsia="宋体" w:cs="Times New Roman"/>
          <w:color w:val="auto"/>
          <w:sz w:val="24"/>
          <w:highlight w:val="none"/>
          <w:u w:val="none" w:color="auto"/>
        </w:rPr>
      </w:pPr>
      <w:r>
        <w:rPr>
          <w:rFonts w:hint="eastAsia"/>
          <w:color w:val="auto"/>
          <w:highlight w:val="none"/>
          <w:lang w:val="en-US" w:eastAsia="zh-CN"/>
        </w:rPr>
        <w:t>综上所述，“碱喷淋+</w:t>
      </w:r>
      <w:r>
        <w:rPr>
          <w:rFonts w:hint="eastAsia" w:cs="Times New Roman"/>
          <w:color w:val="auto"/>
          <w:szCs w:val="20"/>
          <w:highlight w:val="none"/>
          <w:lang w:val="en-US" w:eastAsia="zh-CN"/>
        </w:rPr>
        <w:t>低温等离子”处理工艺</w:t>
      </w:r>
      <w:r>
        <w:rPr>
          <w:rFonts w:hint="default" w:ascii="Times New Roman" w:hAnsi="Times New Roman" w:eastAsia="宋体" w:cs="Times New Roman"/>
          <w:color w:val="auto"/>
          <w:sz w:val="24"/>
          <w:highlight w:val="none"/>
          <w:u w:val="none" w:color="auto"/>
        </w:rPr>
        <w:t>，符合《挥发性有机物（VOCs）污染防治技术政策》的要求。可满足本项目废气净化需求。废气经装置处理后，通过</w:t>
      </w:r>
      <w:r>
        <w:rPr>
          <w:rFonts w:hint="eastAsia" w:ascii="Times New Roman" w:hAnsi="Times New Roman" w:cs="Times New Roman"/>
          <w:color w:val="auto"/>
          <w:sz w:val="24"/>
          <w:highlight w:val="none"/>
          <w:u w:val="none" w:color="auto"/>
          <w:lang w:val="en-US" w:eastAsia="zh-CN"/>
        </w:rPr>
        <w:t>32</w:t>
      </w:r>
      <w:r>
        <w:rPr>
          <w:rFonts w:hint="default" w:ascii="Times New Roman" w:hAnsi="Times New Roman" w:eastAsia="宋体" w:cs="Times New Roman"/>
          <w:color w:val="auto"/>
          <w:sz w:val="24"/>
          <w:highlight w:val="none"/>
          <w:u w:val="none" w:color="auto"/>
        </w:rPr>
        <w:t xml:space="preserve"> m高排气筒</w:t>
      </w:r>
      <w:r>
        <w:rPr>
          <w:rFonts w:hint="default" w:ascii="Times New Roman" w:hAnsi="Times New Roman" w:eastAsia="宋体" w:cs="Times New Roman"/>
          <w:color w:val="auto"/>
          <w:sz w:val="24"/>
          <w:highlight w:val="none"/>
          <w:u w:val="none" w:color="auto"/>
          <w:lang w:eastAsia="zh-CN"/>
        </w:rPr>
        <w:t>（</w:t>
      </w:r>
      <w:r>
        <w:rPr>
          <w:rFonts w:hint="eastAsia"/>
          <w:color w:val="auto"/>
          <w:highlight w:val="none"/>
          <w:lang w:val="en-US" w:eastAsia="zh-CN"/>
        </w:rPr>
        <w:t>DA007</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排放，可实现达标排放。</w:t>
      </w:r>
    </w:p>
    <w:p>
      <w:pPr>
        <w:numPr>
          <w:ilvl w:val="0"/>
          <w:numId w:val="8"/>
        </w:numPr>
        <w:rPr>
          <w:rFonts w:hint="eastAsia"/>
          <w:color w:val="auto"/>
          <w:szCs w:val="20"/>
          <w:highlight w:val="none"/>
          <w:lang w:val="en-US" w:eastAsia="zh-CN"/>
        </w:rPr>
      </w:pPr>
      <w:r>
        <w:rPr>
          <w:rFonts w:hint="eastAsia"/>
          <w:color w:val="auto"/>
          <w:szCs w:val="20"/>
          <w:highlight w:val="none"/>
          <w:lang w:val="en-US" w:eastAsia="zh-CN"/>
        </w:rPr>
        <w:t>前纺、后纺废气</w:t>
      </w:r>
    </w:p>
    <w:p>
      <w:pPr>
        <w:bidi w:val="0"/>
        <w:rPr>
          <w:rFonts w:hint="default"/>
          <w:color w:val="auto"/>
          <w:highlight w:val="none"/>
          <w:lang w:val="en-US" w:eastAsia="zh-CN"/>
        </w:rPr>
      </w:pPr>
      <w:r>
        <w:rPr>
          <w:rFonts w:hint="eastAsia"/>
          <w:color w:val="auto"/>
          <w:highlight w:val="none"/>
          <w:lang w:val="en-US" w:eastAsia="zh-CN"/>
        </w:rPr>
        <w:t>前纺、后纺废气主要污染物以非甲烷总烃计，处理工艺为</w:t>
      </w:r>
      <w:r>
        <w:rPr>
          <w:rFonts w:hint="eastAsia" w:cs="Times New Roman"/>
          <w:color w:val="auto"/>
          <w:highlight w:val="none"/>
          <w:vertAlign w:val="baseline"/>
          <w:lang w:val="en-US" w:eastAsia="zh-CN"/>
        </w:rPr>
        <w:t>“</w:t>
      </w:r>
      <w:r>
        <w:rPr>
          <w:rFonts w:hint="eastAsia" w:ascii="Times New Roman" w:hAnsi="Times New Roman" w:cs="Times New Roman"/>
          <w:color w:val="auto"/>
          <w:szCs w:val="20"/>
          <w:highlight w:val="none"/>
          <w:lang w:val="en-US" w:eastAsia="zh-CN"/>
        </w:rPr>
        <w:t>静电油烟吸附+低温等离子</w:t>
      </w:r>
      <w:r>
        <w:rPr>
          <w:rFonts w:hint="eastAsia" w:cs="Times New Roman"/>
          <w:color w:val="auto"/>
          <w:highlight w:val="none"/>
          <w:vertAlign w:val="baseline"/>
          <w:lang w:val="en-US" w:eastAsia="zh-CN"/>
        </w:rPr>
        <w:t>”</w:t>
      </w:r>
      <w:r>
        <w:rPr>
          <w:rFonts w:hint="default" w:ascii="Times New Roman" w:hAnsi="Times New Roman" w:eastAsia="宋体" w:cs="Times New Roman"/>
          <w:color w:val="auto"/>
          <w:sz w:val="24"/>
          <w:highlight w:val="none"/>
          <w:u w:val="none" w:color="auto"/>
        </w:rPr>
        <w:t>，</w:t>
      </w:r>
      <w:r>
        <w:rPr>
          <w:rFonts w:hint="eastAsia" w:ascii="Times New Roman" w:hAnsi="Times New Roman" w:eastAsia="宋体" w:cs="Times New Roman"/>
          <w:color w:val="auto"/>
          <w:sz w:val="24"/>
          <w:highlight w:val="none"/>
          <w:u w:val="none" w:color="auto"/>
          <w:lang w:val="en-US" w:eastAsia="zh-CN"/>
        </w:rPr>
        <w:t>处理后</w:t>
      </w:r>
      <w:r>
        <w:rPr>
          <w:rFonts w:hint="default" w:ascii="Times New Roman" w:hAnsi="Times New Roman" w:eastAsia="宋体" w:cs="Times New Roman"/>
          <w:color w:val="auto"/>
          <w:sz w:val="24"/>
          <w:highlight w:val="none"/>
          <w:u w:val="none" w:color="auto"/>
        </w:rPr>
        <w:t>通过</w:t>
      </w:r>
      <w:r>
        <w:rPr>
          <w:rFonts w:hint="eastAsia" w:ascii="Times New Roman" w:hAnsi="Times New Roman" w:cs="Times New Roman"/>
          <w:color w:val="auto"/>
          <w:sz w:val="24"/>
          <w:highlight w:val="none"/>
          <w:u w:val="none" w:color="auto"/>
          <w:lang w:val="en-US" w:eastAsia="zh-CN"/>
        </w:rPr>
        <w:t>32</w:t>
      </w:r>
      <w:r>
        <w:rPr>
          <w:rFonts w:hint="default" w:ascii="Times New Roman" w:hAnsi="Times New Roman" w:eastAsia="宋体" w:cs="Times New Roman"/>
          <w:color w:val="auto"/>
          <w:sz w:val="24"/>
          <w:highlight w:val="none"/>
          <w:u w:val="none" w:color="auto"/>
        </w:rPr>
        <w:t xml:space="preserve"> m高排气筒</w:t>
      </w:r>
      <w:r>
        <w:rPr>
          <w:rFonts w:hint="default" w:ascii="Times New Roman" w:hAnsi="Times New Roman" w:eastAsia="宋体" w:cs="Times New Roman"/>
          <w:color w:val="auto"/>
          <w:sz w:val="24"/>
          <w:highlight w:val="none"/>
          <w:u w:val="none" w:color="auto"/>
          <w:lang w:eastAsia="zh-CN"/>
        </w:rPr>
        <w:t>（</w:t>
      </w:r>
      <w:r>
        <w:rPr>
          <w:rFonts w:hint="eastAsia"/>
          <w:color w:val="auto"/>
          <w:highlight w:val="none"/>
          <w:lang w:val="en-US" w:eastAsia="zh-CN"/>
        </w:rPr>
        <w:t>DA008</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排放</w:t>
      </w:r>
      <w:r>
        <w:rPr>
          <w:rFonts w:hint="eastAsia" w:ascii="Times New Roman" w:hAnsi="Times New Roman" w:eastAsia="宋体" w:cs="Times New Roman"/>
          <w:color w:val="auto"/>
          <w:sz w:val="24"/>
          <w:highlight w:val="none"/>
          <w:u w:val="none" w:color="auto"/>
          <w:lang w:eastAsia="zh-CN"/>
        </w:rPr>
        <w:t>。</w:t>
      </w:r>
      <w:r>
        <w:rPr>
          <w:rFonts w:hint="eastAsia"/>
          <w:color w:val="auto"/>
          <w:highlight w:val="none"/>
          <w:lang w:val="en-US" w:eastAsia="zh-CN"/>
        </w:rPr>
        <w:t>本项目前、后纺废气中主要来自纺丝油剂挥发产生的有机废气，少部分来自PET分解（</w:t>
      </w:r>
      <w:r>
        <w:rPr>
          <w:rFonts w:hint="default" w:ascii="Times New Roman" w:hAnsi="Times New Roman" w:cs="Times New Roman"/>
          <w:color w:val="auto"/>
          <w:highlight w:val="none"/>
          <w:vertAlign w:val="baseline"/>
          <w:lang w:val="en-US" w:eastAsia="zh-CN"/>
        </w:rPr>
        <w:t>主要为烯烃、链烷烃、环烷烃、对苯二甲酸、乙二醇等</w:t>
      </w:r>
      <w:r>
        <w:rPr>
          <w:rFonts w:hint="eastAsia" w:ascii="Times New Roman" w:hAnsi="Times New Roman" w:cs="Times New Roman"/>
          <w:color w:val="auto"/>
          <w:highlight w:val="none"/>
          <w:vertAlign w:val="baseline"/>
          <w:lang w:val="en-US" w:eastAsia="zh-CN"/>
        </w:rPr>
        <w:t>）。</w:t>
      </w:r>
      <w:r>
        <w:rPr>
          <w:rFonts w:hint="eastAsia"/>
          <w:color w:val="auto"/>
          <w:highlight w:val="none"/>
          <w:lang w:val="en-US" w:eastAsia="zh-CN"/>
        </w:rPr>
        <w:t>纺丝油剂挥发产生的有机废气主要依靠静电油烟吸附去除，PET分解废气由低温等离子去除效果好。</w:t>
      </w:r>
    </w:p>
    <w:p>
      <w:pPr>
        <w:bidi w:val="0"/>
        <w:rPr>
          <w:color w:val="auto"/>
          <w:kern w:val="0"/>
          <w:sz w:val="24"/>
          <w:highlight w:val="none"/>
          <w:lang w:val="zh-CN"/>
        </w:rPr>
      </w:pPr>
      <w:r>
        <w:rPr>
          <w:rFonts w:hint="default"/>
          <w:color w:val="auto"/>
          <w:highlight w:val="none"/>
          <w:lang w:val="en-US" w:eastAsia="zh-CN"/>
        </w:rPr>
        <w:t>静电油烟吸附</w:t>
      </w:r>
      <w:r>
        <w:rPr>
          <w:rFonts w:hint="eastAsia"/>
          <w:color w:val="auto"/>
          <w:highlight w:val="none"/>
          <w:lang w:val="en-US" w:eastAsia="zh-CN"/>
        </w:rPr>
        <w:t>：有机废气由风机吸入静电油烟净化器中，经过电场其中部分较大的油雾滴、油污颗粒在均流板上由于机械碰撞、阻留而被捕集。当气流进入高压静电场时，在高压电场的作用下，油烟气体被电离，油雾分子带上荷电，大部分得以降解炭化，少部分微小油粒在吸附电场的电场力及气流作用下向电场的正负极板运动被收集在极板上并在自身重力的作用下流到集油盘，经排油通道排出，余下的微米级油雾被电场降解成二氧化碳和水，最终排出洁净空气。</w:t>
      </w:r>
    </w:p>
    <w:p>
      <w:pPr>
        <w:bidi w:val="0"/>
        <w:rPr>
          <w:rFonts w:hint="default" w:eastAsia="宋体"/>
          <w:color w:val="auto"/>
          <w:highlight w:val="none"/>
          <w:lang w:val="en-US" w:eastAsia="zh-CN"/>
        </w:rPr>
      </w:pPr>
      <w:r>
        <w:rPr>
          <w:rFonts w:hint="eastAsia"/>
          <w:color w:val="auto"/>
          <w:highlight w:val="none"/>
          <w:lang w:val="en-US" w:eastAsia="zh-CN"/>
        </w:rPr>
        <w:t>根据现有工程监测结果，静电油烟吸附去除率为67.4%。因此，本评价保守考虑</w:t>
      </w:r>
      <w:r>
        <w:rPr>
          <w:rFonts w:hint="eastAsia" w:ascii="Times New Roman" w:hAnsi="Times New Roman" w:cs="Times New Roman"/>
          <w:color w:val="auto"/>
          <w:szCs w:val="20"/>
          <w:highlight w:val="none"/>
          <w:lang w:val="en-US" w:eastAsia="zh-CN"/>
        </w:rPr>
        <w:t>静电油烟吸附</w:t>
      </w:r>
      <w:r>
        <w:rPr>
          <w:rFonts w:hint="eastAsia"/>
          <w:color w:val="auto"/>
          <w:highlight w:val="none"/>
          <w:lang w:val="en-US" w:eastAsia="zh-CN"/>
        </w:rPr>
        <w:t>对有机废气的去除效率取60%。</w:t>
      </w:r>
    </w:p>
    <w:p>
      <w:pPr>
        <w:spacing w:line="360" w:lineRule="auto"/>
        <w:ind w:firstLine="480" w:firstLineChars="200"/>
        <w:rPr>
          <w:rFonts w:hint="eastAsia"/>
          <w:color w:val="auto"/>
          <w:highlight w:val="none"/>
          <w:lang w:val="en-US" w:eastAsia="zh-CN"/>
        </w:rPr>
      </w:pPr>
      <w:r>
        <w:rPr>
          <w:rFonts w:hint="eastAsia"/>
          <w:color w:val="auto"/>
          <w:highlight w:val="none"/>
          <w:lang w:val="en-US" w:eastAsia="zh-CN"/>
        </w:rPr>
        <w:t>根据前文对低温等离子工艺的分析，低温等离子工艺应用于本项目前、后纺废气是可行的。</w:t>
      </w:r>
    </w:p>
    <w:p>
      <w:pPr>
        <w:spacing w:line="360" w:lineRule="auto"/>
        <w:ind w:firstLine="480" w:firstLineChars="200"/>
        <w:rPr>
          <w:rFonts w:hint="default" w:ascii="Times New Roman" w:hAnsi="Times New Roman" w:eastAsia="宋体" w:cs="Times New Roman"/>
          <w:color w:val="auto"/>
          <w:sz w:val="24"/>
          <w:highlight w:val="none"/>
          <w:u w:val="none" w:color="auto"/>
        </w:rPr>
      </w:pPr>
      <w:r>
        <w:rPr>
          <w:rFonts w:hint="eastAsia" w:cs="Times New Roman"/>
          <w:color w:val="auto"/>
          <w:sz w:val="24"/>
          <w:highlight w:val="none"/>
          <w:u w:val="none" w:color="auto"/>
          <w:lang w:val="en-US" w:eastAsia="zh-CN"/>
        </w:rPr>
        <w:t>综上所述，</w:t>
      </w:r>
      <w:r>
        <w:rPr>
          <w:rFonts w:hint="eastAsia"/>
          <w:color w:val="auto"/>
          <w:highlight w:val="none"/>
          <w:lang w:val="en-US" w:eastAsia="zh-CN"/>
        </w:rPr>
        <w:t>“</w:t>
      </w:r>
      <w:r>
        <w:rPr>
          <w:rFonts w:hint="eastAsia" w:ascii="Times New Roman" w:hAnsi="Times New Roman" w:cs="Times New Roman"/>
          <w:color w:val="auto"/>
          <w:szCs w:val="20"/>
          <w:highlight w:val="none"/>
          <w:lang w:val="en-US" w:eastAsia="zh-CN"/>
        </w:rPr>
        <w:t>静电油烟吸附</w:t>
      </w:r>
      <w:r>
        <w:rPr>
          <w:rFonts w:hint="eastAsia" w:cs="Times New Roman"/>
          <w:color w:val="auto"/>
          <w:szCs w:val="20"/>
          <w:highlight w:val="none"/>
          <w:lang w:val="en-US" w:eastAsia="zh-CN"/>
        </w:rPr>
        <w:t>+低温等离子”处理工艺</w:t>
      </w:r>
      <w:r>
        <w:rPr>
          <w:rFonts w:hint="default" w:ascii="Times New Roman" w:hAnsi="Times New Roman" w:eastAsia="宋体" w:cs="Times New Roman"/>
          <w:color w:val="auto"/>
          <w:sz w:val="24"/>
          <w:highlight w:val="none"/>
          <w:u w:val="none" w:color="auto"/>
        </w:rPr>
        <w:t>，符合《挥发性有机物（VOCs）污染防治技术政策》的要求。可满足本项目废气净化需求，可实现达标排放。</w:t>
      </w:r>
    </w:p>
    <w:p>
      <w:pPr>
        <w:rPr>
          <w:rFonts w:hint="eastAsia"/>
          <w:color w:val="auto"/>
          <w:highlight w:val="none"/>
          <w:lang w:val="en-US" w:eastAsia="zh-CN"/>
        </w:rPr>
      </w:pPr>
      <w:r>
        <w:rPr>
          <w:rFonts w:hint="eastAsia"/>
          <w:color w:val="auto"/>
          <w:highlight w:val="none"/>
          <w:lang w:val="en-US" w:eastAsia="zh-CN"/>
        </w:rPr>
        <w:t>经对照《排污许可证申请与核发技术规范 化学纤维制造业》（HJ 1102-2020）附录A中表A.1，本项目各处理设施均为可行技术，具体内容详见下表。</w:t>
      </w:r>
    </w:p>
    <w:p>
      <w:pPr>
        <w:pStyle w:val="24"/>
        <w:numPr>
          <w:ilvl w:val="6"/>
          <w:numId w:val="7"/>
        </w:numPr>
        <w:tabs>
          <w:tab w:val="left" w:pos="420"/>
        </w:tabs>
        <w:bidi w:val="0"/>
        <w:rPr>
          <w:rFonts w:hint="default"/>
          <w:color w:val="auto"/>
          <w:highlight w:val="none"/>
          <w:lang w:val="en-US" w:eastAsia="zh-CN"/>
        </w:rPr>
      </w:pPr>
      <w:r>
        <w:rPr>
          <w:rFonts w:hint="eastAsia"/>
          <w:color w:val="auto"/>
          <w:highlight w:val="none"/>
          <w:lang w:val="en-US" w:eastAsia="zh-CN"/>
        </w:rPr>
        <w:t>有机</w:t>
      </w:r>
      <w:r>
        <w:rPr>
          <w:rFonts w:hint="default"/>
          <w:color w:val="auto"/>
          <w:highlight w:val="none"/>
          <w:lang w:val="en-US" w:eastAsia="zh-CN"/>
        </w:rPr>
        <w:t>废气治理可行技术参照表</w:t>
      </w:r>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6"/>
        <w:gridCol w:w="832"/>
        <w:gridCol w:w="1145"/>
        <w:gridCol w:w="1773"/>
        <w:gridCol w:w="1691"/>
        <w:gridCol w:w="2018"/>
        <w:gridCol w:w="11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6"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化纤类型</w:t>
            </w:r>
          </w:p>
        </w:tc>
        <w:tc>
          <w:tcPr>
            <w:tcW w:w="1977" w:type="dxa"/>
            <w:gridSpan w:val="2"/>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生产单元或设施废气</w:t>
            </w:r>
          </w:p>
        </w:tc>
        <w:tc>
          <w:tcPr>
            <w:tcW w:w="177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主要控制污染物</w:t>
            </w:r>
          </w:p>
        </w:tc>
        <w:tc>
          <w:tcPr>
            <w:tcW w:w="1691"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可行技术</w:t>
            </w:r>
          </w:p>
        </w:tc>
        <w:tc>
          <w:tcPr>
            <w:tcW w:w="2018"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本项目</w:t>
            </w:r>
          </w:p>
        </w:tc>
        <w:tc>
          <w:tcPr>
            <w:tcW w:w="111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是否可行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6" w:type="dxa"/>
            <w:vMerge w:val="restart"/>
            <w:vAlign w:val="center"/>
          </w:tcPr>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r>
              <w:rPr>
                <w:rFonts w:hint="eastAsia"/>
                <w:color w:val="auto"/>
                <w:szCs w:val="20"/>
                <w:highlight w:val="none"/>
                <w:lang w:val="en-US" w:eastAsia="zh-CN"/>
              </w:rPr>
              <w:t>涤纶</w:t>
            </w:r>
          </w:p>
        </w:tc>
        <w:tc>
          <w:tcPr>
            <w:tcW w:w="832"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纺丝</w:t>
            </w:r>
          </w:p>
        </w:tc>
        <w:tc>
          <w:tcPr>
            <w:tcW w:w="1145"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油剂挥发尾气</w:t>
            </w:r>
          </w:p>
        </w:tc>
        <w:tc>
          <w:tcPr>
            <w:tcW w:w="177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挥发性有机物</w:t>
            </w:r>
          </w:p>
        </w:tc>
        <w:tc>
          <w:tcPr>
            <w:tcW w:w="1691"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湿式除尘+静电除尘（油雾）</w:t>
            </w:r>
          </w:p>
        </w:tc>
        <w:tc>
          <w:tcPr>
            <w:tcW w:w="2018"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静电油烟吸附+低温等离子</w:t>
            </w:r>
          </w:p>
        </w:tc>
        <w:tc>
          <w:tcPr>
            <w:tcW w:w="111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6" w:type="dxa"/>
            <w:vMerge w:val="continue"/>
            <w:vAlign w:val="center"/>
          </w:tcPr>
          <w:p>
            <w:pPr>
              <w:pStyle w:val="21"/>
              <w:keepNext w:val="0"/>
              <w:keepLines w:val="0"/>
              <w:widowControl w:val="0"/>
              <w:suppressLineNumbers w:val="0"/>
              <w:bidi w:val="0"/>
              <w:spacing w:before="0" w:beforeAutospacing="0" w:after="0" w:afterAutospacing="0"/>
              <w:ind w:right="0"/>
              <w:jc w:val="center"/>
              <w:rPr>
                <w:rFonts w:hint="eastAsia"/>
                <w:color w:val="auto"/>
                <w:szCs w:val="20"/>
                <w:highlight w:val="none"/>
                <w:lang w:val="en-US" w:eastAsia="zh-CN"/>
              </w:rPr>
            </w:pPr>
          </w:p>
        </w:tc>
        <w:tc>
          <w:tcPr>
            <w:tcW w:w="832"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真空煅烧</w:t>
            </w:r>
          </w:p>
        </w:tc>
        <w:tc>
          <w:tcPr>
            <w:tcW w:w="1145"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煅烧炉尾气</w:t>
            </w:r>
          </w:p>
        </w:tc>
        <w:tc>
          <w:tcPr>
            <w:tcW w:w="177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挥发性有机物</w:t>
            </w:r>
          </w:p>
        </w:tc>
        <w:tc>
          <w:tcPr>
            <w:tcW w:w="1691"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吸收</w:t>
            </w:r>
          </w:p>
        </w:tc>
        <w:tc>
          <w:tcPr>
            <w:tcW w:w="2018"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碱液</w:t>
            </w:r>
            <w:r>
              <w:rPr>
                <w:rFonts w:hint="default"/>
                <w:color w:val="auto"/>
                <w:szCs w:val="20"/>
                <w:highlight w:val="none"/>
                <w:lang w:val="en-US" w:eastAsia="zh-CN"/>
              </w:rPr>
              <w:t>喷淋+除雾器+</w:t>
            </w:r>
            <w:r>
              <w:rPr>
                <w:rFonts w:hint="eastAsia"/>
                <w:color w:val="auto"/>
                <w:szCs w:val="20"/>
                <w:highlight w:val="none"/>
                <w:lang w:val="en-US" w:eastAsia="zh-CN"/>
              </w:rPr>
              <w:t>低温等离子</w:t>
            </w:r>
          </w:p>
        </w:tc>
        <w:tc>
          <w:tcPr>
            <w:tcW w:w="111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可行</w:t>
            </w:r>
          </w:p>
        </w:tc>
      </w:tr>
    </w:tbl>
    <w:p>
      <w:pPr>
        <w:numPr>
          <w:ilvl w:val="0"/>
          <w:numId w:val="8"/>
        </w:numPr>
        <w:rPr>
          <w:rFonts w:hint="eastAsia"/>
          <w:color w:val="auto"/>
          <w:szCs w:val="20"/>
          <w:highlight w:val="none"/>
          <w:lang w:val="en-US" w:eastAsia="zh-CN"/>
        </w:rPr>
      </w:pPr>
      <w:r>
        <w:rPr>
          <w:rFonts w:hint="eastAsia"/>
          <w:color w:val="auto"/>
          <w:szCs w:val="20"/>
          <w:highlight w:val="none"/>
          <w:lang w:val="en-US" w:eastAsia="zh-CN"/>
        </w:rPr>
        <w:t>锅炉烟气</w:t>
      </w:r>
    </w:p>
    <w:p>
      <w:pPr>
        <w:spacing w:line="360" w:lineRule="auto"/>
        <w:ind w:firstLine="480" w:firstLineChars="200"/>
        <w:rPr>
          <w:rFonts w:hint="default" w:ascii="Times New Roman" w:hAnsi="Times New Roman" w:eastAsia="宋体" w:cs="Times New Roman"/>
          <w:color w:val="auto"/>
          <w:sz w:val="24"/>
          <w:szCs w:val="22"/>
          <w:highlight w:val="none"/>
          <w:u w:val="none" w:color="auto"/>
          <w:lang w:val="en-US" w:eastAsia="zh-CN"/>
        </w:rPr>
      </w:pPr>
      <w:r>
        <w:rPr>
          <w:rFonts w:hint="default" w:ascii="Times New Roman" w:hAnsi="Times New Roman" w:eastAsia="宋体" w:cs="Times New Roman"/>
          <w:color w:val="auto"/>
          <w:sz w:val="24"/>
          <w:szCs w:val="22"/>
          <w:highlight w:val="none"/>
          <w:u w:val="none" w:color="auto"/>
          <w:lang w:val="en-US" w:eastAsia="zh-CN"/>
        </w:rPr>
        <w:t>本项目</w:t>
      </w:r>
      <w:r>
        <w:rPr>
          <w:rFonts w:hint="eastAsia" w:ascii="Times New Roman" w:hAnsi="Times New Roman" w:eastAsia="宋体" w:cs="Times New Roman"/>
          <w:color w:val="auto"/>
          <w:sz w:val="24"/>
          <w:szCs w:val="22"/>
          <w:highlight w:val="none"/>
          <w:u w:val="none" w:color="auto"/>
          <w:lang w:val="en-US" w:eastAsia="zh-CN"/>
        </w:rPr>
        <w:t>锅炉</w:t>
      </w:r>
      <w:r>
        <w:rPr>
          <w:rFonts w:hint="default" w:ascii="Times New Roman" w:hAnsi="Times New Roman" w:eastAsia="宋体" w:cs="Times New Roman"/>
          <w:color w:val="auto"/>
          <w:sz w:val="24"/>
          <w:szCs w:val="22"/>
          <w:highlight w:val="none"/>
          <w:u w:val="none" w:color="auto"/>
          <w:lang w:val="en-US" w:eastAsia="zh-CN"/>
        </w:rPr>
        <w:t>使用天然气作为燃料，属于清洁能源；</w:t>
      </w:r>
      <w:r>
        <w:rPr>
          <w:rFonts w:hint="eastAsia" w:ascii="Times New Roman" w:hAnsi="Times New Roman" w:eastAsia="宋体" w:cs="Times New Roman"/>
          <w:color w:val="auto"/>
          <w:sz w:val="24"/>
          <w:szCs w:val="22"/>
          <w:highlight w:val="none"/>
          <w:u w:val="none" w:color="auto"/>
          <w:lang w:val="en-US" w:eastAsia="zh-CN"/>
        </w:rPr>
        <w:t>锅炉</w:t>
      </w:r>
      <w:r>
        <w:rPr>
          <w:rFonts w:hint="default" w:ascii="Times New Roman" w:hAnsi="Times New Roman" w:eastAsia="宋体" w:cs="Times New Roman"/>
          <w:color w:val="auto"/>
          <w:sz w:val="24"/>
          <w:szCs w:val="22"/>
          <w:highlight w:val="none"/>
          <w:u w:val="none" w:color="auto"/>
          <w:lang w:val="en-US" w:eastAsia="zh-CN"/>
        </w:rPr>
        <w:t>燃烧废气由1根1</w:t>
      </w:r>
      <w:r>
        <w:rPr>
          <w:rFonts w:hint="eastAsia" w:cs="Times New Roman"/>
          <w:color w:val="auto"/>
          <w:sz w:val="24"/>
          <w:szCs w:val="22"/>
          <w:highlight w:val="none"/>
          <w:u w:val="none" w:color="auto"/>
          <w:lang w:val="en-US" w:eastAsia="zh-CN"/>
        </w:rPr>
        <w:t>5</w:t>
      </w:r>
      <w:r>
        <w:rPr>
          <w:rFonts w:hint="default" w:ascii="Times New Roman" w:hAnsi="Times New Roman" w:eastAsia="宋体" w:cs="Times New Roman"/>
          <w:color w:val="auto"/>
          <w:sz w:val="24"/>
          <w:szCs w:val="22"/>
          <w:highlight w:val="none"/>
          <w:u w:val="none" w:color="auto"/>
          <w:lang w:val="en-US" w:eastAsia="zh-CN"/>
        </w:rPr>
        <w:t>m高排气筒（</w:t>
      </w:r>
      <w:r>
        <w:rPr>
          <w:rFonts w:hint="eastAsia" w:ascii="Times New Roman" w:hAnsi="Times New Roman" w:eastAsia="宋体" w:cs="Times New Roman"/>
          <w:color w:val="auto"/>
          <w:sz w:val="24"/>
          <w:szCs w:val="22"/>
          <w:highlight w:val="none"/>
          <w:u w:val="none" w:color="auto"/>
          <w:lang w:val="en-US" w:eastAsia="zh-CN"/>
        </w:rPr>
        <w:t>DA00</w:t>
      </w:r>
      <w:r>
        <w:rPr>
          <w:rFonts w:hint="eastAsia" w:cs="Times New Roman"/>
          <w:color w:val="auto"/>
          <w:sz w:val="24"/>
          <w:szCs w:val="22"/>
          <w:highlight w:val="none"/>
          <w:u w:val="none" w:color="auto"/>
          <w:lang w:val="en-US" w:eastAsia="zh-CN"/>
        </w:rPr>
        <w:t>9</w:t>
      </w:r>
      <w:r>
        <w:rPr>
          <w:rFonts w:hint="default" w:ascii="Times New Roman" w:hAnsi="Times New Roman" w:eastAsia="宋体" w:cs="Times New Roman"/>
          <w:color w:val="auto"/>
          <w:sz w:val="24"/>
          <w:szCs w:val="22"/>
          <w:highlight w:val="none"/>
          <w:u w:val="none" w:color="auto"/>
          <w:lang w:val="en-US" w:eastAsia="zh-CN"/>
        </w:rPr>
        <w:t>）排放，SO</w:t>
      </w:r>
      <w:r>
        <w:rPr>
          <w:rFonts w:hint="default" w:ascii="Times New Roman" w:hAnsi="Times New Roman" w:eastAsia="宋体" w:cs="Times New Roman"/>
          <w:color w:val="auto"/>
          <w:sz w:val="24"/>
          <w:szCs w:val="22"/>
          <w:highlight w:val="none"/>
          <w:u w:val="none" w:color="auto"/>
          <w:vertAlign w:val="subscript"/>
          <w:lang w:val="en-US" w:eastAsia="zh-CN"/>
        </w:rPr>
        <w:t>2</w:t>
      </w:r>
      <w:r>
        <w:rPr>
          <w:rFonts w:hint="default" w:ascii="Times New Roman" w:hAnsi="Times New Roman" w:eastAsia="宋体" w:cs="Times New Roman"/>
          <w:color w:val="auto"/>
          <w:sz w:val="24"/>
          <w:szCs w:val="22"/>
          <w:highlight w:val="none"/>
          <w:u w:val="none" w:color="auto"/>
          <w:lang w:val="en-US" w:eastAsia="zh-CN"/>
        </w:rPr>
        <w:t>、NOx、颗粒物排放浓度满足《锅炉大气污染物排放标准》（GB13271-2014）中标准限值要求。</w:t>
      </w:r>
    </w:p>
    <w:p>
      <w:pPr>
        <w:numPr>
          <w:ilvl w:val="0"/>
          <w:numId w:val="8"/>
        </w:numPr>
        <w:spacing w:line="360" w:lineRule="auto"/>
        <w:ind w:left="0" w:leftChars="0" w:firstLine="480" w:firstLineChars="200"/>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危险废物贮存间废气</w:t>
      </w:r>
    </w:p>
    <w:p>
      <w:pPr>
        <w:rPr>
          <w:rFonts w:hint="eastAsia"/>
          <w:color w:val="auto"/>
          <w:highlight w:val="none"/>
          <w:lang w:val="en-US" w:eastAsia="zh-CN"/>
        </w:rPr>
      </w:pPr>
      <w:r>
        <w:rPr>
          <w:rFonts w:hint="eastAsia" w:cs="Times New Roman"/>
          <w:color w:val="auto"/>
          <w:highlight w:val="none"/>
          <w:vertAlign w:val="baseline"/>
          <w:lang w:val="en-US" w:eastAsia="zh-CN"/>
        </w:rPr>
        <w:t>本项目危险废物贮存间暂存的危险废物主要包括：</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、浸油槽废液、煅烧废渣、废机油、废油剂空桶、含油抹布、废布袋</w:t>
      </w:r>
      <w:r>
        <w:rPr>
          <w:rFonts w:hint="eastAsia" w:cs="Times New Roman"/>
          <w:color w:val="auto"/>
          <w:highlight w:val="none"/>
          <w:lang w:val="en-US" w:eastAsia="zh-CN"/>
        </w:rPr>
        <w:t>、废纺丝油剂等危险废物，存储过程中会有挥发性有机废气（以非甲烷总烃计）产生，呈无组织排放。</w:t>
      </w:r>
      <w:r>
        <w:rPr>
          <w:rFonts w:hint="eastAsia" w:cs="Times New Roman"/>
          <w:color w:val="auto"/>
          <w:szCs w:val="20"/>
          <w:highlight w:val="none"/>
          <w:lang w:val="en-US" w:eastAsia="zh-CN"/>
        </w:rPr>
        <w:t>危险废物贮存间设置为微负压，废气经负压收集后引入活性炭吸附装置处理后由1根 15 m高排气筒（DA0010）排放。</w:t>
      </w:r>
    </w:p>
    <w:p>
      <w:pPr>
        <w:bidi w:val="0"/>
        <w:rPr>
          <w:rFonts w:hint="default" w:eastAsia="宋体"/>
          <w:color w:val="auto"/>
          <w:kern w:val="0"/>
          <w:sz w:val="24"/>
          <w:highlight w:val="none"/>
          <w:lang w:val="en-US" w:eastAsia="zh-CN"/>
        </w:rPr>
      </w:pPr>
      <w:r>
        <w:rPr>
          <w:rFonts w:hint="eastAsia"/>
          <w:color w:val="auto"/>
          <w:kern w:val="0"/>
          <w:sz w:val="24"/>
          <w:highlight w:val="none"/>
          <w:lang w:val="en-US" w:eastAsia="zh-CN"/>
        </w:rPr>
        <w:t>活性炭吸附：</w:t>
      </w:r>
      <w:r>
        <w:rPr>
          <w:rFonts w:hint="eastAsia"/>
          <w:color w:val="auto"/>
        </w:rPr>
        <w:t>活性炭是一种很细小的炭粒有很大的表面积，而且炭粒中还有更细小的孔——毛细管。这种毛细管具有很强的吸附能力，由于炭粒的表面积很大，所以能与气体(杂质)充分接触。当这些气体(杂质)碰到毛细管被吸附，起净化作用。活性炭比表面积一般在700~1500m</w:t>
      </w:r>
      <w:r>
        <w:rPr>
          <w:rFonts w:hint="eastAsia"/>
          <w:color w:val="auto"/>
          <w:vertAlign w:val="superscript"/>
        </w:rPr>
        <w:t>2</w:t>
      </w:r>
      <w:r>
        <w:rPr>
          <w:rFonts w:hint="eastAsia"/>
          <w:color w:val="auto"/>
        </w:rPr>
        <w:t>/g，故活性炭常常被用来吸附回收空气中的有机溶剂和恶臭气体。活性炭吸附的实质是利用活性炭吸附的特性把低浓度大风量，废气中的有机溶剂吸附到活性炭中并浓缩，经活性炭吸附净化后的气体直接排空，其实质是一个吸附浓缩的过程，并没有把有机溶剂处理掉，是一个物理过程。</w:t>
      </w:r>
    </w:p>
    <w:p>
      <w:pPr>
        <w:bidi w:val="0"/>
        <w:rPr>
          <w:rFonts w:hint="default"/>
          <w:color w:val="auto"/>
        </w:rPr>
      </w:pPr>
      <w:r>
        <w:rPr>
          <w:rFonts w:hint="default"/>
          <w:color w:val="auto"/>
        </w:rPr>
        <w:t>经查工程经验和相关文献可知，单级活性炭对有机废气的吸附效率可达到90%以上</w:t>
      </w:r>
      <w:r>
        <w:rPr>
          <w:rFonts w:hint="eastAsia"/>
          <w:color w:val="auto"/>
          <w:lang w:eastAsia="zh-CN"/>
        </w:rPr>
        <w:t>(</w:t>
      </w:r>
      <w:r>
        <w:rPr>
          <w:rFonts w:hint="default"/>
          <w:color w:val="auto"/>
        </w:rPr>
        <w:t>改性活性炭对苯废气吸附性能的研究，张丽丹、郭坤敏；新型炭材料，2002年第2期；活性炭对有机废气的吸附，俞筱筱、高华生等，环境科学研究，2007年第5期</w:t>
      </w:r>
      <w:r>
        <w:rPr>
          <w:rFonts w:hint="eastAsia"/>
          <w:color w:val="auto"/>
          <w:lang w:eastAsia="zh-CN"/>
        </w:rPr>
        <w:t>)。</w:t>
      </w:r>
      <w:r>
        <w:rPr>
          <w:rFonts w:hint="eastAsia"/>
          <w:color w:val="auto"/>
          <w:lang w:val="en-US" w:eastAsia="zh-CN"/>
        </w:rPr>
        <w:t>因此，活性炭吸附装置处理危险废物贮存间废气，</w:t>
      </w:r>
      <w:r>
        <w:rPr>
          <w:rFonts w:hint="default"/>
          <w:color w:val="auto"/>
        </w:rPr>
        <w:t>符合《挥发性有机物（VOCs）污染防治技术政策》的要求。可满足本项目废气净化需求，可实现达标排放。</w:t>
      </w:r>
    </w:p>
    <w:p>
      <w:pPr>
        <w:bidi w:val="0"/>
        <w:rPr>
          <w:rFonts w:hint="eastAsia"/>
          <w:color w:val="auto"/>
          <w:highlight w:val="none"/>
          <w:lang w:val="en-US" w:eastAsia="zh-CN"/>
        </w:rPr>
      </w:pPr>
      <w:r>
        <w:rPr>
          <w:rFonts w:hint="eastAsia"/>
          <w:color w:val="auto"/>
          <w:highlight w:val="none"/>
          <w:lang w:val="en-US" w:eastAsia="zh-CN"/>
        </w:rPr>
        <w:t>（6）污水处理站恶臭</w:t>
      </w:r>
    </w:p>
    <w:p>
      <w:pPr>
        <w:bidi w:val="0"/>
        <w:rPr>
          <w:rFonts w:hint="default"/>
          <w:color w:val="auto"/>
          <w:highlight w:val="none"/>
        </w:rPr>
      </w:pPr>
      <w:r>
        <w:rPr>
          <w:rFonts w:hint="default"/>
          <w:color w:val="auto"/>
          <w:highlight w:val="none"/>
        </w:rPr>
        <w:t>污水处理站是恶臭的重要产生源。</w:t>
      </w:r>
      <w:r>
        <w:rPr>
          <w:rFonts w:hint="default"/>
          <w:color w:val="auto"/>
          <w:highlight w:val="none"/>
          <w:lang w:val="en-US" w:eastAsia="zh-CN"/>
        </w:rPr>
        <w:t>污水处理站处理工艺采用“气浮+水解酸化+</w:t>
      </w:r>
      <w:r>
        <w:rPr>
          <w:rFonts w:hint="eastAsia"/>
          <w:color w:val="auto"/>
          <w:highlight w:val="none"/>
          <w:lang w:val="en-US" w:eastAsia="zh-CN"/>
        </w:rPr>
        <w:t>A/O池</w:t>
      </w:r>
      <w:r>
        <w:rPr>
          <w:rFonts w:hint="default"/>
          <w:color w:val="auto"/>
          <w:highlight w:val="none"/>
          <w:lang w:val="en-US" w:eastAsia="zh-CN"/>
        </w:rPr>
        <w:t>+MBR膜</w:t>
      </w:r>
      <w:r>
        <w:rPr>
          <w:rFonts w:hint="eastAsia"/>
          <w:color w:val="auto"/>
          <w:highlight w:val="none"/>
          <w:lang w:val="en-US" w:eastAsia="zh-CN"/>
        </w:rPr>
        <w:t>+板框压滤</w:t>
      </w:r>
      <w:r>
        <w:rPr>
          <w:rFonts w:hint="default"/>
          <w:color w:val="auto"/>
          <w:highlight w:val="none"/>
          <w:lang w:val="en-US" w:eastAsia="zh-CN"/>
        </w:rPr>
        <w:t>”，处理规模为</w:t>
      </w:r>
      <w:r>
        <w:rPr>
          <w:rFonts w:hint="eastAsia"/>
          <w:color w:val="auto"/>
          <w:highlight w:val="none"/>
          <w:lang w:val="en-US" w:eastAsia="zh-CN"/>
        </w:rPr>
        <w:t>5</w:t>
      </w:r>
      <w:r>
        <w:rPr>
          <w:rFonts w:hint="default"/>
          <w:color w:val="auto"/>
          <w:highlight w:val="none"/>
          <w:lang w:val="en-US" w:eastAsia="zh-CN"/>
        </w:rPr>
        <w:t>0 t/d。污水处理站在运营时会产生恶臭，主要污染因子为NH</w:t>
      </w:r>
      <w:r>
        <w:rPr>
          <w:rFonts w:hint="default"/>
          <w:color w:val="auto"/>
          <w:highlight w:val="none"/>
          <w:vertAlign w:val="subscript"/>
          <w:lang w:val="en-US" w:eastAsia="zh-CN"/>
        </w:rPr>
        <w:t>3</w:t>
      </w:r>
      <w:r>
        <w:rPr>
          <w:rFonts w:hint="default"/>
          <w:color w:val="auto"/>
          <w:highlight w:val="none"/>
          <w:lang w:val="en-US" w:eastAsia="zh-CN"/>
        </w:rPr>
        <w:t>、H</w:t>
      </w:r>
      <w:r>
        <w:rPr>
          <w:rFonts w:hint="default"/>
          <w:color w:val="auto"/>
          <w:highlight w:val="none"/>
          <w:vertAlign w:val="subscript"/>
          <w:lang w:val="en-US" w:eastAsia="zh-CN"/>
        </w:rPr>
        <w:t>2</w:t>
      </w:r>
      <w:r>
        <w:rPr>
          <w:rFonts w:hint="default"/>
          <w:color w:val="auto"/>
          <w:highlight w:val="none"/>
          <w:lang w:val="en-US" w:eastAsia="zh-CN"/>
        </w:rPr>
        <w:t>S。</w:t>
      </w:r>
      <w:r>
        <w:rPr>
          <w:rFonts w:hint="default"/>
          <w:color w:val="auto"/>
          <w:highlight w:val="none"/>
        </w:rPr>
        <w:t>为防止污水处理设施及构筑物产生臭气和挥发性有机物对周围环境空气造成污染，</w:t>
      </w:r>
      <w:r>
        <w:rPr>
          <w:rFonts w:hint="eastAsia"/>
          <w:color w:val="auto"/>
          <w:highlight w:val="none"/>
          <w:lang w:val="en-US" w:eastAsia="zh-CN"/>
        </w:rPr>
        <w:t>本项目拟</w:t>
      </w:r>
      <w:r>
        <w:rPr>
          <w:rFonts w:hint="default"/>
          <w:color w:val="auto"/>
          <w:highlight w:val="none"/>
          <w:lang w:val="en-US" w:eastAsia="zh-CN"/>
        </w:rPr>
        <w:t>对主要产臭区进行加盖、密闭</w:t>
      </w:r>
      <w:r>
        <w:rPr>
          <w:rFonts w:hint="default"/>
          <w:color w:val="auto"/>
          <w:highlight w:val="none"/>
        </w:rPr>
        <w:t>。</w:t>
      </w:r>
    </w:p>
    <w:p>
      <w:pPr>
        <w:bidi w:val="0"/>
        <w:rPr>
          <w:rFonts w:hint="default"/>
          <w:color w:val="auto"/>
          <w:highlight w:val="none"/>
          <w:lang w:val="en-US" w:eastAsia="zh-CN"/>
        </w:rPr>
      </w:pPr>
      <w:r>
        <w:rPr>
          <w:rFonts w:hint="default"/>
          <w:color w:val="auto"/>
          <w:highlight w:val="none"/>
          <w:lang w:val="en-US" w:eastAsia="zh-CN"/>
        </w:rPr>
        <w:t>（</w:t>
      </w:r>
      <w:r>
        <w:rPr>
          <w:rFonts w:hint="eastAsia"/>
          <w:color w:val="auto"/>
          <w:highlight w:val="none"/>
          <w:lang w:val="en-US" w:eastAsia="zh-CN"/>
        </w:rPr>
        <w:t>7</w:t>
      </w:r>
      <w:r>
        <w:rPr>
          <w:rFonts w:hint="default"/>
          <w:color w:val="auto"/>
          <w:highlight w:val="none"/>
          <w:lang w:val="en-US" w:eastAsia="zh-CN"/>
        </w:rPr>
        <w:t>）挥发性有机物无组织排放控制要求</w:t>
      </w:r>
    </w:p>
    <w:p>
      <w:pPr>
        <w:rPr>
          <w:rFonts w:hint="default"/>
          <w:color w:val="auto"/>
          <w:highlight w:val="none"/>
          <w:lang w:val="en-US" w:eastAsia="zh-CN"/>
        </w:rPr>
      </w:pPr>
      <w:r>
        <w:rPr>
          <w:rFonts w:hint="default"/>
          <w:color w:val="auto"/>
          <w:highlight w:val="none"/>
          <w:lang w:val="en-US" w:eastAsia="zh-CN"/>
        </w:rPr>
        <w:t>根据《挥发性有机物无组织排放控制标准》(GB37822-2019) )中对挥发性有机物无组织排放控制要求，本环评对建设单位提出如下要求</w:t>
      </w:r>
      <w:r>
        <w:rPr>
          <w:rFonts w:hint="eastAsia"/>
          <w:color w:val="auto"/>
          <w:highlight w:val="none"/>
          <w:lang w:val="en-US" w:eastAsia="zh-CN"/>
        </w:rPr>
        <w:t>：</w:t>
      </w:r>
    </w:p>
    <w:p>
      <w:pPr>
        <w:rPr>
          <w:rFonts w:hint="default"/>
          <w:color w:val="auto"/>
          <w:highlight w:val="none"/>
          <w:lang w:val="en-US" w:eastAsia="zh-CN"/>
        </w:rPr>
      </w:pPr>
      <w:r>
        <w:rPr>
          <w:rFonts w:hint="default"/>
          <w:color w:val="auto"/>
          <w:highlight w:val="none"/>
          <w:lang w:val="en-US" w:eastAsia="zh-CN"/>
        </w:rPr>
        <w:t>①VOCs 物料储存无组织排放控制要求</w:t>
      </w:r>
    </w:p>
    <w:p>
      <w:pPr>
        <w:rPr>
          <w:rFonts w:hint="default"/>
          <w:color w:val="auto"/>
          <w:highlight w:val="none"/>
          <w:lang w:val="en-US" w:eastAsia="zh-CN"/>
        </w:rPr>
      </w:pPr>
      <w:r>
        <w:rPr>
          <w:rFonts w:hint="default"/>
          <w:color w:val="auto"/>
          <w:highlight w:val="none"/>
          <w:lang w:val="en-US" w:eastAsia="zh-CN"/>
        </w:rPr>
        <w:t>A.VOCs物料应储存于密闭的容器中。</w:t>
      </w:r>
    </w:p>
    <w:p>
      <w:pPr>
        <w:rPr>
          <w:rFonts w:hint="default"/>
          <w:color w:val="auto"/>
          <w:highlight w:val="none"/>
          <w:lang w:val="en-US" w:eastAsia="zh-CN"/>
        </w:rPr>
      </w:pPr>
      <w:r>
        <w:rPr>
          <w:rFonts w:hint="default"/>
          <w:color w:val="auto"/>
          <w:highlight w:val="none"/>
          <w:lang w:val="en-US" w:eastAsia="zh-CN"/>
        </w:rPr>
        <w:t>B.盛装VOCs 物料的容器应存放于室内。盛装VOCs 物料的容器在非取用状态时应加盖、封口，保持密闭。</w:t>
      </w:r>
    </w:p>
    <w:p>
      <w:pPr>
        <w:rPr>
          <w:rFonts w:hint="default"/>
          <w:color w:val="auto"/>
          <w:highlight w:val="none"/>
          <w:lang w:val="en-US" w:eastAsia="zh-CN"/>
        </w:rPr>
      </w:pPr>
      <w:r>
        <w:rPr>
          <w:rFonts w:hint="default"/>
          <w:color w:val="auto"/>
          <w:highlight w:val="none"/>
          <w:lang w:val="en-US" w:eastAsia="zh-CN"/>
        </w:rPr>
        <w:t>②VOCs无组织排放废气收集处理系统要求</w:t>
      </w:r>
    </w:p>
    <w:p>
      <w:pPr>
        <w:numPr>
          <w:ilvl w:val="0"/>
          <w:numId w:val="9"/>
        </w:numPr>
        <w:bidi w:val="0"/>
        <w:rPr>
          <w:rFonts w:hint="default"/>
          <w:color w:val="auto"/>
          <w:highlight w:val="none"/>
          <w:lang w:val="en-US" w:eastAsia="zh-CN"/>
        </w:rPr>
      </w:pPr>
      <w:r>
        <w:rPr>
          <w:rFonts w:hint="default"/>
          <w:color w:val="auto"/>
          <w:highlight w:val="none"/>
          <w:lang w:val="en-US" w:eastAsia="zh-CN"/>
        </w:rPr>
        <w:t>VOCs 废气收集处理系统应与生产工艺设备同步运行。</w:t>
      </w:r>
    </w:p>
    <w:p>
      <w:pPr>
        <w:numPr>
          <w:ilvl w:val="0"/>
          <w:numId w:val="9"/>
        </w:numPr>
        <w:bidi w:val="0"/>
        <w:rPr>
          <w:rFonts w:hint="default"/>
          <w:color w:val="auto"/>
          <w:highlight w:val="none"/>
          <w:lang w:val="en-US" w:eastAsia="zh-CN"/>
        </w:rPr>
      </w:pPr>
      <w:r>
        <w:rPr>
          <w:rFonts w:hint="default"/>
          <w:color w:val="auto"/>
          <w:highlight w:val="none"/>
          <w:lang w:val="en-US" w:eastAsia="zh-CN"/>
        </w:rPr>
        <w:t>废气收集系统排风罩(集气罩)的设置应符合GB/T 16758 的规定。</w:t>
      </w:r>
    </w:p>
    <w:p>
      <w:pPr>
        <w:numPr>
          <w:ilvl w:val="0"/>
          <w:numId w:val="9"/>
        </w:numPr>
        <w:bidi w:val="0"/>
        <w:rPr>
          <w:rFonts w:hint="default"/>
          <w:color w:val="auto"/>
          <w:highlight w:val="none"/>
          <w:lang w:val="en-US" w:eastAsia="zh-CN"/>
        </w:rPr>
      </w:pPr>
      <w:r>
        <w:rPr>
          <w:rFonts w:hint="default"/>
          <w:color w:val="auto"/>
          <w:highlight w:val="none"/>
          <w:lang w:val="en-US" w:eastAsia="zh-CN"/>
        </w:rPr>
        <w:t>废气收集系统的输送管道应密闭。</w:t>
      </w:r>
    </w:p>
    <w:p>
      <w:pPr>
        <w:numPr>
          <w:ilvl w:val="0"/>
          <w:numId w:val="9"/>
        </w:numPr>
        <w:bidi w:val="0"/>
        <w:rPr>
          <w:rFonts w:hint="default"/>
          <w:color w:val="auto"/>
          <w:highlight w:val="none"/>
          <w:lang w:val="en-US" w:eastAsia="zh-CN"/>
        </w:rPr>
      </w:pPr>
      <w:r>
        <w:rPr>
          <w:rFonts w:hint="default"/>
          <w:color w:val="auto"/>
          <w:highlight w:val="none"/>
          <w:lang w:val="en-US" w:eastAsia="zh-CN"/>
        </w:rPr>
        <w:t>VOCs 废气收集处理系统污染物排放应符合GB 16297 或相关行业排放标准的规定。</w:t>
      </w:r>
    </w:p>
    <w:p>
      <w:pPr>
        <w:numPr>
          <w:ilvl w:val="0"/>
          <w:numId w:val="9"/>
        </w:numPr>
        <w:bidi w:val="0"/>
        <w:rPr>
          <w:rFonts w:hint="default"/>
          <w:color w:val="auto"/>
          <w:highlight w:val="none"/>
          <w:lang w:val="en-US" w:eastAsia="zh-CN"/>
        </w:rPr>
      </w:pPr>
      <w:r>
        <w:rPr>
          <w:rFonts w:hint="default"/>
          <w:color w:val="auto"/>
          <w:highlight w:val="none"/>
          <w:lang w:val="en-US" w:eastAsia="zh-CN"/>
        </w:rPr>
        <w:t>企业应建立台账，记录废气收集系统、VOCs 处理设施的主要运行和维护信息，如运行时间、废气处理量、操作温度、停留时间、吸附剂再生/更换周期和更换量等关键运行参数。台账保存期限不少于3 年。</w:t>
      </w:r>
    </w:p>
    <w:p>
      <w:pPr>
        <w:rPr>
          <w:rFonts w:hint="default"/>
          <w:color w:val="auto"/>
          <w:highlight w:val="none"/>
          <w:lang w:val="en-US" w:eastAsia="zh-CN"/>
        </w:rPr>
      </w:pPr>
      <w:r>
        <w:rPr>
          <w:rFonts w:hint="default"/>
          <w:color w:val="auto"/>
          <w:highlight w:val="none"/>
          <w:lang w:val="en-US" w:eastAsia="zh-CN"/>
        </w:rPr>
        <w:t>③企业厂区内及周边污染监控要求</w:t>
      </w:r>
    </w:p>
    <w:p>
      <w:pPr>
        <w:rPr>
          <w:rFonts w:hint="default"/>
          <w:color w:val="auto"/>
          <w:highlight w:val="none"/>
          <w:lang w:val="en-US" w:eastAsia="zh-CN"/>
        </w:rPr>
      </w:pPr>
      <w:r>
        <w:rPr>
          <w:rFonts w:hint="default"/>
          <w:color w:val="auto"/>
          <w:highlight w:val="none"/>
          <w:lang w:val="en-US" w:eastAsia="zh-CN"/>
        </w:rPr>
        <w:t>企业边界及周边VOCs 监控要求执行GB 16297 或相关行业排放标准的规定。</w:t>
      </w:r>
    </w:p>
    <w:p>
      <w:pPr>
        <w:rPr>
          <w:rFonts w:hint="default"/>
          <w:color w:val="auto"/>
          <w:highlight w:val="none"/>
          <w:lang w:val="en-US" w:eastAsia="zh-CN"/>
        </w:rPr>
      </w:pPr>
      <w:r>
        <w:rPr>
          <w:rFonts w:hint="default"/>
          <w:color w:val="auto"/>
          <w:highlight w:val="none"/>
          <w:lang w:val="en-US" w:eastAsia="zh-CN"/>
        </w:rPr>
        <w:t>④污染物监测要求</w:t>
      </w:r>
    </w:p>
    <w:p>
      <w:pPr>
        <w:bidi w:val="0"/>
        <w:rPr>
          <w:rFonts w:hint="default"/>
          <w:color w:val="auto"/>
          <w:highlight w:val="none"/>
          <w:lang w:val="en-US" w:eastAsia="zh-CN"/>
        </w:rPr>
      </w:pPr>
      <w:r>
        <w:rPr>
          <w:rFonts w:hint="default"/>
          <w:color w:val="auto"/>
          <w:highlight w:val="none"/>
          <w:lang w:val="en-US" w:eastAsia="zh-CN"/>
        </w:rPr>
        <w:t>A.企业应按照有关法律、《环境监测管理办法》和HJ 819 等规定，建立企业监测制度，制订监测方案，对污染物排放状况及其对周边环境质量的影响开展自行监测，保存原始监测记录，并公布监测结果。</w:t>
      </w:r>
    </w:p>
    <w:p>
      <w:pPr>
        <w:bidi w:val="0"/>
        <w:rPr>
          <w:rFonts w:hint="default"/>
          <w:color w:val="auto"/>
          <w:highlight w:val="none"/>
          <w:lang w:val="en-US" w:eastAsia="zh-CN"/>
        </w:rPr>
      </w:pPr>
      <w:r>
        <w:rPr>
          <w:rFonts w:hint="default"/>
          <w:color w:val="auto"/>
          <w:highlight w:val="none"/>
          <w:lang w:val="en-US" w:eastAsia="zh-CN"/>
        </w:rPr>
        <w:t>B.企业边界及周边VOCs 监测按HJ/T 55 的规定执行。</w:t>
      </w:r>
    </w:p>
    <w:p>
      <w:pPr>
        <w:pStyle w:val="4"/>
        <w:bidi w:val="0"/>
        <w:rPr>
          <w:rFonts w:hint="default"/>
          <w:color w:val="auto"/>
          <w:lang w:val="en-US" w:eastAsia="zh-CN"/>
        </w:rPr>
      </w:pPr>
      <w:r>
        <w:rPr>
          <w:rFonts w:hint="default"/>
          <w:color w:val="auto"/>
          <w:lang w:val="en-US" w:eastAsia="zh-CN"/>
        </w:rPr>
        <w:t>挥发性有机物无组织排放控制措施符合性分析</w:t>
      </w:r>
    </w:p>
    <w:p>
      <w:pPr>
        <w:rPr>
          <w:rFonts w:hint="default"/>
          <w:color w:val="auto"/>
          <w:lang w:val="en-US" w:eastAsia="zh-CN"/>
        </w:rPr>
      </w:pPr>
      <w:r>
        <w:rPr>
          <w:rFonts w:hint="default"/>
          <w:color w:val="auto"/>
          <w:lang w:val="en-US" w:eastAsia="zh-CN"/>
        </w:rPr>
        <w:t>本项目无组织废气主要为挥发性有机废气</w:t>
      </w:r>
      <w:r>
        <w:rPr>
          <w:rFonts w:hint="eastAsia"/>
          <w:color w:val="auto"/>
          <w:lang w:val="en-US" w:eastAsia="zh-CN"/>
        </w:rPr>
        <w:t>、颗粒物</w:t>
      </w:r>
      <w:r>
        <w:rPr>
          <w:rFonts w:hint="default"/>
          <w:color w:val="auto"/>
          <w:lang w:val="en-US" w:eastAsia="zh-CN"/>
        </w:rPr>
        <w:t xml:space="preserve">和污水处理站废气等，根据《排污许可证申请与核发技术规范 </w:t>
      </w:r>
      <w:r>
        <w:rPr>
          <w:rFonts w:hint="eastAsia"/>
          <w:color w:val="auto"/>
          <w:lang w:val="en-US" w:eastAsia="zh-CN"/>
        </w:rPr>
        <w:t>化学纤维制造业</w:t>
      </w:r>
      <w:r>
        <w:rPr>
          <w:rFonts w:hint="default"/>
          <w:color w:val="auto"/>
          <w:lang w:val="en-US" w:eastAsia="zh-CN"/>
        </w:rPr>
        <w:t>》（HJ 110</w:t>
      </w:r>
      <w:r>
        <w:rPr>
          <w:rFonts w:hint="eastAsia"/>
          <w:color w:val="auto"/>
          <w:lang w:val="en-US" w:eastAsia="zh-CN"/>
        </w:rPr>
        <w:t>2</w:t>
      </w:r>
      <w:r>
        <w:rPr>
          <w:rFonts w:hint="default"/>
          <w:color w:val="auto"/>
          <w:lang w:val="en-US" w:eastAsia="zh-CN"/>
        </w:rPr>
        <w:t>-2020）</w:t>
      </w:r>
      <w:r>
        <w:rPr>
          <w:rFonts w:hint="eastAsia"/>
          <w:color w:val="auto"/>
          <w:lang w:val="en-US" w:eastAsia="zh-CN"/>
        </w:rPr>
        <w:t>中对仅有纺丝、后处理工序的独立合成纤维排污单位和锦纶、涤纶帘子布排污单位的挥发性有机物无组织排放控制措施应满足GB 37822相关要求。本项目与GB37822符合性分析详见</w:t>
      </w:r>
      <w:r>
        <w:rPr>
          <w:rFonts w:hint="eastAsia"/>
          <w:color w:val="auto"/>
          <w:lang w:val="en-US" w:eastAsia="zh-CN"/>
        </w:rPr>
        <w:fldChar w:fldCharType="begin"/>
      </w:r>
      <w:r>
        <w:rPr>
          <w:rFonts w:hint="eastAsia"/>
          <w:color w:val="auto"/>
          <w:lang w:val="en-US" w:eastAsia="zh-CN"/>
        </w:rPr>
        <w:instrText xml:space="preserve"> REF _Ref27131 \n \h </w:instrText>
      </w:r>
      <w:r>
        <w:rPr>
          <w:rFonts w:hint="eastAsia"/>
          <w:color w:val="auto"/>
          <w:lang w:val="en-US" w:eastAsia="zh-CN"/>
        </w:rPr>
        <w:fldChar w:fldCharType="separate"/>
      </w:r>
      <w:r>
        <w:rPr>
          <w:rFonts w:hint="eastAsia"/>
          <w:color w:val="auto"/>
          <w:lang w:val="en-US" w:eastAsia="zh-CN"/>
        </w:rPr>
        <w:t>表6.3-3</w:t>
      </w:r>
      <w:r>
        <w:rPr>
          <w:rFonts w:hint="eastAsia"/>
          <w:color w:val="auto"/>
          <w:lang w:val="en-US" w:eastAsia="zh-CN"/>
        </w:rPr>
        <w:fldChar w:fldCharType="end"/>
      </w:r>
      <w:r>
        <w:rPr>
          <w:rFonts w:hint="eastAsia"/>
          <w:color w:val="auto"/>
          <w:lang w:val="en-US" w:eastAsia="zh-CN"/>
        </w:rPr>
        <w:t>。由</w:t>
      </w:r>
      <w:r>
        <w:rPr>
          <w:rFonts w:hint="eastAsia"/>
          <w:color w:val="auto"/>
          <w:lang w:val="en-US" w:eastAsia="zh-CN"/>
        </w:rPr>
        <w:fldChar w:fldCharType="begin"/>
      </w:r>
      <w:r>
        <w:rPr>
          <w:rFonts w:hint="eastAsia"/>
          <w:color w:val="auto"/>
          <w:lang w:val="en-US" w:eastAsia="zh-CN"/>
        </w:rPr>
        <w:instrText xml:space="preserve"> REF _Ref27131 \n \h </w:instrText>
      </w:r>
      <w:r>
        <w:rPr>
          <w:rFonts w:hint="eastAsia"/>
          <w:color w:val="auto"/>
          <w:lang w:val="en-US" w:eastAsia="zh-CN"/>
        </w:rPr>
        <w:fldChar w:fldCharType="separate"/>
      </w:r>
      <w:r>
        <w:rPr>
          <w:rFonts w:hint="eastAsia"/>
          <w:color w:val="auto"/>
          <w:lang w:val="en-US" w:eastAsia="zh-CN"/>
        </w:rPr>
        <w:t>表6.3-3</w:t>
      </w:r>
      <w:r>
        <w:rPr>
          <w:rFonts w:hint="eastAsia"/>
          <w:color w:val="auto"/>
          <w:lang w:val="en-US" w:eastAsia="zh-CN"/>
        </w:rPr>
        <w:fldChar w:fldCharType="end"/>
      </w:r>
      <w:r>
        <w:rPr>
          <w:rFonts w:hint="eastAsia"/>
          <w:color w:val="auto"/>
          <w:lang w:val="en-US" w:eastAsia="zh-CN"/>
        </w:rPr>
        <w:t>分析可知，本项目与</w:t>
      </w:r>
      <w:r>
        <w:rPr>
          <w:rFonts w:hint="default"/>
          <w:color w:val="auto"/>
          <w:lang w:val="en-US" w:eastAsia="zh-CN"/>
        </w:rPr>
        <w:t xml:space="preserve">《排污许可证申请与核发技术规范 </w:t>
      </w:r>
      <w:r>
        <w:rPr>
          <w:rFonts w:hint="eastAsia"/>
          <w:color w:val="auto"/>
          <w:lang w:val="en-US" w:eastAsia="zh-CN"/>
        </w:rPr>
        <w:t>化学纤维制造业</w:t>
      </w:r>
      <w:r>
        <w:rPr>
          <w:rFonts w:hint="default"/>
          <w:color w:val="auto"/>
          <w:lang w:val="en-US" w:eastAsia="zh-CN"/>
        </w:rPr>
        <w:t>》（HJ 110</w:t>
      </w:r>
      <w:r>
        <w:rPr>
          <w:rFonts w:hint="eastAsia"/>
          <w:color w:val="auto"/>
          <w:lang w:val="en-US" w:eastAsia="zh-CN"/>
        </w:rPr>
        <w:t>2</w:t>
      </w:r>
      <w:r>
        <w:rPr>
          <w:rFonts w:hint="default"/>
          <w:color w:val="auto"/>
          <w:lang w:val="en-US" w:eastAsia="zh-CN"/>
        </w:rPr>
        <w:t>-2020）</w:t>
      </w:r>
      <w:r>
        <w:rPr>
          <w:rFonts w:hint="eastAsia"/>
          <w:color w:val="auto"/>
          <w:lang w:val="en-US" w:eastAsia="zh-CN"/>
        </w:rPr>
        <w:t>和《挥发性有机物无组织排放控制标准》(GB37822-2019)相符。</w:t>
      </w:r>
    </w:p>
    <w:p>
      <w:pPr>
        <w:pStyle w:val="24"/>
        <w:bidi w:val="0"/>
        <w:rPr>
          <w:rFonts w:hint="default"/>
          <w:color w:val="auto"/>
          <w:lang w:val="en-US" w:eastAsia="zh-CN"/>
        </w:rPr>
      </w:pPr>
      <w:bookmarkStart w:id="636" w:name="_Ref27131"/>
      <w:bookmarkEnd w:id="636"/>
      <w:r>
        <w:rPr>
          <w:rFonts w:hint="eastAsia"/>
          <w:color w:val="auto"/>
          <w:lang w:val="en-US" w:eastAsia="zh-CN"/>
        </w:rPr>
        <w:t>与《挥发性有机物无组织排放控制标准》(GB37822-2019)符合性分析</w:t>
      </w:r>
    </w:p>
    <w:tbl>
      <w:tblPr>
        <w:tblStyle w:val="1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1435"/>
        <w:gridCol w:w="3773"/>
        <w:gridCol w:w="2134"/>
        <w:gridCol w:w="10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9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序号</w:t>
            </w:r>
          </w:p>
        </w:tc>
        <w:tc>
          <w:tcPr>
            <w:tcW w:w="77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控制环节</w:t>
            </w:r>
          </w:p>
        </w:tc>
        <w:tc>
          <w:tcPr>
            <w:tcW w:w="203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default"/>
                <w:color w:val="auto"/>
                <w:lang w:val="en-US" w:eastAsia="zh-CN"/>
              </w:rPr>
              <w:t>《挥发性有机物无组织排放控制标准》(GB37822-2019)无组织控制要求</w:t>
            </w:r>
          </w:p>
        </w:tc>
        <w:tc>
          <w:tcPr>
            <w:tcW w:w="11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本项目</w:t>
            </w:r>
          </w:p>
        </w:tc>
        <w:tc>
          <w:tcPr>
            <w:tcW w:w="54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1</w:t>
            </w:r>
          </w:p>
        </w:tc>
        <w:tc>
          <w:tcPr>
            <w:tcW w:w="77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default"/>
                <w:color w:val="auto"/>
                <w:lang w:val="en-US" w:eastAsia="zh-CN"/>
              </w:rPr>
              <w:t>VOCs物料储存无组织排放控制要求</w:t>
            </w:r>
          </w:p>
        </w:tc>
        <w:tc>
          <w:tcPr>
            <w:tcW w:w="2032" w:type="pct"/>
            <w:tcBorders>
              <w:tl2br w:val="nil"/>
              <w:tr2bl w:val="nil"/>
            </w:tcBorders>
            <w:vAlign w:val="center"/>
          </w:tcPr>
          <w:p>
            <w:pPr>
              <w:pStyle w:val="21"/>
              <w:keepNext w:val="0"/>
              <w:keepLines w:val="0"/>
              <w:suppressLineNumbers w:val="0"/>
              <w:bidi w:val="0"/>
              <w:spacing w:before="0" w:beforeAutospacing="0" w:after="0" w:afterAutospacing="0"/>
              <w:ind w:right="0"/>
              <w:jc w:val="left"/>
              <w:rPr>
                <w:rFonts w:hint="default"/>
                <w:color w:val="auto"/>
                <w:lang w:val="en-US" w:eastAsia="zh-CN"/>
              </w:rPr>
            </w:pPr>
            <w:r>
              <w:rPr>
                <w:rFonts w:hint="eastAsia"/>
                <w:color w:val="auto"/>
                <w:lang w:val="en-US" w:eastAsia="zh-CN"/>
              </w:rPr>
              <w:t>①</w:t>
            </w:r>
            <w:r>
              <w:rPr>
                <w:rFonts w:hint="default"/>
                <w:color w:val="auto"/>
                <w:lang w:val="en-US" w:eastAsia="zh-CN"/>
              </w:rPr>
              <w:t>VOCs物料储存于密闭的容器、包装袋、储罐和仓库中；</w:t>
            </w:r>
          </w:p>
          <w:p>
            <w:pPr>
              <w:pStyle w:val="21"/>
              <w:keepNext w:val="0"/>
              <w:keepLines w:val="0"/>
              <w:suppressLineNumbers w:val="0"/>
              <w:bidi w:val="0"/>
              <w:spacing w:before="0" w:beforeAutospacing="0" w:after="0" w:afterAutospacing="0"/>
              <w:ind w:right="0"/>
              <w:jc w:val="left"/>
              <w:rPr>
                <w:rFonts w:hint="default"/>
                <w:color w:val="auto"/>
                <w:lang w:val="en-US" w:eastAsia="zh-CN"/>
              </w:rPr>
            </w:pPr>
            <w:r>
              <w:rPr>
                <w:rFonts w:hint="eastAsia"/>
                <w:color w:val="auto"/>
                <w:lang w:val="en-US" w:eastAsia="zh-CN"/>
              </w:rPr>
              <w:t>②</w:t>
            </w:r>
            <w:r>
              <w:rPr>
                <w:rFonts w:hint="default"/>
                <w:color w:val="auto"/>
                <w:lang w:val="en-US" w:eastAsia="zh-CN"/>
              </w:rPr>
              <w:t>盛装VOCs物料的容器或包装袋应存放于仓库内，具有防雨、遮阳和防渗设施的专用场地。盛装VOCs物料的容器或包装袋在非取用状态时应加盖、封口，保持密闭；</w:t>
            </w:r>
          </w:p>
          <w:p>
            <w:pPr>
              <w:pStyle w:val="21"/>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③</w:t>
            </w:r>
            <w:r>
              <w:rPr>
                <w:rFonts w:hint="default"/>
                <w:color w:val="auto"/>
                <w:lang w:val="en-US" w:eastAsia="zh-CN"/>
              </w:rPr>
              <w:t>VOCs物料储库、料仓应满足密闭空间要求。即：利用完整的围护结构将污染物质、作业场所等与周围空间阻隔所形成的封闭区域或封闭式建筑物。该封闭区域或封闭式建筑物除人员、车辆、设备、物料进出时，以及依法设立的排气筒、通风口外，门窗及其他开口(孔)部位应随时保持关闭状态</w:t>
            </w:r>
          </w:p>
        </w:tc>
        <w:tc>
          <w:tcPr>
            <w:tcW w:w="11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本项目涉及VOCs的物料主要为纺丝油剂，纺丝油剂为密闭桶装，纺丝油剂存放于原料仓库内，具有</w:t>
            </w:r>
            <w:r>
              <w:rPr>
                <w:rFonts w:hint="default"/>
                <w:color w:val="auto"/>
                <w:lang w:val="en-US" w:eastAsia="zh-CN"/>
              </w:rPr>
              <w:t>雨、遮阳和防渗设施</w:t>
            </w:r>
            <w:r>
              <w:rPr>
                <w:rFonts w:hint="eastAsia"/>
                <w:color w:val="auto"/>
                <w:lang w:val="en-US" w:eastAsia="zh-CN"/>
              </w:rPr>
              <w:t>，在</w:t>
            </w:r>
            <w:r>
              <w:rPr>
                <w:rFonts w:hint="default"/>
                <w:color w:val="auto"/>
                <w:lang w:val="en-US" w:eastAsia="zh-CN"/>
              </w:rPr>
              <w:t>非取用状态时</w:t>
            </w:r>
            <w:r>
              <w:rPr>
                <w:rFonts w:hint="eastAsia"/>
                <w:color w:val="auto"/>
                <w:lang w:val="en-US" w:eastAsia="zh-CN"/>
              </w:rPr>
              <w:t>对纺丝油剂桶</w:t>
            </w:r>
            <w:r>
              <w:rPr>
                <w:rFonts w:hint="default"/>
                <w:color w:val="auto"/>
                <w:lang w:val="en-US" w:eastAsia="zh-CN"/>
              </w:rPr>
              <w:t>加盖、封口，保持密闭</w:t>
            </w:r>
          </w:p>
        </w:tc>
        <w:tc>
          <w:tcPr>
            <w:tcW w:w="54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2</w:t>
            </w:r>
          </w:p>
        </w:tc>
        <w:tc>
          <w:tcPr>
            <w:tcW w:w="77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default"/>
                <w:color w:val="auto"/>
                <w:lang w:val="en-US" w:eastAsia="zh-CN"/>
              </w:rPr>
              <w:t>VOCs物料转移和输送无组织排放控制要求</w:t>
            </w:r>
          </w:p>
        </w:tc>
        <w:tc>
          <w:tcPr>
            <w:tcW w:w="2032" w:type="pct"/>
            <w:tcBorders>
              <w:tl2br w:val="nil"/>
              <w:tr2bl w:val="nil"/>
            </w:tcBorders>
            <w:vAlign w:val="center"/>
          </w:tcPr>
          <w:p>
            <w:pPr>
              <w:pStyle w:val="21"/>
              <w:keepNext w:val="0"/>
              <w:keepLines w:val="0"/>
              <w:suppressLineNumbers w:val="0"/>
              <w:bidi w:val="0"/>
              <w:spacing w:before="0" w:beforeAutospacing="0" w:after="0" w:afterAutospacing="0"/>
              <w:ind w:right="0"/>
              <w:jc w:val="left"/>
              <w:rPr>
                <w:rFonts w:hint="default"/>
                <w:color w:val="auto"/>
                <w:lang w:val="en-US" w:eastAsia="zh-CN"/>
              </w:rPr>
            </w:pPr>
            <w:r>
              <w:rPr>
                <w:rFonts w:hint="default"/>
                <w:color w:val="auto"/>
                <w:lang w:val="en-US" w:eastAsia="zh-CN"/>
              </w:rPr>
              <w:t>①液态VOCs物料应采用密闭管道输送。采用非管道输送方式转移液态VOCs物料时，应采用密闭容器、罐车。</w:t>
            </w:r>
          </w:p>
          <w:p>
            <w:pPr>
              <w:pStyle w:val="21"/>
              <w:keepNext w:val="0"/>
              <w:keepLines w:val="0"/>
              <w:suppressLineNumbers w:val="0"/>
              <w:bidi w:val="0"/>
              <w:spacing w:before="0" w:beforeAutospacing="0" w:after="0" w:afterAutospacing="0"/>
              <w:ind w:right="0"/>
              <w:jc w:val="left"/>
              <w:rPr>
                <w:rFonts w:hint="default"/>
                <w:color w:val="auto"/>
                <w:lang w:val="en-US" w:eastAsia="zh-CN"/>
              </w:rPr>
            </w:pPr>
            <w:r>
              <w:rPr>
                <w:rFonts w:hint="default"/>
                <w:color w:val="auto"/>
                <w:lang w:val="en-US" w:eastAsia="zh-CN"/>
              </w:rPr>
              <w:t>②粉状、粒状VOCs物料应采用气力输送设备、管状带式输送机、螺旋输送机等密闭输送方式，或者采用密闭的包装袋、容器或罐车进行物料转移。</w:t>
            </w:r>
          </w:p>
        </w:tc>
        <w:tc>
          <w:tcPr>
            <w:tcW w:w="11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纺丝油剂采用密闭管道输送</w:t>
            </w:r>
          </w:p>
        </w:tc>
        <w:tc>
          <w:tcPr>
            <w:tcW w:w="54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3</w:t>
            </w:r>
          </w:p>
        </w:tc>
        <w:tc>
          <w:tcPr>
            <w:tcW w:w="773"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敞开液面VOCs无组织排放控制要求</w:t>
            </w:r>
          </w:p>
        </w:tc>
        <w:tc>
          <w:tcPr>
            <w:tcW w:w="203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废水集输系统采用密闭管道输送，排入口和排出口采取与环境隔离的措施</w:t>
            </w:r>
          </w:p>
        </w:tc>
        <w:tc>
          <w:tcPr>
            <w:tcW w:w="11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生产废水采用密闭管道输送，对污水处理站主要构筑物采取密闭、加盖减少无组织废气排放</w:t>
            </w:r>
          </w:p>
        </w:tc>
        <w:tc>
          <w:tcPr>
            <w:tcW w:w="54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7"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4</w:t>
            </w:r>
          </w:p>
        </w:tc>
        <w:tc>
          <w:tcPr>
            <w:tcW w:w="773" w:type="pct"/>
            <w:vMerge w:val="restar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企业厂区及周边污染监控要求</w:t>
            </w:r>
          </w:p>
        </w:tc>
        <w:tc>
          <w:tcPr>
            <w:tcW w:w="203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企业边界及周边VOCs监控要求执行GB16297或相关行业排放标准的规定</w:t>
            </w:r>
          </w:p>
        </w:tc>
        <w:tc>
          <w:tcPr>
            <w:tcW w:w="11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企业边界及周边VOCs监控按</w:t>
            </w:r>
            <w:r>
              <w:rPr>
                <w:rFonts w:hint="default" w:ascii="Times New Roman" w:hAnsi="Times New Roman" w:cs="Times New Roman"/>
                <w:color w:val="auto"/>
                <w:highlight w:val="none"/>
                <w:lang w:val="en-US" w:eastAsia="zh-CN"/>
              </w:rPr>
              <w:t>DB35/1782-2018</w:t>
            </w:r>
            <w:r>
              <w:rPr>
                <w:rFonts w:hint="eastAsia" w:cs="Times New Roman"/>
                <w:color w:val="auto"/>
                <w:highlight w:val="none"/>
                <w:lang w:val="en-US" w:eastAsia="zh-CN"/>
              </w:rPr>
              <w:t>和GB37822-2019执行</w:t>
            </w:r>
          </w:p>
        </w:tc>
        <w:tc>
          <w:tcPr>
            <w:tcW w:w="54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7"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773" w:type="pct"/>
            <w:vMerge w:val="continue"/>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p>
        </w:tc>
        <w:tc>
          <w:tcPr>
            <w:tcW w:w="2032"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对厂区内VOCs无组织排放进行监控时，在厂房门口或通风口、其他开口（孔）等排放口1 m，距离地面1.5 m以上位置处进行监测。若厂房不完整（如有顶无围墙），则在操作工位下风向1m，距离地面1.5 m以上位置处进行监测</w:t>
            </w:r>
          </w:p>
        </w:tc>
        <w:tc>
          <w:tcPr>
            <w:tcW w:w="1149"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厂区内按要求设置3个厂内VOCs无组织监控点，分布于主要门口和通风口</w:t>
            </w:r>
          </w:p>
        </w:tc>
        <w:tc>
          <w:tcPr>
            <w:tcW w:w="547" w:type="pct"/>
            <w:tcBorders>
              <w:tl2br w:val="nil"/>
              <w:tr2bl w:val="nil"/>
            </w:tcBorders>
            <w:vAlign w:val="center"/>
          </w:tcPr>
          <w:p>
            <w:pPr>
              <w:pStyle w:val="21"/>
              <w:keepNext w:val="0"/>
              <w:keepLines w:val="0"/>
              <w:suppressLineNumbers w:val="0"/>
              <w:bidi w:val="0"/>
              <w:spacing w:before="0" w:beforeAutospacing="0" w:after="0" w:afterAutospacing="0"/>
              <w:ind w:right="0"/>
              <w:jc w:val="center"/>
              <w:rPr>
                <w:rFonts w:hint="default"/>
                <w:color w:val="auto"/>
                <w:lang w:val="en-US" w:eastAsia="zh-CN"/>
              </w:rPr>
            </w:pPr>
            <w:r>
              <w:rPr>
                <w:rFonts w:hint="eastAsia"/>
                <w:color w:val="auto"/>
                <w:lang w:val="en-US" w:eastAsia="zh-CN"/>
              </w:rPr>
              <w:t>符合</w:t>
            </w:r>
          </w:p>
        </w:tc>
      </w:tr>
    </w:tbl>
    <w:p>
      <w:pPr>
        <w:pStyle w:val="4"/>
        <w:numPr>
          <w:ilvl w:val="2"/>
          <w:numId w:val="7"/>
        </w:numPr>
        <w:tabs>
          <w:tab w:val="left" w:pos="420"/>
        </w:tabs>
        <w:bidi w:val="0"/>
        <w:rPr>
          <w:rFonts w:hint="default"/>
          <w:color w:val="auto"/>
          <w:highlight w:val="none"/>
          <w:lang w:val="en-US" w:eastAsia="zh-CN"/>
        </w:rPr>
      </w:pPr>
      <w:r>
        <w:rPr>
          <w:rFonts w:hint="default"/>
          <w:color w:val="auto"/>
          <w:highlight w:val="none"/>
          <w:lang w:val="en-US" w:eastAsia="zh-CN"/>
        </w:rPr>
        <w:t>废水治理措施及其可行性分析</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废水处理方式</w:t>
      </w:r>
    </w:p>
    <w:p>
      <w:pPr>
        <w:rPr>
          <w:rFonts w:hint="default" w:ascii="Times New Roman" w:hAnsi="Times New Roman" w:eastAsia="宋体" w:cs="Times New Roman"/>
          <w:bCs/>
          <w:color w:val="auto"/>
          <w:sz w:val="24"/>
          <w:szCs w:val="28"/>
          <w:highlight w:val="none"/>
          <w:u w:val="none" w:color="auto"/>
          <w:lang w:val="en-US" w:eastAsia="zh-CN" w:bidi="ar-SA"/>
        </w:rPr>
      </w:pPr>
      <w:r>
        <w:rPr>
          <w:rFonts w:hint="eastAsia" w:cs="Times New Roman"/>
          <w:color w:val="auto"/>
          <w:highlight w:val="none"/>
          <w:lang w:val="en-US" w:eastAsia="zh-CN"/>
        </w:rPr>
        <w:t>项目产生的生产废水主要包括：组件清洗废水、水浴槽废水、喷淋塔废水、地面冲洗废水、水环真空泵废水。生产废水经厂内污水处理站（处理工艺：</w:t>
      </w:r>
      <w:r>
        <w:rPr>
          <w:rFonts w:hint="default" w:ascii="Times New Roman" w:hAnsi="Times New Roman" w:cs="Times New Roman"/>
          <w:color w:val="auto"/>
          <w:highlight w:val="none"/>
          <w:lang w:val="en-US" w:eastAsia="zh-CN"/>
        </w:rPr>
        <w:t>气浮+水解酸化+</w:t>
      </w:r>
      <w:r>
        <w:rPr>
          <w:rFonts w:hint="eastAsia"/>
          <w:color w:val="auto"/>
          <w:highlight w:val="none"/>
          <w:lang w:val="en-US" w:eastAsia="zh-CN"/>
        </w:rPr>
        <w:t>A/O池</w:t>
      </w:r>
      <w:r>
        <w:rPr>
          <w:rFonts w:hint="default" w:ascii="Times New Roman" w:hAnsi="Times New Roman" w:cs="Times New Roman"/>
          <w:color w:val="auto"/>
          <w:highlight w:val="none"/>
          <w:lang w:val="en-US" w:eastAsia="zh-CN"/>
        </w:rPr>
        <w:t>+MBR膜</w:t>
      </w:r>
      <w:r>
        <w:rPr>
          <w:rFonts w:hint="eastAsia" w:cs="Times New Roman"/>
          <w:color w:val="auto"/>
          <w:highlight w:val="none"/>
          <w:lang w:val="en-US" w:eastAsia="zh-CN"/>
        </w:rPr>
        <w:t>+板框压滤）处理达</w:t>
      </w:r>
      <w:r>
        <w:rPr>
          <w:rFonts w:hint="default" w:ascii="Times New Roman" w:hAnsi="Times New Roman" w:cs="Times New Roman"/>
          <w:color w:val="auto"/>
          <w:highlight w:val="none"/>
          <w:lang w:val="en-US" w:eastAsia="zh-CN"/>
        </w:rPr>
        <w:t>《合成树脂工业污染物排放标准》（GB3157</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-2015）中表1直接排放限值</w:t>
      </w:r>
      <w:r>
        <w:rPr>
          <w:rFonts w:hint="eastAsia" w:cs="Times New Roman"/>
          <w:color w:val="auto"/>
          <w:highlight w:val="none"/>
          <w:lang w:val="en-US" w:eastAsia="zh-CN"/>
        </w:rPr>
        <w:t>（石油类参照</w:t>
      </w:r>
      <w:r>
        <w:rPr>
          <w:rFonts w:hint="eastAsia"/>
          <w:color w:val="auto"/>
          <w:highlight w:val="none"/>
          <w:lang w:val="en-US" w:eastAsia="zh-CN"/>
        </w:rPr>
        <w:t>排放标准参照现有工程环评报告书10 mg/L的要求</w:t>
      </w:r>
      <w:r>
        <w:rPr>
          <w:rFonts w:hint="eastAsia" w:cs="Times New Roman"/>
          <w:color w:val="auto"/>
          <w:highlight w:val="none"/>
          <w:lang w:val="en-US" w:eastAsia="zh-CN"/>
        </w:rPr>
        <w:t>）后，排入园区污水管网，纳入牙城镇污水处理厂处理。</w:t>
      </w:r>
    </w:p>
    <w:p>
      <w:pPr>
        <w:bidi w:val="0"/>
        <w:rPr>
          <w:rFonts w:hint="eastAsia"/>
          <w:color w:val="auto"/>
          <w:highlight w:val="none"/>
          <w:lang w:val="en-US" w:eastAsia="zh-CN"/>
        </w:rPr>
      </w:pPr>
      <w:r>
        <w:rPr>
          <w:rFonts w:hint="eastAsia"/>
          <w:color w:val="auto"/>
          <w:highlight w:val="none"/>
          <w:lang w:val="en-US" w:eastAsia="zh-CN"/>
        </w:rPr>
        <w:t>生活污水经厂区内的化粪池处理达牙城镇污水处理厂进水水质标准后排入园区污水管网，纳入牙城镇污水处理厂深度处理，尾水排入东澳水库3#滞洪区。</w:t>
      </w:r>
      <w:r>
        <w:rPr>
          <w:rFonts w:hint="default" w:ascii="Times New Roman" w:hAnsi="Times New Roman" w:cs="Times New Roman"/>
          <w:color w:val="auto"/>
          <w:highlight w:val="none"/>
          <w:lang w:val="en-US" w:eastAsia="zh-CN"/>
        </w:rPr>
        <w:t>牙城镇污水处理厂</w:t>
      </w:r>
      <w:r>
        <w:rPr>
          <w:rFonts w:hint="eastAsia" w:cs="Times New Roman"/>
          <w:color w:val="auto"/>
          <w:highlight w:val="none"/>
          <w:lang w:val="en-US" w:eastAsia="zh-CN"/>
        </w:rPr>
        <w:t>目前在进行提标改造可行性研究报告编制阶段，近期</w:t>
      </w:r>
      <w:r>
        <w:rPr>
          <w:rFonts w:hint="default" w:ascii="Times New Roman" w:hAnsi="Times New Roman" w:cs="Times New Roman"/>
          <w:color w:val="auto"/>
          <w:highlight w:val="none"/>
          <w:lang w:val="en-US" w:eastAsia="zh-CN"/>
        </w:rPr>
        <w:t>尾水排放标准执行《城镇污水处理厂污染物排放标准》（GB18918-2012）表1中一级B标准，</w:t>
      </w:r>
      <w:r>
        <w:rPr>
          <w:rFonts w:hint="eastAsia" w:cs="Times New Roman"/>
          <w:color w:val="auto"/>
          <w:highlight w:val="none"/>
          <w:lang w:val="en-US" w:eastAsia="zh-CN"/>
        </w:rPr>
        <w:t>待远期提标改造工程实施后执行</w:t>
      </w:r>
      <w:r>
        <w:rPr>
          <w:rFonts w:hint="default" w:ascii="Times New Roman" w:hAnsi="Times New Roman" w:cs="Times New Roman"/>
          <w:color w:val="auto"/>
          <w:highlight w:val="none"/>
          <w:lang w:val="en-US" w:eastAsia="zh-CN"/>
        </w:rPr>
        <w:t>《城镇污水处理厂污染物排放标准》（GB18918-2012）表1中一级</w:t>
      </w:r>
      <w:r>
        <w:rPr>
          <w:rFonts w:hint="eastAsia" w:cs="Times New Roman"/>
          <w:color w:val="auto"/>
          <w:highlight w:val="none"/>
          <w:lang w:val="en-US" w:eastAsia="zh-CN"/>
        </w:rPr>
        <w:t>A</w:t>
      </w:r>
      <w:r>
        <w:rPr>
          <w:rFonts w:hint="default" w:ascii="Times New Roman" w:hAnsi="Times New Roman" w:cs="Times New Roman"/>
          <w:color w:val="auto"/>
          <w:highlight w:val="none"/>
          <w:lang w:val="en-US" w:eastAsia="zh-CN"/>
        </w:rPr>
        <w:t>标准</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本项目</w:t>
      </w:r>
      <w:r>
        <w:rPr>
          <w:rFonts w:hint="eastAsia"/>
          <w:color w:val="auto"/>
          <w:highlight w:val="none"/>
          <w:lang w:val="en-US" w:eastAsia="zh-CN"/>
        </w:rPr>
        <w:t>生产</w:t>
      </w:r>
      <w:r>
        <w:rPr>
          <w:rFonts w:hint="default"/>
          <w:color w:val="auto"/>
          <w:highlight w:val="none"/>
          <w:lang w:val="en-US" w:eastAsia="zh-CN"/>
        </w:rPr>
        <w:t>废水处理工艺说明</w:t>
      </w:r>
    </w:p>
    <w:p>
      <w:pPr>
        <w:bidi w:val="0"/>
        <w:rPr>
          <w:rFonts w:hint="eastAsia"/>
          <w:color w:val="auto"/>
          <w:highlight w:val="none"/>
          <w:lang w:val="en-US" w:eastAsia="zh-CN"/>
        </w:rPr>
      </w:pPr>
      <w:r>
        <w:rPr>
          <w:rFonts w:hint="eastAsia"/>
          <w:color w:val="auto"/>
          <w:highlight w:val="none"/>
          <w:lang w:val="en-US" w:eastAsia="zh-CN"/>
        </w:rPr>
        <w:t>本项目在厂区内自建污水处理站，对生产废水进行预处理。污水处理站设计处理规模为50m</w:t>
      </w:r>
      <w:r>
        <w:rPr>
          <w:rFonts w:hint="eastAsia"/>
          <w:color w:val="auto"/>
          <w:highlight w:val="none"/>
          <w:vertAlign w:val="superscript"/>
          <w:lang w:val="en-US" w:eastAsia="zh-CN"/>
        </w:rPr>
        <w:t>3</w:t>
      </w:r>
      <w:r>
        <w:rPr>
          <w:rFonts w:hint="eastAsia"/>
          <w:color w:val="auto"/>
          <w:highlight w:val="none"/>
          <w:lang w:val="en-US" w:eastAsia="zh-CN"/>
        </w:rPr>
        <w:t>/d，污水处理站拟采用“气浮+水解酸化+A/O池+MBR膜+板框压滤”处理工艺。废水处理工艺流程简图如下图所示。</w:t>
      </w:r>
    </w:p>
    <w:p>
      <w:pPr>
        <w:pStyle w:val="21"/>
        <w:bidi w:val="0"/>
        <w:rPr>
          <w:rFonts w:hint="eastAsia" w:eastAsia="宋体"/>
          <w:color w:val="auto"/>
          <w:highlight w:val="none"/>
          <w:lang w:eastAsia="zh-CN"/>
        </w:rPr>
      </w:pPr>
    </w:p>
    <w:p>
      <w:pPr>
        <w:pStyle w:val="22"/>
        <w:numPr>
          <w:ilvl w:val="7"/>
          <w:numId w:val="7"/>
        </w:numPr>
        <w:bidi w:val="0"/>
        <w:rPr>
          <w:rFonts w:hint="eastAsia"/>
          <w:color w:val="auto"/>
          <w:highlight w:val="none"/>
          <w:lang w:val="en-US" w:eastAsia="zh-CN"/>
        </w:rPr>
      </w:pPr>
      <w:r>
        <w:rPr>
          <w:rFonts w:hint="eastAsia"/>
          <w:color w:val="auto"/>
          <w:highlight w:val="none"/>
          <w:lang w:val="en-US" w:eastAsia="zh-CN"/>
        </w:rPr>
        <w:t>污水处理站工艺流程图</w:t>
      </w:r>
    </w:p>
    <w:p>
      <w:pPr>
        <w:bidi w:val="0"/>
        <w:rPr>
          <w:rFonts w:hint="eastAsia"/>
          <w:color w:val="auto"/>
          <w:highlight w:val="none"/>
          <w:lang w:val="en-US" w:eastAsia="zh-CN"/>
        </w:rPr>
      </w:pPr>
      <w:r>
        <w:rPr>
          <w:rFonts w:hint="eastAsia"/>
          <w:color w:val="auto"/>
          <w:highlight w:val="none"/>
          <w:lang w:val="en-US" w:eastAsia="zh-CN"/>
        </w:rPr>
        <w:t>（1）调节池</w:t>
      </w:r>
    </w:p>
    <w:p>
      <w:pPr>
        <w:bidi w:val="0"/>
        <w:rPr>
          <w:rFonts w:hint="eastAsia"/>
          <w:color w:val="auto"/>
          <w:highlight w:val="none"/>
          <w:lang w:val="en-US" w:eastAsia="zh-CN"/>
        </w:rPr>
      </w:pPr>
      <w:r>
        <w:rPr>
          <w:rFonts w:hint="eastAsia"/>
          <w:color w:val="auto"/>
          <w:highlight w:val="none"/>
          <w:lang w:val="en-US" w:eastAsia="zh-CN"/>
        </w:rPr>
        <w:t>洗涤废水经格栅去除大块悬浮物后，自流入调节池，进行水量、水质、水温、pH调节。</w:t>
      </w:r>
    </w:p>
    <w:p>
      <w:pPr>
        <w:bidi w:val="0"/>
        <w:rPr>
          <w:rFonts w:hint="default"/>
          <w:color w:val="auto"/>
          <w:highlight w:val="none"/>
          <w:lang w:val="en-US" w:eastAsia="zh-CN"/>
        </w:rPr>
      </w:pPr>
      <w:r>
        <w:rPr>
          <w:rFonts w:hint="eastAsia"/>
          <w:color w:val="auto"/>
          <w:highlight w:val="none"/>
          <w:lang w:val="en-US" w:eastAsia="zh-CN"/>
        </w:rPr>
        <w:t>（2）混凝气浮机</w:t>
      </w:r>
    </w:p>
    <w:p>
      <w:pPr>
        <w:bidi w:val="0"/>
        <w:rPr>
          <w:rFonts w:hint="eastAsia"/>
          <w:color w:val="auto"/>
          <w:highlight w:val="none"/>
          <w:lang w:val="en-US" w:eastAsia="zh-CN"/>
        </w:rPr>
      </w:pPr>
      <w:r>
        <w:rPr>
          <w:rFonts w:hint="eastAsia"/>
          <w:color w:val="auto"/>
          <w:highlight w:val="none"/>
          <w:lang w:val="en-US" w:eastAsia="zh-CN"/>
        </w:rPr>
        <w:t>经过调节池处理的污水经提升泵送到混凝气浮机，运用絮凝和浮选原理使含油污水中的油类等杂质分离上浮，并将其去除。其工作原理为：清水经过射流吸气装置，在一定的工作压力下使空气最大限度地溶入水中，通过快速减压释放，形成直径为30-50μm 左右的小气泡。向原水中投加聚合氯化铝（投量一般为0.03%-0.3%），经絮凝反应进入接触区，在接触区内微气泡与原水中的絮体相互粘合并一起进入分离区，在气泡浮力的作用下，絮体与气泡一起上升至液面形成浮渣，然后由刮沫机刮至污泥区。下层的清水通过集水管自流至清水池。处理出水一部分回流，供溶气系统使用，另一部分则进入下一个处理环节。溶气水回流比为30%，废水在气浮分离室的停留时间为15-30min。出水自流到水解酸化池，含油浮渣通过刮板排到污泥池。</w:t>
      </w:r>
    </w:p>
    <w:p>
      <w:pPr>
        <w:numPr>
          <w:ilvl w:val="0"/>
          <w:numId w:val="10"/>
        </w:numPr>
        <w:bidi w:val="0"/>
        <w:rPr>
          <w:rFonts w:hint="default"/>
          <w:color w:val="auto"/>
          <w:highlight w:val="none"/>
          <w:lang w:val="en-US" w:eastAsia="zh-CN"/>
        </w:rPr>
      </w:pPr>
      <w:r>
        <w:rPr>
          <w:rFonts w:hint="eastAsia"/>
          <w:color w:val="auto"/>
          <w:highlight w:val="none"/>
          <w:lang w:val="en-US" w:eastAsia="zh-CN"/>
        </w:rPr>
        <w:t>水解酸化池</w:t>
      </w:r>
    </w:p>
    <w:p>
      <w:pPr>
        <w:bidi w:val="0"/>
        <w:rPr>
          <w:rFonts w:hint="default"/>
          <w:color w:val="auto"/>
          <w:highlight w:val="none"/>
          <w:lang w:val="en-US" w:eastAsia="zh-CN"/>
        </w:rPr>
      </w:pPr>
      <w:r>
        <w:rPr>
          <w:rFonts w:hint="default"/>
          <w:color w:val="auto"/>
          <w:highlight w:val="none"/>
          <w:lang w:val="en-US" w:eastAsia="zh-CN"/>
        </w:rPr>
        <w:t>水解酸化池设置较大容量的调节水解酸化池，均衡水质水量</w:t>
      </w:r>
      <w:r>
        <w:rPr>
          <w:rFonts w:hint="eastAsia"/>
          <w:color w:val="auto"/>
          <w:highlight w:val="none"/>
          <w:lang w:val="en-US" w:eastAsia="zh-CN"/>
        </w:rPr>
        <w:t>，</w:t>
      </w:r>
      <w:r>
        <w:rPr>
          <w:rFonts w:hint="default"/>
          <w:color w:val="auto"/>
          <w:highlight w:val="none"/>
          <w:lang w:val="en-US" w:eastAsia="zh-CN"/>
        </w:rPr>
        <w:t>池内设计生物</w:t>
      </w:r>
      <w:r>
        <w:rPr>
          <w:rFonts w:hint="eastAsia"/>
          <w:color w:val="auto"/>
          <w:highlight w:val="none"/>
          <w:lang w:val="en-US" w:eastAsia="zh-CN"/>
        </w:rPr>
        <w:t>填</w:t>
      </w:r>
      <w:r>
        <w:rPr>
          <w:rFonts w:hint="default"/>
          <w:color w:val="auto"/>
          <w:highlight w:val="none"/>
          <w:lang w:val="en-US" w:eastAsia="zh-CN"/>
        </w:rPr>
        <w:t>料，水解酸化通过在填料上形成生物膜，这样大幅度提高了处理系统中生物的滞留量，从而增加了处理效事，减小了反应器容积。其特点一是通过厌氧微生物分泌出的酶类促进大分子有机污染物(难生物降解)转化为小分子易生物降解的有机物，可提高污水的可生化性，便于后续的生化处理</w:t>
      </w:r>
      <w:r>
        <w:rPr>
          <w:rFonts w:hint="eastAsia"/>
          <w:color w:val="auto"/>
          <w:highlight w:val="none"/>
          <w:lang w:val="en-US" w:eastAsia="zh-CN"/>
        </w:rPr>
        <w:t>；</w:t>
      </w:r>
      <w:r>
        <w:rPr>
          <w:rFonts w:hint="default"/>
          <w:color w:val="auto"/>
          <w:highlight w:val="none"/>
          <w:lang w:val="en-US" w:eastAsia="zh-CN"/>
        </w:rPr>
        <w:t>二是该工艺过程只利用了厌氧反应的水解和酸化阶段，反应时间短</w:t>
      </w:r>
      <w:r>
        <w:rPr>
          <w:rFonts w:hint="eastAsia"/>
          <w:color w:val="auto"/>
          <w:highlight w:val="none"/>
          <w:lang w:val="en-US" w:eastAsia="zh-CN"/>
        </w:rPr>
        <w:t>；</w:t>
      </w:r>
      <w:r>
        <w:rPr>
          <w:rFonts w:hint="default"/>
          <w:color w:val="auto"/>
          <w:highlight w:val="none"/>
          <w:lang w:val="en-US" w:eastAsia="zh-CN"/>
        </w:rPr>
        <w:t>三是水解酸化菌大多为厌氧菌及部分兼氧菌，因此反应过程中不需要曝气充氧</w:t>
      </w:r>
      <w:r>
        <w:rPr>
          <w:rFonts w:hint="eastAsia"/>
          <w:color w:val="auto"/>
          <w:highlight w:val="none"/>
          <w:lang w:val="en-US" w:eastAsia="zh-CN"/>
        </w:rPr>
        <w:t>，</w:t>
      </w:r>
      <w:r>
        <w:rPr>
          <w:rFonts w:hint="default"/>
          <w:color w:val="auto"/>
          <w:highlight w:val="none"/>
          <w:lang w:val="en-US" w:eastAsia="zh-CN"/>
        </w:rPr>
        <w:t>能耗低，且可以承受较高的有机负荷。水解酸化工艺目前在国内无论是工艺废水还是生活污水都得到了广泛的运用，而且效果都比较明显。水解酸化主要是将原有废水中的非溶解性有机物转变为溶解性有机物，并且将其中难生物降解的有机物转变为易生物降解的有机物，减小有机物分子量，产生不完全氧化的产物，提高废水的可生化性，以利于后续的好氧处理。</w:t>
      </w:r>
    </w:p>
    <w:p>
      <w:pPr>
        <w:bidi w:val="0"/>
        <w:rPr>
          <w:rFonts w:hint="default"/>
          <w:color w:val="auto"/>
          <w:highlight w:val="none"/>
          <w:lang w:val="en-US" w:eastAsia="zh-CN"/>
        </w:rPr>
      </w:pPr>
      <w:r>
        <w:rPr>
          <w:rFonts w:hint="eastAsia"/>
          <w:color w:val="auto"/>
          <w:highlight w:val="none"/>
          <w:lang w:val="en-US" w:eastAsia="zh-CN"/>
        </w:rPr>
        <w:t>（4）A/O池</w:t>
      </w:r>
    </w:p>
    <w:p>
      <w:pPr>
        <w:bidi w:val="0"/>
        <w:rPr>
          <w:rFonts w:hint="default"/>
          <w:color w:val="auto"/>
          <w:highlight w:val="none"/>
          <w:lang w:val="en-US" w:eastAsia="zh-CN"/>
        </w:rPr>
      </w:pPr>
      <w:r>
        <w:rPr>
          <w:rFonts w:hint="default"/>
          <w:color w:val="auto"/>
          <w:highlight w:val="none"/>
          <w:lang w:val="en-US" w:eastAsia="zh-CN"/>
        </w:rPr>
        <w:t>A/O</w:t>
      </w:r>
      <w:r>
        <w:rPr>
          <w:rFonts w:hint="eastAsia"/>
          <w:color w:val="auto"/>
          <w:highlight w:val="none"/>
          <w:lang w:val="en-US" w:eastAsia="zh-CN"/>
        </w:rPr>
        <w:t>工艺法也叫缺氧好氧工艺法，A(Anoxio是缺氧段，用与脱氮除磷；O（Oxic）是好氧段，该工艺是传统活性行泥工艺、生物确化和反硝化工艺的结合。在缺氧段，异养菌将污水中的淀粉、纤维、碳水化合物等悬浮污染物和可溶性有机物水解为有机酸，使大分子有机物分解为小分子有机物，不溶性的有机物转化成可溶性有机物，当这些经缺氧水解的产物进入好氧池进行好氧处理时，可提高污水的可生化性及氧的效率；在缺氧段，异养菌将蛋白质、脂肪等污染物进行氨化(有机链上的N或氨基酸中的氨基)游离出氨(NH</w:t>
      </w:r>
      <w:r>
        <w:rPr>
          <w:rFonts w:hint="eastAsia"/>
          <w:color w:val="auto"/>
          <w:highlight w:val="none"/>
          <w:vertAlign w:val="subscript"/>
          <w:lang w:val="en-US" w:eastAsia="zh-CN"/>
        </w:rPr>
        <w:t>3</w:t>
      </w:r>
      <w:r>
        <w:rPr>
          <w:rFonts w:hint="eastAsia"/>
          <w:color w:val="auto"/>
          <w:highlight w:val="none"/>
          <w:lang w:val="en-US" w:eastAsia="zh-CN"/>
        </w:rPr>
        <w:t>、NH</w:t>
      </w:r>
      <w:r>
        <w:rPr>
          <w:rFonts w:hint="eastAsia"/>
          <w:color w:val="auto"/>
          <w:highlight w:val="none"/>
          <w:vertAlign w:val="subscript"/>
          <w:lang w:val="en-US" w:eastAsia="zh-CN"/>
        </w:rPr>
        <w:t>4</w:t>
      </w:r>
      <w:r>
        <w:rPr>
          <w:rFonts w:hint="eastAsia"/>
          <w:color w:val="auto"/>
          <w:highlight w:val="none"/>
          <w:vertAlign w:val="superscript"/>
          <w:lang w:val="en-US" w:eastAsia="zh-CN"/>
        </w:rPr>
        <w:t>+</w:t>
      </w:r>
      <w:r>
        <w:rPr>
          <w:rFonts w:hint="eastAsia"/>
          <w:color w:val="auto"/>
          <w:highlight w:val="none"/>
          <w:lang w:val="en-US" w:eastAsia="zh-CN"/>
        </w:rPr>
        <w:t>) ，在充足供氧条件下，自养菌的硝化作用将NH</w:t>
      </w:r>
      <w:r>
        <w:rPr>
          <w:rFonts w:hint="eastAsia"/>
          <w:color w:val="auto"/>
          <w:highlight w:val="none"/>
          <w:vertAlign w:val="subscript"/>
          <w:lang w:val="en-US" w:eastAsia="zh-CN"/>
        </w:rPr>
        <w:t>3</w:t>
      </w:r>
      <w:r>
        <w:rPr>
          <w:rFonts w:hint="eastAsia"/>
          <w:color w:val="auto"/>
          <w:highlight w:val="none"/>
          <w:lang w:val="en-US" w:eastAsia="zh-CN"/>
        </w:rPr>
        <w:t>-N (NH</w:t>
      </w:r>
      <w:r>
        <w:rPr>
          <w:rFonts w:hint="eastAsia"/>
          <w:color w:val="auto"/>
          <w:highlight w:val="none"/>
          <w:vertAlign w:val="superscript"/>
          <w:lang w:val="en-US" w:eastAsia="zh-CN"/>
        </w:rPr>
        <w:t>+</w:t>
      </w:r>
      <w:r>
        <w:rPr>
          <w:rFonts w:hint="eastAsia"/>
          <w:color w:val="auto"/>
          <w:highlight w:val="none"/>
          <w:lang w:val="en-US" w:eastAsia="zh-CN"/>
        </w:rPr>
        <w:t>)氧化为NO</w:t>
      </w:r>
      <w:r>
        <w:rPr>
          <w:rFonts w:hint="eastAsia"/>
          <w:color w:val="auto"/>
          <w:highlight w:val="none"/>
          <w:vertAlign w:val="subscript"/>
          <w:lang w:val="en-US" w:eastAsia="zh-CN"/>
        </w:rPr>
        <w:t>3</w:t>
      </w:r>
      <w:r>
        <w:rPr>
          <w:rFonts w:hint="eastAsia"/>
          <w:color w:val="auto"/>
          <w:highlight w:val="none"/>
          <w:vertAlign w:val="superscript"/>
          <w:lang w:val="en-US" w:eastAsia="zh-CN"/>
        </w:rPr>
        <w:t>-</w:t>
      </w:r>
      <w:r>
        <w:rPr>
          <w:rFonts w:hint="eastAsia"/>
          <w:color w:val="auto"/>
          <w:highlight w:val="none"/>
          <w:lang w:val="en-US" w:eastAsia="zh-CN"/>
        </w:rPr>
        <w:t>，通过回流控制返回至A池，在缺氧条件下，异氧菌的反硝化作用将NO</w:t>
      </w:r>
      <w:r>
        <w:rPr>
          <w:rFonts w:hint="eastAsia"/>
          <w:color w:val="auto"/>
          <w:highlight w:val="none"/>
          <w:vertAlign w:val="superscript"/>
          <w:lang w:val="en-US" w:eastAsia="zh-CN"/>
        </w:rPr>
        <w:t>-</w:t>
      </w:r>
      <w:r>
        <w:rPr>
          <w:rFonts w:hint="eastAsia"/>
          <w:color w:val="auto"/>
          <w:highlight w:val="none"/>
          <w:lang w:val="en-US" w:eastAsia="zh-CN"/>
        </w:rPr>
        <w:t>还原为分子态氮(N</w:t>
      </w:r>
      <w:r>
        <w:rPr>
          <w:rFonts w:hint="eastAsia"/>
          <w:color w:val="auto"/>
          <w:highlight w:val="none"/>
          <w:vertAlign w:val="subscript"/>
          <w:lang w:val="en-US" w:eastAsia="zh-CN"/>
        </w:rPr>
        <w:t>2</w:t>
      </w:r>
      <w:r>
        <w:rPr>
          <w:rFonts w:hint="eastAsia"/>
          <w:color w:val="auto"/>
          <w:highlight w:val="none"/>
          <w:lang w:val="en-US" w:eastAsia="zh-CN"/>
        </w:rPr>
        <w:t>)完成C、N、O在生态中的循环，实现污水处理。</w:t>
      </w:r>
    </w:p>
    <w:p>
      <w:pPr>
        <w:bidi w:val="0"/>
        <w:rPr>
          <w:rFonts w:hint="default"/>
          <w:color w:val="auto"/>
          <w:highlight w:val="none"/>
          <w:lang w:val="en-US" w:eastAsia="zh-CN"/>
        </w:rPr>
      </w:pPr>
      <w:r>
        <w:rPr>
          <w:rFonts w:hint="eastAsia"/>
          <w:color w:val="auto"/>
          <w:highlight w:val="none"/>
          <w:lang w:val="en-US" w:eastAsia="zh-CN"/>
        </w:rPr>
        <w:t>（5）MBR</w:t>
      </w:r>
    </w:p>
    <w:p>
      <w:pPr>
        <w:bidi w:val="0"/>
        <w:rPr>
          <w:rFonts w:hint="eastAsia"/>
          <w:color w:val="auto"/>
          <w:highlight w:val="none"/>
        </w:rPr>
      </w:pPr>
      <w:r>
        <w:rPr>
          <w:rFonts w:hint="eastAsia"/>
          <w:color w:val="auto"/>
          <w:highlight w:val="none"/>
        </w:rPr>
        <w:t>好氧池出水进入MBR膜池，利用沉浸于膜池内的膜分离组件截留池内的活性污泥与大分子有机物，从而实现高效固液分离。分离后的清水进入清水池，再通过规范化排放口达标排放。</w:t>
      </w:r>
    </w:p>
    <w:p>
      <w:pPr>
        <w:bidi w:val="0"/>
        <w:rPr>
          <w:color w:val="auto"/>
          <w:highlight w:val="none"/>
        </w:rPr>
      </w:pPr>
      <w:r>
        <w:rPr>
          <w:rFonts w:hint="eastAsia"/>
          <w:color w:val="auto"/>
          <w:highlight w:val="none"/>
        </w:rPr>
        <w:t>MBR膜池内的污泥部分回流到水解酸化池和好氧池，产生的少量剩余污泥排入污泥浓缩池，然后通过污泥泵送入压滤机脱水，泥饼定期外运处理</w:t>
      </w:r>
      <w:r>
        <w:rPr>
          <w:color w:val="auto"/>
          <w:highlight w:val="none"/>
        </w:rPr>
        <w:t>。</w:t>
      </w:r>
    </w:p>
    <w:p>
      <w:pPr>
        <w:bidi w:val="0"/>
        <w:rPr>
          <w:rFonts w:hint="eastAsia"/>
          <w:color w:val="auto"/>
          <w:highlight w:val="none"/>
          <w:lang w:val="en-US" w:eastAsia="zh-CN"/>
        </w:rPr>
      </w:pPr>
      <w:r>
        <w:rPr>
          <w:rFonts w:hint="eastAsia"/>
          <w:color w:val="auto"/>
          <w:highlight w:val="none"/>
          <w:lang w:val="en-US" w:eastAsia="zh-CN"/>
        </w:rPr>
        <w:t>（6）污泥池</w:t>
      </w:r>
    </w:p>
    <w:p>
      <w:pPr>
        <w:bidi w:val="0"/>
        <w:rPr>
          <w:rFonts w:hint="default"/>
          <w:color w:val="auto"/>
          <w:highlight w:val="none"/>
          <w:lang w:val="en-US" w:eastAsia="zh-CN"/>
        </w:rPr>
      </w:pPr>
      <w:r>
        <w:rPr>
          <w:rFonts w:hint="default"/>
          <w:color w:val="auto"/>
          <w:highlight w:val="none"/>
        </w:rPr>
        <w:t>沉淀池产生的污泥含水率很高，在污泥池中进行污泥浓缩，减少污泥体积。上清液排到</w:t>
      </w:r>
      <w:r>
        <w:rPr>
          <w:rFonts w:hint="default"/>
          <w:color w:val="auto"/>
          <w:highlight w:val="none"/>
          <w:lang w:eastAsia="zh-CN"/>
        </w:rPr>
        <w:t>调节</w:t>
      </w:r>
      <w:r>
        <w:rPr>
          <w:rFonts w:hint="default"/>
          <w:color w:val="auto"/>
          <w:highlight w:val="none"/>
        </w:rPr>
        <w:t>池中，浓缩的污泥经泵提升到</w:t>
      </w:r>
      <w:r>
        <w:rPr>
          <w:rFonts w:hint="eastAsia"/>
          <w:color w:val="auto"/>
          <w:highlight w:val="none"/>
          <w:lang w:val="en-US" w:eastAsia="zh-CN"/>
        </w:rPr>
        <w:t>板框</w:t>
      </w:r>
      <w:r>
        <w:rPr>
          <w:rFonts w:hint="default"/>
          <w:color w:val="auto"/>
          <w:highlight w:val="none"/>
        </w:rPr>
        <w:t>压滤机，压滤后外运</w:t>
      </w:r>
      <w:r>
        <w:rPr>
          <w:rFonts w:hint="default"/>
          <w:color w:val="auto"/>
          <w:highlight w:val="none"/>
          <w:lang w:eastAsia="zh-CN"/>
        </w:rPr>
        <w:t>制砖</w:t>
      </w:r>
      <w:r>
        <w:rPr>
          <w:rFonts w:hint="default"/>
          <w:color w:val="auto"/>
          <w:highlight w:val="none"/>
        </w:rPr>
        <w:t xml:space="preserve">。 </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污水处理设施</w:t>
      </w:r>
      <w:r>
        <w:rPr>
          <w:rFonts w:hint="eastAsia"/>
          <w:color w:val="auto"/>
          <w:highlight w:val="none"/>
          <w:lang w:val="en-US" w:eastAsia="zh-CN"/>
        </w:rPr>
        <w:t>可行性分析</w:t>
      </w:r>
    </w:p>
    <w:p>
      <w:pPr>
        <w:rPr>
          <w:rFonts w:hint="default"/>
          <w:color w:val="auto"/>
          <w:highlight w:val="none"/>
          <w:lang w:val="en-US" w:eastAsia="zh-CN"/>
        </w:rPr>
      </w:pPr>
      <w:r>
        <w:rPr>
          <w:rFonts w:hint="eastAsia"/>
          <w:color w:val="auto"/>
          <w:highlight w:val="none"/>
          <w:lang w:val="en-US" w:eastAsia="zh-CN"/>
        </w:rPr>
        <w:t>（1）水质处理效果可行性分析</w:t>
      </w:r>
    </w:p>
    <w:p>
      <w:pPr>
        <w:bidi w:val="0"/>
        <w:rPr>
          <w:rFonts w:hint="eastAsia"/>
          <w:color w:val="auto"/>
          <w:highlight w:val="none"/>
          <w:lang w:val="en-US" w:eastAsia="zh-CN"/>
        </w:rPr>
      </w:pPr>
      <w:r>
        <w:rPr>
          <w:rFonts w:hint="eastAsia"/>
          <w:color w:val="auto"/>
          <w:highlight w:val="none"/>
          <w:lang w:val="en-US" w:eastAsia="zh-CN"/>
        </w:rPr>
        <w:t>根据</w:t>
      </w:r>
      <w:r>
        <w:rPr>
          <w:color w:val="auto"/>
          <w:highlight w:val="none"/>
        </w:rPr>
        <w:t>《三废处理工程技术手册》(废水卷/北京市环境保护科学研究院等主编)中</w:t>
      </w:r>
      <w:r>
        <w:rPr>
          <w:rFonts w:hint="eastAsia"/>
          <w:color w:val="auto"/>
          <w:highlight w:val="none"/>
          <w:lang w:val="en-US" w:eastAsia="zh-CN"/>
        </w:rPr>
        <w:t>研究表面：气浮法的脱油率平均为75~90%、COD去除率为50~70%、BOD去除率为30~40%、SS去除率为85~95%；水解酸化池的COD去除率为40%、BOD去除率为60%、SS去除率为85%；A/O池的COD去除率为80~85%%、BOD去除率为大于90%。</w:t>
      </w:r>
    </w:p>
    <w:p>
      <w:pPr>
        <w:bidi w:val="0"/>
        <w:rPr>
          <w:rFonts w:hint="default"/>
          <w:color w:val="auto"/>
          <w:highlight w:val="none"/>
          <w:lang w:val="en-US" w:eastAsia="zh-CN"/>
        </w:rPr>
      </w:pPr>
      <w:r>
        <w:rPr>
          <w:rFonts w:hint="eastAsia"/>
          <w:color w:val="auto"/>
          <w:highlight w:val="none"/>
          <w:lang w:val="en-US" w:eastAsia="zh-CN"/>
        </w:rPr>
        <w:t>根据上海海洋大学海洋科学学院邓昕秩发表的《物化+水解酸化+两级A/O处理明胶废水的试验研究》一文中研究表明通过调节、沉淀、气浮后，氨氮和总氮的去除效率分别为22.6%和24.5%，水解酸化对氨氮和总氮基本无去除效果，A/O工艺对总氮和氨氮的去除效果明显，综合处理工艺（物化+水解酸化+两级A/O）总去除效率分别达到90.3%和90.5%。</w:t>
      </w:r>
    </w:p>
    <w:p>
      <w:pPr>
        <w:bidi w:val="0"/>
        <w:rPr>
          <w:rFonts w:hint="default" w:eastAsia="宋体"/>
          <w:color w:val="auto"/>
          <w:highlight w:val="none"/>
          <w:lang w:val="en-US" w:eastAsia="zh-CN"/>
        </w:rPr>
      </w:pPr>
      <w:r>
        <w:rPr>
          <w:rFonts w:hint="eastAsia"/>
          <w:color w:val="auto"/>
          <w:highlight w:val="none"/>
          <w:lang w:val="en-US" w:eastAsia="zh-CN"/>
        </w:rPr>
        <w:t>根据江西融汇环保技术有限公司韩雨华、李闽霞等发表的《关于MBR去除率影响因素的研究》一文中研究表明：MBR的COD去除率为82~95%、总磷去除率为76~90%。</w:t>
      </w:r>
    </w:p>
    <w:p>
      <w:pPr>
        <w:bidi w:val="0"/>
        <w:rPr>
          <w:rFonts w:hint="eastAsia"/>
          <w:color w:val="auto"/>
          <w:highlight w:val="none"/>
          <w:lang w:val="en-US" w:eastAsia="zh-CN"/>
        </w:rPr>
      </w:pPr>
      <w:r>
        <w:rPr>
          <w:rFonts w:hint="eastAsia"/>
          <w:color w:val="auto"/>
          <w:highlight w:val="none"/>
          <w:lang w:val="en-US" w:eastAsia="zh-CN"/>
        </w:rPr>
        <w:t>综上本项目污水处理站处理效果如下表所示。</w:t>
      </w:r>
    </w:p>
    <w:p>
      <w:pPr>
        <w:pStyle w:val="24"/>
        <w:numPr>
          <w:ilvl w:val="6"/>
          <w:numId w:val="7"/>
        </w:numPr>
        <w:tabs>
          <w:tab w:val="left" w:pos="420"/>
        </w:tabs>
        <w:bidi w:val="0"/>
        <w:rPr>
          <w:rFonts w:hint="eastAsia"/>
          <w:color w:val="auto"/>
          <w:highlight w:val="none"/>
          <w:lang w:val="en-US" w:eastAsia="zh-CN"/>
        </w:rPr>
      </w:pPr>
      <w:bookmarkStart w:id="637" w:name="_Ref819"/>
      <w:r>
        <w:rPr>
          <w:rFonts w:hint="eastAsia"/>
          <w:color w:val="auto"/>
          <w:highlight w:val="none"/>
          <w:lang w:val="en-US" w:eastAsia="zh-CN"/>
        </w:rPr>
        <w:t>项目废水处理方案各工艺段进出水质表    单位： mg/L</w:t>
      </w:r>
      <w:bookmarkEnd w:id="637"/>
    </w:p>
    <w:tbl>
      <w:tblPr>
        <w:tblStyle w:val="1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337"/>
        <w:gridCol w:w="978"/>
        <w:gridCol w:w="936"/>
        <w:gridCol w:w="912"/>
        <w:gridCol w:w="1021"/>
        <w:gridCol w:w="959"/>
        <w:gridCol w:w="1052"/>
        <w:gridCol w:w="912"/>
        <w:gridCol w:w="9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PrEx>
        <w:trPr>
          <w:trHeight w:val="340" w:hRule="atLeast"/>
          <w:tblHeader/>
        </w:trPr>
        <w:tc>
          <w:tcPr>
            <w:tcW w:w="734"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工艺段</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进出水</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COD</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BOD</w:t>
            </w:r>
            <w:r>
              <w:rPr>
                <w:color w:val="auto"/>
                <w:highlight w:val="none"/>
                <w:vertAlign w:val="subscript"/>
                <w:lang w:val="en-US" w:eastAsia="zh-CN"/>
              </w:rPr>
              <w:t>5</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SS</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氨氮</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总磷</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总氮</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restar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气浮机</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进水</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2644.98</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364</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383.28</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5.07</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0.237</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9.18</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出水</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1057.99</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236.60</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38.33</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3.95</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0.94</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6.98</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去除率%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60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35</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90</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rPr>
            </w:pPr>
            <w:r>
              <w:rPr>
                <w:rFonts w:hint="eastAsia"/>
                <w:color w:val="auto"/>
                <w:highlight w:val="none"/>
                <w:lang w:val="en-US" w:eastAsia="zh-CN"/>
              </w:rPr>
              <w:t>22</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eastAsia="宋体"/>
                <w:color w:val="auto"/>
                <w:highlight w:val="none"/>
                <w:lang w:val="en-US" w:eastAsia="zh-CN"/>
              </w:rPr>
            </w:pPr>
            <w:r>
              <w:rPr>
                <w:rFonts w:hint="eastAsia"/>
                <w:color w:val="auto"/>
                <w:highlight w:val="none"/>
                <w:lang w:val="en-US" w:eastAsia="zh-CN"/>
              </w:rPr>
              <w:t>-</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24</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restar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水解酸化池</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出水</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634.80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94.64</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5.75</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3.95</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0.94</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6.98</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去除率%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40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60</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85</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restar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A/O池</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出水</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126.96</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9.46</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5.75</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0.51</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0.94</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0.98</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去除率%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80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90</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rPr>
            </w:pPr>
            <w:r>
              <w:rPr>
                <w:rFonts w:hint="eastAsia"/>
                <w:color w:val="auto"/>
                <w:highlight w:val="none"/>
                <w:lang w:val="en-US" w:eastAsia="zh-CN"/>
              </w:rPr>
              <w:t>87</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86</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restar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MBR</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出水</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19.04</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9.46</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5.75</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0.51</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0.19</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1.84</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去除率%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85</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eastAsia" w:eastAsia="宋体"/>
                <w:color w:val="auto"/>
                <w:highlight w:val="none"/>
                <w:lang w:val="en-US" w:eastAsia="zh-CN"/>
              </w:rPr>
            </w:pPr>
            <w:r>
              <w:rPr>
                <w:rFonts w:hint="eastAsia"/>
                <w:color w:val="auto"/>
                <w:highlight w:val="none"/>
                <w:lang w:val="en-US" w:eastAsia="zh-CN"/>
              </w:rPr>
              <w:t>-</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80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1272" w:type="pct"/>
            <w:gridSpan w:val="2"/>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总去除率%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99.28</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97.4</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98.5</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90</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80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90</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1272" w:type="pct"/>
            <w:gridSpan w:val="2"/>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本环评去除率取值</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98</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95</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95</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rPr>
            </w:pPr>
            <w:r>
              <w:rPr>
                <w:rFonts w:hint="eastAsia"/>
                <w:color w:val="auto"/>
                <w:highlight w:val="none"/>
                <w:lang w:val="en-US" w:eastAsia="zh-CN"/>
              </w:rPr>
              <w:t>78</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80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80</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1272" w:type="pct"/>
            <w:gridSpan w:val="2"/>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总排口出水</w:t>
            </w:r>
          </w:p>
        </w:tc>
        <w:tc>
          <w:tcPr>
            <w:tcW w:w="936" w:type="dxa"/>
            <w:tcBorders>
              <w:tl2br w:val="nil"/>
              <w:tr2bl w:val="nil"/>
            </w:tcBorders>
            <w:shd w:val="clear" w:color="auto" w:fill="auto"/>
            <w:tcMar>
              <w:top w:w="15" w:type="dxa"/>
              <w:left w:w="15" w:type="dxa"/>
              <w:right w:w="15" w:type="dxa"/>
            </w:tcMar>
            <w:vAlign w:val="center"/>
          </w:tcPr>
          <w:p>
            <w:pPr>
              <w:pStyle w:val="21"/>
              <w:bidi w:val="0"/>
              <w:rPr>
                <w:rFonts w:hint="eastAsia"/>
                <w:color w:val="auto"/>
              </w:rPr>
            </w:pPr>
            <w:r>
              <w:rPr>
                <w:rFonts w:hint="default"/>
                <w:color w:val="auto"/>
                <w:lang w:val="en-US" w:eastAsia="zh-CN"/>
              </w:rPr>
              <w:t>52.9</w:t>
            </w:r>
          </w:p>
        </w:tc>
        <w:tc>
          <w:tcPr>
            <w:tcW w:w="912" w:type="dxa"/>
            <w:tcBorders>
              <w:tl2br w:val="nil"/>
              <w:tr2bl w:val="nil"/>
            </w:tcBorders>
            <w:shd w:val="clear" w:color="auto" w:fill="auto"/>
            <w:tcMar>
              <w:top w:w="15" w:type="dxa"/>
              <w:left w:w="15" w:type="dxa"/>
              <w:right w:w="15" w:type="dxa"/>
            </w:tcMar>
            <w:vAlign w:val="center"/>
          </w:tcPr>
          <w:p>
            <w:pPr>
              <w:pStyle w:val="21"/>
              <w:bidi w:val="0"/>
              <w:rPr>
                <w:rFonts w:hint="eastAsia"/>
                <w:color w:val="auto"/>
              </w:rPr>
            </w:pPr>
            <w:r>
              <w:rPr>
                <w:rFonts w:hint="default"/>
                <w:color w:val="auto"/>
                <w:lang w:val="en-US" w:eastAsia="zh-CN"/>
              </w:rPr>
              <w:t>18.2</w:t>
            </w:r>
          </w:p>
        </w:tc>
        <w:tc>
          <w:tcPr>
            <w:tcW w:w="1021" w:type="dxa"/>
            <w:tcBorders>
              <w:tl2br w:val="nil"/>
              <w:tr2bl w:val="nil"/>
            </w:tcBorders>
            <w:shd w:val="clear" w:color="auto" w:fill="auto"/>
            <w:tcMar>
              <w:top w:w="15" w:type="dxa"/>
              <w:left w:w="15" w:type="dxa"/>
              <w:right w:w="15" w:type="dxa"/>
            </w:tcMar>
            <w:vAlign w:val="center"/>
          </w:tcPr>
          <w:p>
            <w:pPr>
              <w:pStyle w:val="21"/>
              <w:bidi w:val="0"/>
              <w:rPr>
                <w:rFonts w:hint="eastAsia"/>
                <w:color w:val="auto"/>
              </w:rPr>
            </w:pPr>
            <w:r>
              <w:rPr>
                <w:rFonts w:hint="default"/>
                <w:color w:val="auto"/>
                <w:lang w:val="en-US" w:eastAsia="zh-CN"/>
              </w:rPr>
              <w:t>19.16</w:t>
            </w:r>
          </w:p>
        </w:tc>
        <w:tc>
          <w:tcPr>
            <w:tcW w:w="959" w:type="dxa"/>
            <w:tcBorders>
              <w:tl2br w:val="nil"/>
              <w:tr2bl w:val="nil"/>
            </w:tcBorders>
            <w:shd w:val="clear" w:color="auto" w:fill="auto"/>
            <w:tcMar>
              <w:top w:w="15" w:type="dxa"/>
              <w:left w:w="15" w:type="dxa"/>
              <w:right w:w="15" w:type="dxa"/>
            </w:tcMar>
            <w:vAlign w:val="center"/>
          </w:tcPr>
          <w:p>
            <w:pPr>
              <w:pStyle w:val="21"/>
              <w:bidi w:val="0"/>
              <w:rPr>
                <w:rFonts w:hint="eastAsia"/>
                <w:color w:val="auto"/>
              </w:rPr>
            </w:pPr>
            <w:r>
              <w:rPr>
                <w:rFonts w:hint="default"/>
                <w:color w:val="auto"/>
                <w:lang w:val="en-US" w:eastAsia="zh-CN"/>
              </w:rPr>
              <w:t>1.12</w:t>
            </w:r>
          </w:p>
        </w:tc>
        <w:tc>
          <w:tcPr>
            <w:tcW w:w="1052" w:type="dxa"/>
            <w:tcBorders>
              <w:tl2br w:val="nil"/>
              <w:tr2bl w:val="nil"/>
            </w:tcBorders>
            <w:shd w:val="clear" w:color="auto" w:fill="auto"/>
            <w:tcMar>
              <w:top w:w="15" w:type="dxa"/>
              <w:left w:w="15" w:type="dxa"/>
              <w:right w:w="15" w:type="dxa"/>
            </w:tcMar>
            <w:vAlign w:val="center"/>
          </w:tcPr>
          <w:p>
            <w:pPr>
              <w:pStyle w:val="21"/>
              <w:bidi w:val="0"/>
              <w:rPr>
                <w:rFonts w:hint="eastAsia"/>
                <w:color w:val="auto"/>
              </w:rPr>
            </w:pPr>
            <w:r>
              <w:rPr>
                <w:rFonts w:hint="default"/>
                <w:color w:val="auto"/>
                <w:lang w:val="en-US" w:eastAsia="zh-CN"/>
              </w:rPr>
              <w:t>0.19</w:t>
            </w:r>
          </w:p>
        </w:tc>
        <w:tc>
          <w:tcPr>
            <w:tcW w:w="912" w:type="dxa"/>
            <w:tcBorders>
              <w:tl2br w:val="nil"/>
              <w:tr2bl w:val="nil"/>
            </w:tcBorders>
            <w:shd w:val="clear" w:color="auto" w:fill="auto"/>
            <w:tcMar>
              <w:top w:w="15" w:type="dxa"/>
              <w:left w:w="15" w:type="dxa"/>
              <w:right w:w="15" w:type="dxa"/>
            </w:tcMar>
            <w:vAlign w:val="center"/>
          </w:tcPr>
          <w:p>
            <w:pPr>
              <w:pStyle w:val="21"/>
              <w:bidi w:val="0"/>
              <w:rPr>
                <w:rFonts w:hint="eastAsia"/>
                <w:color w:val="auto"/>
                <w:lang w:val="en-US" w:eastAsia="zh-CN"/>
              </w:rPr>
            </w:pPr>
            <w:r>
              <w:rPr>
                <w:rFonts w:hint="eastAsia"/>
                <w:color w:val="auto"/>
                <w:lang w:val="en-US" w:eastAsia="zh-CN"/>
              </w:rPr>
              <w:t>1.84</w:t>
            </w:r>
          </w:p>
        </w:tc>
        <w:tc>
          <w:tcPr>
            <w:tcW w:w="990" w:type="dxa"/>
            <w:tcBorders>
              <w:tl2br w:val="nil"/>
              <w:tr2bl w:val="nil"/>
            </w:tcBorders>
            <w:shd w:val="clear" w:color="auto" w:fill="auto"/>
            <w:tcMar>
              <w:top w:w="15" w:type="dxa"/>
              <w:left w:w="15" w:type="dxa"/>
              <w:right w:w="15" w:type="dxa"/>
            </w:tcMar>
            <w:vAlign w:val="center"/>
          </w:tcPr>
          <w:p>
            <w:pPr>
              <w:pStyle w:val="21"/>
              <w:bidi w:val="0"/>
              <w:rPr>
                <w:rFonts w:hint="eastAsia"/>
                <w:color w:val="auto"/>
              </w:rPr>
            </w:pPr>
            <w:r>
              <w:rPr>
                <w:rFonts w:hint="default"/>
                <w:color w:val="auto"/>
                <w:lang w:val="en-US" w:eastAsia="zh-CN"/>
              </w:rPr>
              <w:t>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restar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r>
              <w:rPr>
                <w:rFonts w:hint="default"/>
                <w:color w:val="auto"/>
                <w:highlight w:val="none"/>
                <w:lang w:val="en-US" w:eastAsia="zh-CN"/>
              </w:rPr>
              <w:t>GB3157</w:t>
            </w:r>
            <w:r>
              <w:rPr>
                <w:color w:val="auto"/>
                <w:highlight w:val="none"/>
                <w:lang w:val="en-US" w:eastAsia="zh-CN"/>
              </w:rPr>
              <w:t>2-2015表1直接排放标准限值</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标准</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60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20</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30</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8</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1</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40</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是否达标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lang w:val="en-US" w:eastAsia="zh-CN"/>
              </w:rPr>
            </w:pPr>
            <w:r>
              <w:rPr>
                <w:rFonts w:hint="eastAsia"/>
                <w:color w:val="auto"/>
                <w:highlight w:val="none"/>
                <w:lang w:val="en-US" w:eastAsia="zh-CN"/>
              </w:rPr>
              <w:t>达标</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trPr>
        <w:tc>
          <w:tcPr>
            <w:tcW w:w="734" w:type="pct"/>
            <w:vMerge w:val="restar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牙城镇污水处理厂接管标准</w:t>
            </w: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标准</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400</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200</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240</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35</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3</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40</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34" w:type="pct"/>
            <w:vMerge w:val="continue"/>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p>
        </w:tc>
        <w:tc>
          <w:tcPr>
            <w:tcW w:w="53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是否达标</w:t>
            </w:r>
          </w:p>
        </w:tc>
        <w:tc>
          <w:tcPr>
            <w:tcW w:w="51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6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27"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78"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c>
          <w:tcPr>
            <w:tcW w:w="501"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lang w:val="en-US" w:eastAsia="zh-CN"/>
              </w:rPr>
            </w:pPr>
            <w:r>
              <w:rPr>
                <w:rFonts w:hint="eastAsia"/>
                <w:color w:val="auto"/>
                <w:highlight w:val="none"/>
                <w:lang w:val="en-US" w:eastAsia="zh-CN"/>
              </w:rPr>
              <w:t>达标</w:t>
            </w:r>
          </w:p>
        </w:tc>
        <w:tc>
          <w:tcPr>
            <w:tcW w:w="544" w:type="pct"/>
            <w:tcBorders>
              <w:tl2br w:val="nil"/>
              <w:tr2bl w:val="nil"/>
            </w:tcBorders>
            <w:shd w:val="clear" w:color="auto" w:fill="auto"/>
            <w:tcMar>
              <w:top w:w="15" w:type="dxa"/>
              <w:left w:w="15" w:type="dxa"/>
              <w:right w:w="15" w:type="dxa"/>
            </w:tcMar>
            <w:vAlign w:val="center"/>
          </w:tcPr>
          <w:p>
            <w:pPr>
              <w:pStyle w:val="21"/>
              <w:bidi w:val="0"/>
              <w:rPr>
                <w:rFonts w:hint="eastAsia"/>
                <w:color w:val="auto"/>
                <w:highlight w:val="none"/>
              </w:rPr>
            </w:pPr>
            <w:r>
              <w:rPr>
                <w:rFonts w:hint="eastAsia"/>
                <w:color w:val="auto"/>
                <w:highlight w:val="none"/>
                <w:lang w:val="en-US" w:eastAsia="zh-CN"/>
              </w:rPr>
              <w:t>达标</w:t>
            </w:r>
          </w:p>
        </w:tc>
      </w:tr>
    </w:tbl>
    <w:p>
      <w:pPr>
        <w:bidi w:val="0"/>
        <w:rPr>
          <w:rFonts w:hint="eastAsia"/>
          <w:color w:val="auto"/>
          <w:highlight w:val="none"/>
          <w:lang w:val="en-US" w:eastAsia="zh-CN"/>
        </w:rPr>
      </w:pPr>
      <w:r>
        <w:rPr>
          <w:rFonts w:hint="eastAsia"/>
          <w:color w:val="auto"/>
          <w:highlight w:val="none"/>
          <w:lang w:val="en-US" w:eastAsia="zh-CN"/>
        </w:rPr>
        <w:t>根据</w:t>
      </w:r>
      <w:r>
        <w:rPr>
          <w:rFonts w:hint="eastAsia"/>
          <w:color w:val="auto"/>
          <w:highlight w:val="none"/>
          <w:lang w:val="en-US" w:eastAsia="zh-CN"/>
        </w:rPr>
        <w:fldChar w:fldCharType="begin"/>
      </w:r>
      <w:r>
        <w:rPr>
          <w:rFonts w:hint="eastAsia"/>
          <w:color w:val="auto"/>
          <w:highlight w:val="none"/>
          <w:lang w:val="en-US" w:eastAsia="zh-CN"/>
        </w:rPr>
        <w:instrText xml:space="preserve"> REF _Ref819 \n \h </w:instrText>
      </w:r>
      <w:r>
        <w:rPr>
          <w:rFonts w:hint="eastAsia"/>
          <w:color w:val="auto"/>
          <w:highlight w:val="none"/>
          <w:lang w:val="en-US" w:eastAsia="zh-CN"/>
        </w:rPr>
        <w:fldChar w:fldCharType="separate"/>
      </w:r>
      <w:r>
        <w:rPr>
          <w:rFonts w:hint="eastAsia"/>
          <w:color w:val="auto"/>
          <w:highlight w:val="none"/>
          <w:lang w:val="en-US" w:eastAsia="zh-CN"/>
        </w:rPr>
        <w:t>表6.3-4</w:t>
      </w:r>
      <w:r>
        <w:rPr>
          <w:rFonts w:hint="eastAsia"/>
          <w:color w:val="auto"/>
          <w:highlight w:val="none"/>
          <w:lang w:val="en-US" w:eastAsia="zh-CN"/>
        </w:rPr>
        <w:fldChar w:fldCharType="end"/>
      </w:r>
      <w:r>
        <w:rPr>
          <w:rFonts w:hint="eastAsia"/>
          <w:color w:val="auto"/>
          <w:highlight w:val="none"/>
          <w:lang w:val="en-US" w:eastAsia="zh-CN"/>
        </w:rPr>
        <w:t>，厂区废水总排放口各污染因子均可满足GB31572-2015表1直接排放标准限值及牙城镇污水处理厂接管标准。因此，本项目拟建污水处理站处理方案与设计能力可行。</w:t>
      </w:r>
    </w:p>
    <w:p>
      <w:pPr>
        <w:rPr>
          <w:rFonts w:hint="eastAsia"/>
          <w:color w:val="auto"/>
          <w:highlight w:val="none"/>
          <w:lang w:val="en-US" w:eastAsia="zh-CN"/>
        </w:rPr>
      </w:pPr>
      <w:r>
        <w:rPr>
          <w:rFonts w:hint="eastAsia"/>
          <w:color w:val="auto"/>
          <w:highlight w:val="none"/>
          <w:lang w:val="en-US" w:eastAsia="zh-CN"/>
        </w:rPr>
        <w:t>同时，经对照《排污许可证申请与核发技术规范 化学纤维制造业》中表A.2排污单位废水可行技术参照表，本项目生产工艺废水采用“气浮+水解酸化+A/O池+MBR膜+板框压滤”处理工艺，属于可行技术，具体参照内容见下表。</w:t>
      </w:r>
    </w:p>
    <w:p>
      <w:pPr>
        <w:pStyle w:val="24"/>
        <w:numPr>
          <w:ilvl w:val="6"/>
          <w:numId w:val="7"/>
        </w:numPr>
        <w:tabs>
          <w:tab w:val="left" w:pos="420"/>
        </w:tabs>
        <w:bidi w:val="0"/>
        <w:rPr>
          <w:rFonts w:hint="default"/>
          <w:color w:val="auto"/>
          <w:highlight w:val="none"/>
          <w:lang w:val="en-US" w:eastAsia="zh-CN"/>
        </w:rPr>
      </w:pPr>
      <w:r>
        <w:rPr>
          <w:rFonts w:hint="eastAsia"/>
          <w:color w:val="auto"/>
          <w:highlight w:val="none"/>
          <w:lang w:val="en-US" w:eastAsia="zh-CN"/>
        </w:rPr>
        <w:t>生产废水处理可行技术参照表</w:t>
      </w:r>
    </w:p>
    <w:tbl>
      <w:tblPr>
        <w:tblStyle w:val="18"/>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834"/>
        <w:gridCol w:w="5542"/>
        <w:gridCol w:w="1407"/>
        <w:gridCol w:w="7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类别</w:t>
            </w:r>
          </w:p>
        </w:tc>
        <w:tc>
          <w:tcPr>
            <w:tcW w:w="834"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废水类型</w:t>
            </w:r>
          </w:p>
        </w:tc>
        <w:tc>
          <w:tcPr>
            <w:tcW w:w="5542"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可行技术</w:t>
            </w:r>
          </w:p>
        </w:tc>
        <w:tc>
          <w:tcPr>
            <w:tcW w:w="1407"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本项目</w:t>
            </w:r>
          </w:p>
        </w:tc>
        <w:tc>
          <w:tcPr>
            <w:tcW w:w="742"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是否可行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3"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外排或回用废水</w:t>
            </w:r>
          </w:p>
        </w:tc>
        <w:tc>
          <w:tcPr>
            <w:tcW w:w="834"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工艺废水</w:t>
            </w:r>
          </w:p>
        </w:tc>
        <w:tc>
          <w:tcPr>
            <w:tcW w:w="5542"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预处理+生化处理+深度处理</w:t>
            </w:r>
            <w:r>
              <w:rPr>
                <w:rFonts w:hint="eastAsia"/>
                <w:color w:val="auto"/>
                <w:szCs w:val="20"/>
                <w:highlight w:val="none"/>
                <w:lang w:val="en-US" w:eastAsia="zh-CN"/>
              </w:rPr>
              <w:t>；</w:t>
            </w:r>
            <w:r>
              <w:rPr>
                <w:rFonts w:hint="default"/>
                <w:color w:val="auto"/>
                <w:szCs w:val="20"/>
                <w:highlight w:val="none"/>
                <w:lang w:val="en-US" w:eastAsia="zh-CN"/>
              </w:rPr>
              <w:t>预处理：中和、气浮、混凝沉淀、调节、水解酸化、厌氧；生化处理：活性污泥法、一体化微氧高浓缺氧/好氧法a，短程硝化反</w:t>
            </w:r>
            <w:r>
              <w:rPr>
                <w:rFonts w:hint="eastAsia"/>
                <w:color w:val="auto"/>
                <w:szCs w:val="20"/>
                <w:highlight w:val="none"/>
                <w:lang w:val="en-US" w:eastAsia="zh-CN"/>
              </w:rPr>
              <w:t>；</w:t>
            </w:r>
            <w:r>
              <w:rPr>
                <w:rFonts w:hint="default"/>
                <w:color w:val="auto"/>
                <w:szCs w:val="20"/>
                <w:highlight w:val="none"/>
                <w:lang w:val="en-US" w:eastAsia="zh-CN"/>
              </w:rPr>
              <w:t>硝化法、粉末活性炭工艺配套废炭再生系统b，曝气生物滤池（BAF）</w:t>
            </w:r>
            <w:r>
              <w:rPr>
                <w:rFonts w:hint="eastAsia"/>
                <w:color w:val="auto"/>
                <w:szCs w:val="20"/>
                <w:highlight w:val="none"/>
                <w:lang w:val="en-US" w:eastAsia="zh-CN"/>
              </w:rPr>
              <w:t>、</w:t>
            </w:r>
            <w:r>
              <w:rPr>
                <w:rFonts w:hint="default"/>
                <w:color w:val="auto"/>
                <w:szCs w:val="20"/>
                <w:highlight w:val="none"/>
                <w:lang w:val="en-US" w:eastAsia="zh-CN"/>
              </w:rPr>
              <w:t>生物接触氧化法；深度处理：臭氧氧化、臭氧催化氧化、曝气生物滤池（BAF）、生</w:t>
            </w:r>
            <w:r>
              <w:rPr>
                <w:rFonts w:hint="eastAsia"/>
                <w:color w:val="auto"/>
                <w:szCs w:val="20"/>
                <w:highlight w:val="none"/>
                <w:lang w:val="en-US" w:eastAsia="zh-CN"/>
              </w:rPr>
              <w:t>；</w:t>
            </w:r>
            <w:r>
              <w:rPr>
                <w:rFonts w:hint="default"/>
                <w:color w:val="auto"/>
                <w:szCs w:val="20"/>
                <w:highlight w:val="none"/>
                <w:lang w:val="en-US" w:eastAsia="zh-CN"/>
              </w:rPr>
              <w:t>物接触氧化法、混凝沉淀、过滤、超滤（UF）、反渗透（RO）</w:t>
            </w:r>
          </w:p>
        </w:tc>
        <w:tc>
          <w:tcPr>
            <w:tcW w:w="1407"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default"/>
                <w:color w:val="auto"/>
                <w:szCs w:val="20"/>
                <w:highlight w:val="none"/>
                <w:lang w:val="en-US" w:eastAsia="zh-CN"/>
              </w:rPr>
              <w:t>气浮+水解酸化+A/O池+MBR膜+板框压滤</w:t>
            </w:r>
          </w:p>
        </w:tc>
        <w:tc>
          <w:tcPr>
            <w:tcW w:w="742" w:type="dxa"/>
            <w:vAlign w:val="center"/>
          </w:tcPr>
          <w:p>
            <w:pPr>
              <w:pStyle w:val="21"/>
              <w:keepNext w:val="0"/>
              <w:keepLines w:val="0"/>
              <w:widowControl w:val="0"/>
              <w:suppressLineNumbers w:val="0"/>
              <w:bidi w:val="0"/>
              <w:spacing w:before="0" w:beforeAutospacing="0" w:after="0" w:afterAutospacing="0"/>
              <w:ind w:right="0"/>
              <w:jc w:val="center"/>
              <w:rPr>
                <w:rFonts w:hint="default"/>
                <w:color w:val="auto"/>
                <w:szCs w:val="20"/>
                <w:highlight w:val="none"/>
                <w:lang w:val="en-US" w:eastAsia="zh-CN"/>
              </w:rPr>
            </w:pPr>
            <w:r>
              <w:rPr>
                <w:rFonts w:hint="eastAsia"/>
                <w:color w:val="auto"/>
                <w:szCs w:val="20"/>
                <w:highlight w:val="none"/>
                <w:lang w:val="en-US" w:eastAsia="zh-CN"/>
              </w:rPr>
              <w:t>可行</w:t>
            </w:r>
          </w:p>
        </w:tc>
      </w:tr>
    </w:tbl>
    <w:p>
      <w:pPr>
        <w:bidi w:val="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污水处理站规模及其可行性</w:t>
      </w:r>
    </w:p>
    <w:p>
      <w:pPr>
        <w:rPr>
          <w:rFonts w:hint="default"/>
          <w:color w:val="auto"/>
          <w:highlight w:val="none"/>
          <w:lang w:val="en-US" w:eastAsia="zh-CN"/>
        </w:rPr>
      </w:pPr>
      <w:r>
        <w:rPr>
          <w:rFonts w:hint="default"/>
          <w:color w:val="auto"/>
          <w:highlight w:val="none"/>
          <w:lang w:val="en-US" w:eastAsia="zh-CN"/>
        </w:rPr>
        <w:t>本项目生产废水</w:t>
      </w:r>
      <w:r>
        <w:rPr>
          <w:rFonts w:hint="eastAsia"/>
          <w:color w:val="auto"/>
          <w:highlight w:val="none"/>
          <w:lang w:val="en-US" w:eastAsia="zh-CN"/>
        </w:rPr>
        <w:t xml:space="preserve">单日最大排放量为38.16 </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/d。在正常运营生产过程中，污水处理站（50</w:t>
      </w:r>
      <w:r>
        <w:rPr>
          <w:rFonts w:hint="eastAsia"/>
          <w:color w:val="auto"/>
          <w:highlight w:val="none"/>
          <w:lang w:val="en-US" w:eastAsia="zh-CN"/>
        </w:rPr>
        <w:t xml:space="preserve"> </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/d）可满足废水处理规模要求。因此，本项目污水处理站的规模是可行的。</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牙城镇污水处理厂接管可行性分析</w:t>
      </w:r>
    </w:p>
    <w:p>
      <w:pPr>
        <w:rPr>
          <w:rFonts w:hint="default"/>
          <w:color w:val="auto"/>
          <w:highlight w:val="none"/>
          <w:lang w:val="en-US" w:eastAsia="zh-CN"/>
        </w:rPr>
      </w:pPr>
      <w:r>
        <w:rPr>
          <w:rFonts w:hint="default"/>
          <w:color w:val="auto"/>
          <w:highlight w:val="none"/>
          <w:lang w:val="en-US" w:eastAsia="zh-CN"/>
        </w:rPr>
        <w:t>本工程生产废水经自建的污水处理站处理，项目尾水水质能够满足《合成树脂工业污染物排放标准》（GB31572-2015）直排标准要求，远远低于牙城镇污水处理厂进水水质标准，</w:t>
      </w:r>
      <w:r>
        <w:rPr>
          <w:rFonts w:hint="eastAsia"/>
          <w:color w:val="auto"/>
          <w:highlight w:val="none"/>
          <w:lang w:val="en-US" w:eastAsia="zh-CN"/>
        </w:rPr>
        <w:t>生产</w:t>
      </w:r>
      <w:r>
        <w:rPr>
          <w:rFonts w:hint="default"/>
          <w:color w:val="auto"/>
          <w:highlight w:val="none"/>
          <w:lang w:val="en-US" w:eastAsia="zh-CN"/>
        </w:rPr>
        <w:t>废水</w:t>
      </w:r>
      <w:r>
        <w:rPr>
          <w:rFonts w:hint="eastAsia"/>
          <w:color w:val="auto"/>
          <w:highlight w:val="none"/>
          <w:lang w:val="en-US" w:eastAsia="zh-CN"/>
        </w:rPr>
        <w:t xml:space="preserve">单日最大排放量为38.16 </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/d</w:t>
      </w:r>
      <w:r>
        <w:rPr>
          <w:rFonts w:hint="eastAsia"/>
          <w:color w:val="auto"/>
          <w:highlight w:val="none"/>
          <w:lang w:val="en-US" w:eastAsia="zh-CN"/>
        </w:rPr>
        <w:t>；</w:t>
      </w:r>
      <w:r>
        <w:rPr>
          <w:rFonts w:hint="default" w:ascii="Times New Roman" w:hAnsi="Times New Roman" w:eastAsia="宋体" w:cs="Times New Roman"/>
          <w:color w:val="auto"/>
          <w:highlight w:val="none"/>
          <w:lang w:val="en-US" w:eastAsia="zh-CN"/>
        </w:rPr>
        <w:t>生活污水</w:t>
      </w:r>
      <w:r>
        <w:rPr>
          <w:rFonts w:hint="eastAsia" w:cs="Times New Roman"/>
          <w:color w:val="auto"/>
          <w:highlight w:val="none"/>
          <w:lang w:val="en-US" w:eastAsia="zh-CN"/>
        </w:rPr>
        <w:t>经厂区内</w:t>
      </w:r>
      <w:r>
        <w:rPr>
          <w:rFonts w:hint="default" w:ascii="Times New Roman" w:hAnsi="Times New Roman" w:eastAsia="宋体" w:cs="Times New Roman"/>
          <w:color w:val="auto"/>
          <w:highlight w:val="none"/>
          <w:lang w:val="en-US" w:eastAsia="zh-CN"/>
        </w:rPr>
        <w:t>的化粪池处理</w:t>
      </w:r>
      <w:r>
        <w:rPr>
          <w:rFonts w:hint="default" w:ascii="Times New Roman" w:hAnsi="Times New Roman" w:cs="Times New Roman"/>
          <w:color w:val="auto"/>
          <w:highlight w:val="none"/>
          <w:lang w:val="en-US" w:eastAsia="zh-CN"/>
        </w:rPr>
        <w:t>达</w:t>
      </w:r>
      <w:r>
        <w:rPr>
          <w:rFonts w:hint="eastAsia" w:cs="Times New Roman"/>
          <w:color w:val="auto"/>
          <w:highlight w:val="none"/>
          <w:lang w:val="en-US" w:eastAsia="zh-CN"/>
        </w:rPr>
        <w:t>牙城镇污水处理厂进水水质标准</w:t>
      </w:r>
      <w:r>
        <w:rPr>
          <w:rFonts w:hint="default" w:ascii="Times New Roman" w:hAnsi="Times New Roman" w:eastAsia="宋体" w:cs="Times New Roman"/>
          <w:color w:val="auto"/>
          <w:highlight w:val="none"/>
          <w:lang w:val="en-US" w:eastAsia="zh-CN"/>
        </w:rPr>
        <w:t>后排入</w:t>
      </w:r>
      <w:r>
        <w:rPr>
          <w:rFonts w:hint="default" w:ascii="Times New Roman" w:hAnsi="Times New Roman" w:cs="Times New Roman"/>
          <w:color w:val="auto"/>
          <w:highlight w:val="none"/>
          <w:lang w:val="en-US" w:eastAsia="zh-CN"/>
        </w:rPr>
        <w:t>园区污水</w:t>
      </w:r>
      <w:r>
        <w:rPr>
          <w:rFonts w:hint="default" w:ascii="Times New Roman" w:hAnsi="Times New Roman" w:eastAsia="宋体" w:cs="Times New Roman"/>
          <w:color w:val="auto"/>
          <w:highlight w:val="none"/>
          <w:lang w:val="en-US" w:eastAsia="zh-CN"/>
        </w:rPr>
        <w:t>管网，</w:t>
      </w:r>
      <w:r>
        <w:rPr>
          <w:rFonts w:hint="eastAsia"/>
          <w:color w:val="auto"/>
          <w:highlight w:val="none"/>
          <w:lang w:val="en-US" w:eastAsia="zh-CN"/>
        </w:rPr>
        <w:t xml:space="preserve">生活污水排放量为16 </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/d。牙城镇污水处理厂近期设计规模4000m</w:t>
      </w:r>
      <w:r>
        <w:rPr>
          <w:rFonts w:hint="default"/>
          <w:color w:val="auto"/>
          <w:highlight w:val="none"/>
          <w:vertAlign w:val="superscript"/>
          <w:lang w:val="en-US" w:eastAsia="zh-CN"/>
        </w:rPr>
        <w:t>3</w:t>
      </w:r>
      <w:r>
        <w:rPr>
          <w:rFonts w:hint="default"/>
          <w:color w:val="auto"/>
          <w:highlight w:val="none"/>
          <w:lang w:val="en-US" w:eastAsia="zh-CN"/>
        </w:rPr>
        <w:t>/d，根据污水处理厂负责人介绍，牙城镇污水处理厂目前日处理规模3</w:t>
      </w:r>
      <w:r>
        <w:rPr>
          <w:rFonts w:hint="eastAsia"/>
          <w:color w:val="auto"/>
          <w:highlight w:val="none"/>
          <w:lang w:val="en-US" w:eastAsia="zh-CN"/>
        </w:rPr>
        <w:t>8</w:t>
      </w:r>
      <w:r>
        <w:rPr>
          <w:rFonts w:hint="default"/>
          <w:color w:val="auto"/>
          <w:highlight w:val="none"/>
          <w:lang w:val="en-US" w:eastAsia="zh-CN"/>
        </w:rPr>
        <w:t>00m</w:t>
      </w:r>
      <w:r>
        <w:rPr>
          <w:rFonts w:hint="default"/>
          <w:color w:val="auto"/>
          <w:highlight w:val="none"/>
          <w:vertAlign w:val="superscript"/>
          <w:lang w:val="en-US" w:eastAsia="zh-CN"/>
        </w:rPr>
        <w:t>3</w:t>
      </w:r>
      <w:r>
        <w:rPr>
          <w:rFonts w:hint="default"/>
          <w:color w:val="auto"/>
          <w:highlight w:val="none"/>
          <w:lang w:val="en-US" w:eastAsia="zh-CN"/>
        </w:rPr>
        <w:t>/d，尚有</w:t>
      </w:r>
      <w:r>
        <w:rPr>
          <w:rFonts w:hint="eastAsia"/>
          <w:color w:val="auto"/>
          <w:highlight w:val="none"/>
          <w:lang w:val="en-US" w:eastAsia="zh-CN"/>
        </w:rPr>
        <w:t>2</w:t>
      </w:r>
      <w:r>
        <w:rPr>
          <w:rFonts w:hint="default"/>
          <w:color w:val="auto"/>
          <w:highlight w:val="none"/>
          <w:lang w:val="en-US" w:eastAsia="zh-CN"/>
        </w:rPr>
        <w:t>00</w:t>
      </w:r>
      <w:r>
        <w:rPr>
          <w:rFonts w:hint="eastAsia"/>
          <w:color w:val="auto"/>
          <w:highlight w:val="none"/>
          <w:lang w:val="en-US" w:eastAsia="zh-CN"/>
        </w:rPr>
        <w:t xml:space="preserve"> </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/d的余量，则项目占剩余污水接纳余量的</w:t>
      </w:r>
      <w:r>
        <w:rPr>
          <w:rFonts w:hint="eastAsia"/>
          <w:color w:val="auto"/>
          <w:highlight w:val="none"/>
          <w:lang w:val="en-US" w:eastAsia="zh-CN"/>
        </w:rPr>
        <w:t>27.08</w:t>
      </w:r>
      <w:r>
        <w:rPr>
          <w:rFonts w:hint="default"/>
          <w:color w:val="auto"/>
          <w:highlight w:val="none"/>
          <w:lang w:val="en-US" w:eastAsia="zh-CN"/>
        </w:rPr>
        <w:t>%，对牙城镇污水厂冲击负荷较小。</w:t>
      </w:r>
    </w:p>
    <w:p>
      <w:pPr>
        <w:rPr>
          <w:rFonts w:hint="default"/>
          <w:color w:val="auto"/>
          <w:highlight w:val="none"/>
          <w:lang w:val="en-US" w:eastAsia="zh-CN"/>
        </w:rPr>
      </w:pPr>
      <w:r>
        <w:rPr>
          <w:rFonts w:hint="default"/>
          <w:color w:val="auto"/>
          <w:highlight w:val="none"/>
          <w:lang w:val="en-US" w:eastAsia="zh-CN"/>
        </w:rPr>
        <w:t>综上所述，本工程处于牙城镇污水处理厂服务范围内，且牙城镇污水处理厂尚有接纳能力可接纳本项目产生的污水，经生产废水经自建的污水处理站处理后，生活污水经化粪池处理后，废水水质能达到牙城镇污水处理厂要求的进水水质标准。项目废水不直接排放到地表水环境，对周边地表水环境影响不大，措施可行。</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事故废水处理措施及可行性分析</w:t>
      </w:r>
    </w:p>
    <w:p>
      <w:pPr>
        <w:rPr>
          <w:rFonts w:hint="default"/>
          <w:color w:val="auto"/>
          <w:highlight w:val="none"/>
          <w:lang w:val="en-US" w:eastAsia="zh-CN"/>
        </w:rPr>
      </w:pPr>
      <w:r>
        <w:rPr>
          <w:rFonts w:hint="default"/>
          <w:color w:val="auto"/>
          <w:highlight w:val="none"/>
          <w:lang w:val="en-US" w:eastAsia="zh-CN"/>
        </w:rPr>
        <w:t>根据本评价计算，厂区建设</w:t>
      </w:r>
      <w:r>
        <w:rPr>
          <w:rFonts w:hint="eastAsia"/>
          <w:color w:val="auto"/>
          <w:highlight w:val="none"/>
          <w:lang w:val="en-US" w:eastAsia="zh-CN"/>
        </w:rPr>
        <w:t>不小</w:t>
      </w:r>
      <w:r>
        <w:rPr>
          <w:rFonts w:hint="default" w:ascii="Times New Roman" w:hAnsi="Times New Roman" w:cs="Times New Roman"/>
          <w:color w:val="auto"/>
          <w:highlight w:val="none"/>
          <w:lang w:val="en-US" w:eastAsia="zh-CN"/>
        </w:rPr>
        <w:t>于</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00m</w:t>
      </w:r>
      <w:r>
        <w:rPr>
          <w:rFonts w:hint="eastAsia" w:cs="Times New Roman"/>
          <w:color w:val="auto"/>
          <w:highlight w:val="none"/>
          <w:vertAlign w:val="superscript"/>
          <w:lang w:val="en-US" w:eastAsia="zh-CN"/>
        </w:rPr>
        <w:t>3</w:t>
      </w:r>
      <w:r>
        <w:rPr>
          <w:rFonts w:hint="default"/>
          <w:color w:val="auto"/>
          <w:highlight w:val="none"/>
          <w:lang w:val="en-US" w:eastAsia="zh-CN"/>
        </w:rPr>
        <w:t>的事故应急池。万一发生事故时可以接纳含污染物废水，生产事故废水不会因为直接外排环境而造成环境污染。</w:t>
      </w:r>
    </w:p>
    <w:p>
      <w:pPr>
        <w:rPr>
          <w:rFonts w:hint="default"/>
          <w:color w:val="auto"/>
          <w:highlight w:val="none"/>
          <w:lang w:val="en-US" w:eastAsia="zh-CN"/>
        </w:rPr>
      </w:pPr>
      <w:r>
        <w:rPr>
          <w:rFonts w:hint="default"/>
          <w:color w:val="auto"/>
          <w:highlight w:val="none"/>
          <w:lang w:val="en-US" w:eastAsia="zh-CN"/>
        </w:rPr>
        <w:t>为了阻断事故泄漏液和消防水进入外环境，本工程采取“收→调→输→储→处理”事故泄漏和事故消防水，设置“三级防控措施”防范事故泄漏液和消防污水进入外环境和水环境。具体的三级防控措施详见风险分析章节。</w:t>
      </w:r>
    </w:p>
    <w:p>
      <w:pPr>
        <w:pStyle w:val="5"/>
        <w:numPr>
          <w:ilvl w:val="3"/>
          <w:numId w:val="3"/>
        </w:numPr>
        <w:tabs>
          <w:tab w:val="left" w:pos="420"/>
        </w:tabs>
        <w:bidi w:val="0"/>
        <w:rPr>
          <w:rFonts w:hint="default"/>
          <w:color w:val="auto"/>
          <w:lang w:val="en-US" w:eastAsia="zh-CN"/>
        </w:rPr>
      </w:pPr>
      <w:r>
        <w:rPr>
          <w:rFonts w:hint="eastAsia"/>
          <w:color w:val="auto"/>
          <w:lang w:val="en-US" w:eastAsia="zh-CN"/>
        </w:rPr>
        <w:t>运行管理要求</w:t>
      </w:r>
    </w:p>
    <w:p>
      <w:pPr>
        <w:rPr>
          <w:rFonts w:hint="default"/>
          <w:color w:val="auto"/>
          <w:lang w:val="en-US" w:eastAsia="zh-CN"/>
        </w:rPr>
      </w:pPr>
      <w:r>
        <w:rPr>
          <w:rFonts w:hint="eastAsia"/>
          <w:color w:val="auto"/>
          <w:lang w:val="en-US" w:eastAsia="zh-CN"/>
        </w:rPr>
        <w:t>①</w:t>
      </w:r>
      <w:r>
        <w:rPr>
          <w:rFonts w:hint="default"/>
          <w:color w:val="auto"/>
          <w:lang w:val="en-US" w:eastAsia="zh-CN"/>
        </w:rPr>
        <w:t>应按照国家和地方规范进行设计，采取有效措施避免废水“跑、冒、滴、漏”造成土壤、地下水污染，生产废水应集中收集处置后达标排放。</w:t>
      </w:r>
    </w:p>
    <w:p>
      <w:pPr>
        <w:rPr>
          <w:rFonts w:hint="default"/>
          <w:color w:val="auto"/>
          <w:lang w:val="en-US" w:eastAsia="zh-CN"/>
        </w:rPr>
      </w:pPr>
      <w:r>
        <w:rPr>
          <w:rFonts w:hint="eastAsia"/>
          <w:color w:val="auto"/>
          <w:lang w:val="en-US" w:eastAsia="zh-CN"/>
        </w:rPr>
        <w:t>②</w:t>
      </w:r>
      <w:r>
        <w:rPr>
          <w:rFonts w:hint="default"/>
          <w:color w:val="auto"/>
          <w:lang w:val="en-US" w:eastAsia="zh-CN"/>
        </w:rPr>
        <w:t>由于事故或设备维修等原因造成污染防治设施停止运行时，应立即报告当地生态环境主管部门。</w:t>
      </w:r>
    </w:p>
    <w:p>
      <w:pPr>
        <w:rPr>
          <w:rFonts w:hint="default"/>
          <w:color w:val="auto"/>
          <w:lang w:val="en-US" w:eastAsia="zh-CN"/>
        </w:rPr>
      </w:pPr>
      <w:r>
        <w:rPr>
          <w:rFonts w:hint="eastAsia"/>
          <w:color w:val="auto"/>
          <w:lang w:val="en-US" w:eastAsia="zh-CN"/>
        </w:rPr>
        <w:t>③</w:t>
      </w:r>
      <w:r>
        <w:rPr>
          <w:rFonts w:hint="default"/>
          <w:color w:val="auto"/>
          <w:lang w:val="en-US" w:eastAsia="zh-CN"/>
        </w:rPr>
        <w:t>污染防治设施应在满足设计工况的条件下运行，并根据工艺要求，定期对设备、电气、自控仪表及构筑物进行检查维护，确保污染防治设施可靠运行。</w:t>
      </w:r>
    </w:p>
    <w:p>
      <w:pPr>
        <w:pStyle w:val="4"/>
        <w:numPr>
          <w:ilvl w:val="2"/>
          <w:numId w:val="7"/>
        </w:numPr>
        <w:tabs>
          <w:tab w:val="left" w:pos="420"/>
        </w:tabs>
        <w:bidi w:val="0"/>
        <w:rPr>
          <w:rFonts w:hint="default"/>
          <w:color w:val="auto"/>
          <w:highlight w:val="none"/>
          <w:lang w:val="en-US" w:eastAsia="zh-CN"/>
        </w:rPr>
      </w:pPr>
      <w:r>
        <w:rPr>
          <w:rFonts w:hint="default"/>
          <w:color w:val="auto"/>
          <w:highlight w:val="none"/>
          <w:lang w:val="en-US" w:eastAsia="zh-CN"/>
        </w:rPr>
        <w:t>噪声污染控制措施</w:t>
      </w:r>
    </w:p>
    <w:p>
      <w:pPr>
        <w:bidi w:val="0"/>
        <w:rPr>
          <w:rFonts w:hint="default"/>
          <w:color w:val="auto"/>
          <w:highlight w:val="none"/>
          <w:lang w:val="en-US" w:eastAsia="zh-CN"/>
        </w:rPr>
      </w:pPr>
      <w:r>
        <w:rPr>
          <w:rFonts w:hint="default"/>
          <w:color w:val="auto"/>
          <w:highlight w:val="none"/>
          <w:lang w:val="en-US" w:eastAsia="zh-CN"/>
        </w:rPr>
        <w:t>本项目</w:t>
      </w:r>
      <w:r>
        <w:rPr>
          <w:rFonts w:hint="eastAsia"/>
          <w:color w:val="auto"/>
          <w:highlight w:val="none"/>
          <w:lang w:val="en-US" w:eastAsia="zh-CN"/>
        </w:rPr>
        <w:t>运营</w:t>
      </w:r>
      <w:r>
        <w:rPr>
          <w:rFonts w:hint="default"/>
          <w:color w:val="auto"/>
          <w:highlight w:val="none"/>
          <w:lang w:val="en-US" w:eastAsia="zh-CN"/>
        </w:rPr>
        <w:t>期噪声污染源主要来自</w:t>
      </w:r>
      <w:r>
        <w:rPr>
          <w:rFonts w:hint="eastAsia" w:cs="Times New Roman"/>
          <w:color w:val="auto"/>
          <w:highlight w:val="none"/>
          <w:lang w:val="en-US" w:eastAsia="zh-CN"/>
        </w:rPr>
        <w:t>粉碎</w:t>
      </w:r>
      <w:r>
        <w:rPr>
          <w:rFonts w:hint="default" w:ascii="Times New Roman" w:hAnsi="Times New Roman" w:cs="Times New Roman"/>
          <w:color w:val="auto"/>
          <w:highlight w:val="none"/>
          <w:lang w:val="en-US" w:eastAsia="zh-CN"/>
        </w:rPr>
        <w:t>机、</w:t>
      </w:r>
      <w:r>
        <w:rPr>
          <w:rFonts w:hint="eastAsia" w:ascii="Times New Roman" w:hAnsi="Times New Roman" w:cs="Times New Roman"/>
          <w:color w:val="auto"/>
          <w:highlight w:val="none"/>
          <w:lang w:val="en-US" w:eastAsia="zh-CN"/>
        </w:rPr>
        <w:t>摩擦造粒机</w:t>
      </w:r>
      <w:r>
        <w:rPr>
          <w:rFonts w:hint="default" w:ascii="Times New Roman" w:hAnsi="Times New Roman" w:cs="Times New Roman"/>
          <w:color w:val="auto"/>
          <w:highlight w:val="none"/>
          <w:lang w:val="en-US" w:eastAsia="zh-CN"/>
        </w:rPr>
        <w:t>纺丝机、牵伸机、切断机、打包机</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真空泵、工业空调送风机组、</w:t>
      </w:r>
      <w:r>
        <w:rPr>
          <w:rFonts w:hint="default" w:ascii="Times New Roman" w:hAnsi="Times New Roman" w:cs="Times New Roman"/>
          <w:color w:val="auto"/>
          <w:highlight w:val="none"/>
        </w:rPr>
        <w:t>纺丝环吹风冷却系统</w:t>
      </w:r>
      <w:r>
        <w:rPr>
          <w:rFonts w:hint="default" w:ascii="Times New Roman" w:hAnsi="Times New Roman" w:cs="Times New Roman"/>
          <w:color w:val="auto"/>
          <w:highlight w:val="none"/>
          <w:lang w:val="en-US" w:eastAsia="zh-CN"/>
        </w:rPr>
        <w:t>等机械设备运行时产生的噪声</w:t>
      </w:r>
      <w:r>
        <w:rPr>
          <w:rFonts w:hint="default"/>
          <w:color w:val="auto"/>
          <w:highlight w:val="none"/>
          <w:lang w:val="en-US" w:eastAsia="zh-CN"/>
        </w:rPr>
        <w:t>。</w:t>
      </w:r>
    </w:p>
    <w:p>
      <w:pPr>
        <w:bidi w:val="0"/>
        <w:rPr>
          <w:rFonts w:hint="default"/>
          <w:color w:val="auto"/>
          <w:highlight w:val="none"/>
          <w:lang w:val="en-US" w:eastAsia="zh-CN"/>
        </w:rPr>
      </w:pPr>
      <w:r>
        <w:rPr>
          <w:rFonts w:hint="default"/>
          <w:color w:val="auto"/>
          <w:highlight w:val="none"/>
          <w:lang w:val="en-US" w:eastAsia="zh-CN"/>
        </w:rPr>
        <w:t>根据生产设备特征及噪声特性，项目生产噪声可采取多种处理方式联合使用，项目拟定采取的防治措施有：</w:t>
      </w:r>
    </w:p>
    <w:p>
      <w:pPr>
        <w:bidi w:val="0"/>
        <w:rPr>
          <w:rFonts w:hint="default"/>
          <w:color w:val="auto"/>
          <w:highlight w:val="none"/>
          <w:lang w:val="en-US" w:eastAsia="zh-CN"/>
        </w:rPr>
      </w:pPr>
      <w:r>
        <w:rPr>
          <w:rFonts w:hint="default"/>
          <w:color w:val="auto"/>
          <w:highlight w:val="none"/>
          <w:lang w:val="en-US" w:eastAsia="zh-CN"/>
        </w:rPr>
        <w:t>(1)工程设计措施</w:t>
      </w:r>
    </w:p>
    <w:p>
      <w:pPr>
        <w:bidi w:val="0"/>
        <w:rPr>
          <w:rFonts w:hint="default"/>
          <w:color w:val="auto"/>
          <w:highlight w:val="none"/>
          <w:lang w:val="en-US" w:eastAsia="zh-CN"/>
        </w:rPr>
      </w:pPr>
      <w:r>
        <w:rPr>
          <w:rFonts w:hint="default"/>
          <w:color w:val="auto"/>
          <w:highlight w:val="none"/>
          <w:lang w:val="en-US" w:eastAsia="zh-CN"/>
        </w:rPr>
        <w:t>①合理布置噪声源：在平面布局时，应尽量将噪声源设备特别是各类泵等声级高的设备，布置在离厂界距离较远的位置，同时远离公司办公室。</w:t>
      </w:r>
    </w:p>
    <w:p>
      <w:pPr>
        <w:bidi w:val="0"/>
        <w:rPr>
          <w:rFonts w:hint="default"/>
          <w:color w:val="auto"/>
          <w:highlight w:val="none"/>
          <w:lang w:val="en-US" w:eastAsia="zh-CN"/>
        </w:rPr>
      </w:pPr>
      <w:r>
        <w:rPr>
          <w:rFonts w:hint="default"/>
          <w:color w:val="auto"/>
          <w:highlight w:val="none"/>
          <w:lang w:val="en-US" w:eastAsia="zh-CN"/>
        </w:rPr>
        <w:t>②设备选型：在设计中，应要求设计部门按照《工业企业噪声控制设计规范》规范要求，尽量选用技术先进、性能质量良好、同类产品中声级较低的设备，从源头上控制噪声源。</w:t>
      </w:r>
    </w:p>
    <w:p>
      <w:pPr>
        <w:bidi w:val="0"/>
        <w:rPr>
          <w:rFonts w:hint="default"/>
          <w:color w:val="auto"/>
          <w:highlight w:val="none"/>
          <w:lang w:val="en-US" w:eastAsia="zh-CN"/>
        </w:rPr>
      </w:pPr>
      <w:r>
        <w:rPr>
          <w:rFonts w:hint="default"/>
          <w:color w:val="auto"/>
          <w:highlight w:val="none"/>
          <w:lang w:val="en-US" w:eastAsia="zh-CN"/>
        </w:rPr>
        <w:t>③采取建筑隔声措施，采取隔声墙、隔声窗，安装吸音材料；设备与管道之间的连接采用柔性连接，以减少噪声和振动的传递。</w:t>
      </w:r>
    </w:p>
    <w:p>
      <w:pPr>
        <w:bidi w:val="0"/>
        <w:rPr>
          <w:rFonts w:hint="default"/>
          <w:color w:val="auto"/>
          <w:highlight w:val="none"/>
          <w:lang w:val="en-US" w:eastAsia="zh-CN"/>
        </w:rPr>
      </w:pPr>
      <w:r>
        <w:rPr>
          <w:rFonts w:hint="default"/>
          <w:color w:val="auto"/>
          <w:highlight w:val="none"/>
          <w:lang w:val="en-US" w:eastAsia="zh-CN"/>
        </w:rPr>
        <w:t>④防振减振措施：所有电动设备的基座应安装防振、减振垫片，与动力设备连接的管道应安装软性接头，并对管道进行固定加固处理，防止因设备、管道振动引起的噪声。</w:t>
      </w:r>
    </w:p>
    <w:p>
      <w:pPr>
        <w:bidi w:val="0"/>
        <w:rPr>
          <w:rFonts w:hint="default"/>
          <w:color w:val="auto"/>
          <w:highlight w:val="none"/>
          <w:lang w:val="en-US" w:eastAsia="zh-CN"/>
        </w:rPr>
      </w:pPr>
      <w:r>
        <w:rPr>
          <w:rFonts w:hint="default"/>
          <w:color w:val="auto"/>
          <w:highlight w:val="none"/>
          <w:lang w:val="en-US" w:eastAsia="zh-CN"/>
        </w:rPr>
        <w:t>⑤采取吸声消声措施：厂房设计时充分考虑墙体吸声效果，内侧墙面尽量采用吸声较好的材料，各类泵、空压机等高声级设备应安装消声器。</w:t>
      </w:r>
    </w:p>
    <w:p>
      <w:pPr>
        <w:bidi w:val="0"/>
        <w:rPr>
          <w:rFonts w:hint="default"/>
          <w:color w:val="auto"/>
          <w:highlight w:val="none"/>
          <w:lang w:val="en-US" w:eastAsia="zh-CN"/>
        </w:rPr>
      </w:pPr>
      <w:r>
        <w:rPr>
          <w:rFonts w:hint="default"/>
          <w:color w:val="auto"/>
          <w:highlight w:val="none"/>
          <w:lang w:val="en-US" w:eastAsia="zh-CN"/>
        </w:rPr>
        <w:t>⑥加强动力机械设备的定期检修与维护，以减少动力机械设备故障等原因造成的振动及声辐射。</w:t>
      </w:r>
    </w:p>
    <w:p>
      <w:pPr>
        <w:bidi w:val="0"/>
        <w:rPr>
          <w:rFonts w:hint="default"/>
          <w:color w:val="auto"/>
          <w:highlight w:val="none"/>
          <w:lang w:val="en-US" w:eastAsia="zh-CN"/>
        </w:rPr>
      </w:pPr>
      <w:r>
        <w:rPr>
          <w:rFonts w:hint="default"/>
          <w:color w:val="auto"/>
          <w:highlight w:val="none"/>
          <w:lang w:val="en-US" w:eastAsia="zh-CN"/>
        </w:rPr>
        <w:t>(2)噪声防治对策、措施可行性分析</w:t>
      </w:r>
    </w:p>
    <w:p>
      <w:pPr>
        <w:bidi w:val="0"/>
        <w:rPr>
          <w:rFonts w:hint="default"/>
          <w:color w:val="auto"/>
          <w:highlight w:val="none"/>
          <w:lang w:val="en-US" w:eastAsia="zh-CN"/>
        </w:rPr>
      </w:pPr>
      <w:r>
        <w:rPr>
          <w:rFonts w:hint="default"/>
          <w:color w:val="auto"/>
          <w:highlight w:val="none"/>
          <w:lang w:val="en-US" w:eastAsia="zh-CN"/>
        </w:rPr>
        <w:t>控制噪声最有效和最直接的措施是降低声源噪声，因此项目必须配置低噪声设备。目前，通过自行研制和引进技术，国产的低噪声机械设备性能良好，价格适中，因此，选用低噪声设备是可行的；其次，在噪声的传播途径上采取适当的措施，针对各种噪声源在</w:t>
      </w:r>
      <w:r>
        <w:rPr>
          <w:rFonts w:hint="default"/>
          <w:color w:val="auto"/>
          <w:highlight w:val="none"/>
          <w:lang w:val="en-US" w:eastAsia="zh-CN"/>
        </w:rPr>
        <w:fldChar w:fldCharType="begin"/>
      </w:r>
      <w:r>
        <w:rPr>
          <w:rFonts w:hint="default"/>
          <w:color w:val="auto"/>
          <w:highlight w:val="none"/>
          <w:lang w:val="en-US" w:eastAsia="zh-CN"/>
        </w:rPr>
        <w:instrText xml:space="preserve"> REF _Ref16726 \n \h </w:instrText>
      </w:r>
      <w:r>
        <w:rPr>
          <w:rFonts w:hint="default"/>
          <w:color w:val="auto"/>
          <w:highlight w:val="none"/>
          <w:lang w:val="en-US" w:eastAsia="zh-CN"/>
        </w:rPr>
        <w:fldChar w:fldCharType="separate"/>
      </w:r>
      <w:r>
        <w:rPr>
          <w:rFonts w:hint="default"/>
          <w:color w:val="auto"/>
          <w:highlight w:val="none"/>
          <w:lang w:val="en-US" w:eastAsia="zh-CN"/>
        </w:rPr>
        <w:t>表6.3-6</w:t>
      </w:r>
      <w:r>
        <w:rPr>
          <w:rFonts w:hint="default"/>
          <w:color w:val="auto"/>
          <w:highlight w:val="none"/>
          <w:lang w:val="en-US" w:eastAsia="zh-CN"/>
        </w:rPr>
        <w:fldChar w:fldCharType="end"/>
      </w:r>
      <w:r>
        <w:rPr>
          <w:rFonts w:hint="default"/>
          <w:color w:val="auto"/>
          <w:highlight w:val="none"/>
          <w:lang w:val="en-US" w:eastAsia="zh-CN"/>
        </w:rPr>
        <w:t>中列出了几种控制措施，其控制措施的降噪原理、适用场合以及减噪效果。</w:t>
      </w:r>
    </w:p>
    <w:p>
      <w:pPr>
        <w:pStyle w:val="24"/>
        <w:numPr>
          <w:ilvl w:val="6"/>
          <w:numId w:val="7"/>
        </w:numPr>
        <w:tabs>
          <w:tab w:val="left" w:pos="420"/>
        </w:tabs>
        <w:bidi w:val="0"/>
        <w:rPr>
          <w:rFonts w:hint="default"/>
          <w:color w:val="auto"/>
          <w:highlight w:val="none"/>
          <w:lang w:val="en-US" w:eastAsia="zh-CN"/>
        </w:rPr>
      </w:pPr>
      <w:bookmarkStart w:id="638" w:name="_Ref16726"/>
      <w:r>
        <w:rPr>
          <w:rFonts w:hint="default"/>
          <w:color w:val="auto"/>
          <w:highlight w:val="none"/>
          <w:lang w:val="en-US" w:eastAsia="zh-CN"/>
        </w:rPr>
        <w:t>噪声控制的原理与适用场合</w:t>
      </w:r>
      <w:bookmarkEnd w:id="638"/>
    </w:p>
    <w:tbl>
      <w:tblPr>
        <w:tblStyle w:val="17"/>
        <w:tblW w:w="928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94"/>
        <w:gridCol w:w="3850"/>
        <w:gridCol w:w="3089"/>
        <w:gridCol w:w="114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94" w:type="dxa"/>
            <w:tcBorders>
              <w:tl2br w:val="nil"/>
              <w:tr2bl w:val="nil"/>
            </w:tcBorders>
            <w:vAlign w:val="center"/>
          </w:tcPr>
          <w:p>
            <w:pPr>
              <w:pStyle w:val="21"/>
              <w:bidi w:val="0"/>
              <w:rPr>
                <w:color w:val="auto"/>
                <w:highlight w:val="none"/>
              </w:rPr>
            </w:pPr>
            <w:r>
              <w:rPr>
                <w:color w:val="auto"/>
                <w:highlight w:val="none"/>
              </w:rPr>
              <w:t>控制措</w:t>
            </w:r>
          </w:p>
          <w:p>
            <w:pPr>
              <w:pStyle w:val="21"/>
              <w:bidi w:val="0"/>
              <w:rPr>
                <w:color w:val="auto"/>
                <w:highlight w:val="none"/>
              </w:rPr>
            </w:pPr>
            <w:r>
              <w:rPr>
                <w:color w:val="auto"/>
                <w:highlight w:val="none"/>
              </w:rPr>
              <w:t>施类别</w:t>
            </w:r>
          </w:p>
        </w:tc>
        <w:tc>
          <w:tcPr>
            <w:tcW w:w="3850" w:type="dxa"/>
            <w:tcBorders>
              <w:tl2br w:val="nil"/>
              <w:tr2bl w:val="nil"/>
            </w:tcBorders>
            <w:vAlign w:val="center"/>
          </w:tcPr>
          <w:p>
            <w:pPr>
              <w:pStyle w:val="21"/>
              <w:bidi w:val="0"/>
              <w:rPr>
                <w:color w:val="auto"/>
                <w:highlight w:val="none"/>
              </w:rPr>
            </w:pPr>
            <w:r>
              <w:rPr>
                <w:color w:val="auto"/>
                <w:highlight w:val="none"/>
              </w:rPr>
              <w:t>降低噪声原理</w:t>
            </w:r>
          </w:p>
        </w:tc>
        <w:tc>
          <w:tcPr>
            <w:tcW w:w="3089" w:type="dxa"/>
            <w:tcBorders>
              <w:tl2br w:val="nil"/>
              <w:tr2bl w:val="nil"/>
            </w:tcBorders>
            <w:vAlign w:val="center"/>
          </w:tcPr>
          <w:p>
            <w:pPr>
              <w:pStyle w:val="21"/>
              <w:bidi w:val="0"/>
              <w:rPr>
                <w:color w:val="auto"/>
                <w:highlight w:val="none"/>
              </w:rPr>
            </w:pPr>
            <w:r>
              <w:rPr>
                <w:color w:val="auto"/>
                <w:highlight w:val="none"/>
              </w:rPr>
              <w:t>适用场合</w:t>
            </w:r>
          </w:p>
        </w:tc>
        <w:tc>
          <w:tcPr>
            <w:tcW w:w="1149" w:type="dxa"/>
            <w:tcBorders>
              <w:tl2br w:val="nil"/>
              <w:tr2bl w:val="nil"/>
            </w:tcBorders>
            <w:vAlign w:val="center"/>
          </w:tcPr>
          <w:p>
            <w:pPr>
              <w:pStyle w:val="21"/>
              <w:bidi w:val="0"/>
              <w:rPr>
                <w:color w:val="auto"/>
                <w:highlight w:val="none"/>
              </w:rPr>
            </w:pPr>
            <w:r>
              <w:rPr>
                <w:color w:val="auto"/>
                <w:highlight w:val="none"/>
              </w:rPr>
              <w:t>减噪效果(dB)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94" w:type="dxa"/>
            <w:tcBorders>
              <w:tl2br w:val="nil"/>
              <w:tr2bl w:val="nil"/>
            </w:tcBorders>
            <w:vAlign w:val="center"/>
          </w:tcPr>
          <w:p>
            <w:pPr>
              <w:pStyle w:val="21"/>
              <w:bidi w:val="0"/>
              <w:rPr>
                <w:color w:val="auto"/>
                <w:highlight w:val="none"/>
              </w:rPr>
            </w:pPr>
            <w:r>
              <w:rPr>
                <w:color w:val="auto"/>
                <w:highlight w:val="none"/>
              </w:rPr>
              <w:t>隔振</w:t>
            </w:r>
          </w:p>
        </w:tc>
        <w:tc>
          <w:tcPr>
            <w:tcW w:w="3850" w:type="dxa"/>
            <w:tcBorders>
              <w:tl2br w:val="nil"/>
              <w:tr2bl w:val="nil"/>
            </w:tcBorders>
            <w:vAlign w:val="center"/>
          </w:tcPr>
          <w:p>
            <w:pPr>
              <w:pStyle w:val="21"/>
              <w:bidi w:val="0"/>
              <w:rPr>
                <w:color w:val="auto"/>
                <w:highlight w:val="none"/>
              </w:rPr>
            </w:pPr>
            <w:r>
              <w:rPr>
                <w:color w:val="auto"/>
                <w:highlight w:val="none"/>
              </w:rPr>
              <w:t>将振动设备与地板的刚性接触改为弹性接触，隔绝固体声传播，如设计隔振基础，安装隔振器等</w:t>
            </w:r>
          </w:p>
        </w:tc>
        <w:tc>
          <w:tcPr>
            <w:tcW w:w="3089" w:type="dxa"/>
            <w:tcBorders>
              <w:tl2br w:val="nil"/>
              <w:tr2bl w:val="nil"/>
            </w:tcBorders>
            <w:vAlign w:val="center"/>
          </w:tcPr>
          <w:p>
            <w:pPr>
              <w:pStyle w:val="21"/>
              <w:bidi w:val="0"/>
              <w:rPr>
                <w:color w:val="auto"/>
                <w:highlight w:val="none"/>
              </w:rPr>
            </w:pPr>
            <w:r>
              <w:rPr>
                <w:color w:val="auto"/>
                <w:highlight w:val="none"/>
              </w:rPr>
              <w:t>机械振动厉害，干扰居民</w:t>
            </w:r>
          </w:p>
        </w:tc>
        <w:tc>
          <w:tcPr>
            <w:tcW w:w="1149" w:type="dxa"/>
            <w:tcBorders>
              <w:tl2br w:val="nil"/>
              <w:tr2bl w:val="nil"/>
            </w:tcBorders>
            <w:vAlign w:val="center"/>
          </w:tcPr>
          <w:p>
            <w:pPr>
              <w:pStyle w:val="21"/>
              <w:bidi w:val="0"/>
              <w:rPr>
                <w:color w:val="auto"/>
                <w:highlight w:val="none"/>
              </w:rPr>
            </w:pPr>
            <w:r>
              <w:rPr>
                <w:color w:val="auto"/>
                <w:highlight w:val="none"/>
              </w:rPr>
              <w:t>5~25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94" w:type="dxa"/>
            <w:tcBorders>
              <w:tl2br w:val="nil"/>
              <w:tr2bl w:val="nil"/>
            </w:tcBorders>
            <w:vAlign w:val="center"/>
          </w:tcPr>
          <w:p>
            <w:pPr>
              <w:pStyle w:val="21"/>
              <w:bidi w:val="0"/>
              <w:rPr>
                <w:color w:val="auto"/>
                <w:highlight w:val="none"/>
              </w:rPr>
            </w:pPr>
            <w:r>
              <w:rPr>
                <w:color w:val="auto"/>
                <w:highlight w:val="none"/>
              </w:rPr>
              <w:t>减振</w:t>
            </w:r>
          </w:p>
        </w:tc>
        <w:tc>
          <w:tcPr>
            <w:tcW w:w="3850" w:type="dxa"/>
            <w:tcBorders>
              <w:tl2br w:val="nil"/>
              <w:tr2bl w:val="nil"/>
            </w:tcBorders>
            <w:vAlign w:val="center"/>
          </w:tcPr>
          <w:p>
            <w:pPr>
              <w:pStyle w:val="21"/>
              <w:bidi w:val="0"/>
              <w:rPr>
                <w:color w:val="auto"/>
                <w:highlight w:val="none"/>
              </w:rPr>
            </w:pPr>
            <w:r>
              <w:rPr>
                <w:color w:val="auto"/>
                <w:highlight w:val="none"/>
              </w:rPr>
              <w:t>利用内摩擦损耗大的材料涂贴在振动表面上，减少金属薄板的弯曲振动</w:t>
            </w:r>
          </w:p>
        </w:tc>
        <w:tc>
          <w:tcPr>
            <w:tcW w:w="3089" w:type="dxa"/>
            <w:tcBorders>
              <w:tl2br w:val="nil"/>
              <w:tr2bl w:val="nil"/>
            </w:tcBorders>
            <w:vAlign w:val="center"/>
          </w:tcPr>
          <w:p>
            <w:pPr>
              <w:pStyle w:val="21"/>
              <w:bidi w:val="0"/>
              <w:rPr>
                <w:color w:val="auto"/>
                <w:highlight w:val="none"/>
              </w:rPr>
            </w:pPr>
            <w:r>
              <w:rPr>
                <w:color w:val="auto"/>
                <w:highlight w:val="none"/>
              </w:rPr>
              <w:t>设备金属外壳、管道等振动噪声严重</w:t>
            </w:r>
          </w:p>
        </w:tc>
        <w:tc>
          <w:tcPr>
            <w:tcW w:w="1149" w:type="dxa"/>
            <w:tcBorders>
              <w:tl2br w:val="nil"/>
              <w:tr2bl w:val="nil"/>
            </w:tcBorders>
            <w:vAlign w:val="center"/>
          </w:tcPr>
          <w:p>
            <w:pPr>
              <w:pStyle w:val="21"/>
              <w:bidi w:val="0"/>
              <w:rPr>
                <w:color w:val="auto"/>
                <w:highlight w:val="none"/>
              </w:rPr>
            </w:pPr>
            <w:r>
              <w:rPr>
                <w:color w:val="auto"/>
                <w:highlight w:val="none"/>
              </w:rPr>
              <w:t>5~15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94" w:type="dxa"/>
            <w:tcBorders>
              <w:tl2br w:val="nil"/>
              <w:tr2bl w:val="nil"/>
            </w:tcBorders>
            <w:vAlign w:val="center"/>
          </w:tcPr>
          <w:p>
            <w:pPr>
              <w:pStyle w:val="21"/>
              <w:bidi w:val="0"/>
              <w:rPr>
                <w:color w:val="auto"/>
                <w:highlight w:val="none"/>
              </w:rPr>
            </w:pPr>
            <w:r>
              <w:rPr>
                <w:color w:val="auto"/>
                <w:highlight w:val="none"/>
              </w:rPr>
              <w:t>隔声</w:t>
            </w:r>
          </w:p>
        </w:tc>
        <w:tc>
          <w:tcPr>
            <w:tcW w:w="3850" w:type="dxa"/>
            <w:tcBorders>
              <w:tl2br w:val="nil"/>
              <w:tr2bl w:val="nil"/>
            </w:tcBorders>
            <w:vAlign w:val="center"/>
          </w:tcPr>
          <w:p>
            <w:pPr>
              <w:pStyle w:val="21"/>
              <w:bidi w:val="0"/>
              <w:rPr>
                <w:color w:val="auto"/>
                <w:highlight w:val="none"/>
              </w:rPr>
            </w:pPr>
            <w:r>
              <w:rPr>
                <w:color w:val="auto"/>
                <w:highlight w:val="none"/>
              </w:rPr>
              <w:t>利用隔声结构，将噪声源和接受点隔开，常用的有隔声罩、隔声间和隔声屏等。</w:t>
            </w:r>
          </w:p>
        </w:tc>
        <w:tc>
          <w:tcPr>
            <w:tcW w:w="3089" w:type="dxa"/>
            <w:tcBorders>
              <w:tl2br w:val="nil"/>
              <w:tr2bl w:val="nil"/>
            </w:tcBorders>
            <w:vAlign w:val="center"/>
          </w:tcPr>
          <w:p>
            <w:pPr>
              <w:pStyle w:val="21"/>
              <w:bidi w:val="0"/>
              <w:rPr>
                <w:color w:val="auto"/>
                <w:highlight w:val="none"/>
              </w:rPr>
            </w:pPr>
            <w:r>
              <w:rPr>
                <w:color w:val="auto"/>
                <w:highlight w:val="none"/>
              </w:rPr>
              <w:t>车间工人多，噪声设备少，用隔声罩，反之，用隔声间。二者均不允许封闭时采用隔声屏。</w:t>
            </w:r>
          </w:p>
        </w:tc>
        <w:tc>
          <w:tcPr>
            <w:tcW w:w="1149" w:type="dxa"/>
            <w:tcBorders>
              <w:tl2br w:val="nil"/>
              <w:tr2bl w:val="nil"/>
            </w:tcBorders>
            <w:vAlign w:val="center"/>
          </w:tcPr>
          <w:p>
            <w:pPr>
              <w:pStyle w:val="21"/>
              <w:bidi w:val="0"/>
              <w:rPr>
                <w:color w:val="auto"/>
                <w:highlight w:val="none"/>
              </w:rPr>
            </w:pPr>
            <w:r>
              <w:rPr>
                <w:color w:val="auto"/>
                <w:highlight w:val="none"/>
              </w:rPr>
              <w:t>10~40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94" w:type="dxa"/>
            <w:tcBorders>
              <w:tl2br w:val="nil"/>
              <w:tr2bl w:val="nil"/>
            </w:tcBorders>
            <w:vAlign w:val="center"/>
          </w:tcPr>
          <w:p>
            <w:pPr>
              <w:pStyle w:val="21"/>
              <w:bidi w:val="0"/>
              <w:rPr>
                <w:color w:val="auto"/>
                <w:highlight w:val="none"/>
              </w:rPr>
            </w:pPr>
            <w:r>
              <w:rPr>
                <w:color w:val="auto"/>
                <w:highlight w:val="none"/>
              </w:rPr>
              <w:t>消声</w:t>
            </w:r>
          </w:p>
        </w:tc>
        <w:tc>
          <w:tcPr>
            <w:tcW w:w="3850" w:type="dxa"/>
            <w:tcBorders>
              <w:tl2br w:val="nil"/>
              <w:tr2bl w:val="nil"/>
            </w:tcBorders>
            <w:vAlign w:val="center"/>
          </w:tcPr>
          <w:p>
            <w:pPr>
              <w:pStyle w:val="21"/>
              <w:bidi w:val="0"/>
              <w:rPr>
                <w:color w:val="auto"/>
                <w:highlight w:val="none"/>
              </w:rPr>
            </w:pPr>
            <w:r>
              <w:rPr>
                <w:color w:val="auto"/>
                <w:highlight w:val="none"/>
              </w:rPr>
              <w:t>利用阻性、抗性和小孔喷注、多孔扩散等原理，消减气流噪声。</w:t>
            </w:r>
          </w:p>
        </w:tc>
        <w:tc>
          <w:tcPr>
            <w:tcW w:w="3089" w:type="dxa"/>
            <w:tcBorders>
              <w:tl2br w:val="nil"/>
              <w:tr2bl w:val="nil"/>
            </w:tcBorders>
            <w:vAlign w:val="center"/>
          </w:tcPr>
          <w:p>
            <w:pPr>
              <w:pStyle w:val="21"/>
              <w:bidi w:val="0"/>
              <w:rPr>
                <w:color w:val="auto"/>
                <w:highlight w:val="none"/>
              </w:rPr>
            </w:pPr>
            <w:r>
              <w:rPr>
                <w:color w:val="auto"/>
                <w:highlight w:val="none"/>
              </w:rPr>
              <w:t>气动设备的空气动力性噪声</w:t>
            </w:r>
          </w:p>
        </w:tc>
        <w:tc>
          <w:tcPr>
            <w:tcW w:w="1149" w:type="dxa"/>
            <w:tcBorders>
              <w:tl2br w:val="nil"/>
              <w:tr2bl w:val="nil"/>
            </w:tcBorders>
            <w:vAlign w:val="center"/>
          </w:tcPr>
          <w:p>
            <w:pPr>
              <w:pStyle w:val="21"/>
              <w:bidi w:val="0"/>
              <w:rPr>
                <w:color w:val="auto"/>
                <w:highlight w:val="none"/>
              </w:rPr>
            </w:pPr>
            <w:r>
              <w:rPr>
                <w:color w:val="auto"/>
                <w:highlight w:val="none"/>
              </w:rPr>
              <w:t>15~40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94" w:type="dxa"/>
            <w:tcBorders>
              <w:tl2br w:val="nil"/>
              <w:tr2bl w:val="nil"/>
            </w:tcBorders>
            <w:vAlign w:val="center"/>
          </w:tcPr>
          <w:p>
            <w:pPr>
              <w:pStyle w:val="21"/>
              <w:bidi w:val="0"/>
              <w:rPr>
                <w:color w:val="auto"/>
                <w:highlight w:val="none"/>
              </w:rPr>
            </w:pPr>
            <w:r>
              <w:rPr>
                <w:color w:val="auto"/>
                <w:highlight w:val="none"/>
              </w:rPr>
              <w:t>吸声</w:t>
            </w:r>
          </w:p>
        </w:tc>
        <w:tc>
          <w:tcPr>
            <w:tcW w:w="3850" w:type="dxa"/>
            <w:tcBorders>
              <w:tl2br w:val="nil"/>
              <w:tr2bl w:val="nil"/>
            </w:tcBorders>
            <w:vAlign w:val="center"/>
          </w:tcPr>
          <w:p>
            <w:pPr>
              <w:pStyle w:val="21"/>
              <w:bidi w:val="0"/>
              <w:rPr>
                <w:color w:val="auto"/>
                <w:highlight w:val="none"/>
              </w:rPr>
            </w:pPr>
            <w:r>
              <w:rPr>
                <w:color w:val="auto"/>
                <w:highlight w:val="none"/>
              </w:rPr>
              <w:t>利用隔声材料或结构，降低厂房内反射声，如吊挂吸声体等</w:t>
            </w:r>
          </w:p>
        </w:tc>
        <w:tc>
          <w:tcPr>
            <w:tcW w:w="3089" w:type="dxa"/>
            <w:tcBorders>
              <w:tl2br w:val="nil"/>
              <w:tr2bl w:val="nil"/>
            </w:tcBorders>
            <w:vAlign w:val="center"/>
          </w:tcPr>
          <w:p>
            <w:pPr>
              <w:pStyle w:val="21"/>
              <w:bidi w:val="0"/>
              <w:rPr>
                <w:color w:val="auto"/>
                <w:highlight w:val="none"/>
              </w:rPr>
            </w:pPr>
            <w:r>
              <w:rPr>
                <w:color w:val="auto"/>
                <w:highlight w:val="none"/>
              </w:rPr>
              <w:t>车间噪声设备多且分散</w:t>
            </w:r>
          </w:p>
        </w:tc>
        <w:tc>
          <w:tcPr>
            <w:tcW w:w="1149" w:type="dxa"/>
            <w:tcBorders>
              <w:tl2br w:val="nil"/>
              <w:tr2bl w:val="nil"/>
            </w:tcBorders>
            <w:vAlign w:val="center"/>
          </w:tcPr>
          <w:p>
            <w:pPr>
              <w:pStyle w:val="21"/>
              <w:bidi w:val="0"/>
              <w:rPr>
                <w:color w:val="auto"/>
                <w:highlight w:val="none"/>
              </w:rPr>
            </w:pPr>
            <w:r>
              <w:rPr>
                <w:color w:val="auto"/>
                <w:highlight w:val="none"/>
              </w:rPr>
              <w:t>4~10</w:t>
            </w:r>
          </w:p>
        </w:tc>
      </w:tr>
    </w:tbl>
    <w:p>
      <w:pPr>
        <w:bidi w:val="0"/>
        <w:rPr>
          <w:rFonts w:hint="default"/>
          <w:color w:val="auto"/>
          <w:highlight w:val="none"/>
          <w:lang w:val="en-US" w:eastAsia="zh-CN"/>
        </w:rPr>
      </w:pPr>
      <w:r>
        <w:rPr>
          <w:rFonts w:hint="default"/>
          <w:color w:val="auto"/>
          <w:highlight w:val="none"/>
          <w:lang w:val="en-US" w:eastAsia="zh-CN"/>
        </w:rPr>
        <w:t>本项目从源头、传播等环节进行了噪声的防治，只要建设单位认真落实上述各项噪声防治与控制措施，采取有效的隔声降噪措施，可确保厂界噪声符合GB12348-2008中的3类标准要求，工程运营产生的噪声可得到有效的控制，本项目工程噪声经治理后可大大减少厂界噪声对周围环境的影响。</w:t>
      </w:r>
    </w:p>
    <w:p>
      <w:pPr>
        <w:pStyle w:val="4"/>
        <w:numPr>
          <w:ilvl w:val="2"/>
          <w:numId w:val="7"/>
        </w:numPr>
        <w:tabs>
          <w:tab w:val="left" w:pos="420"/>
        </w:tabs>
        <w:bidi w:val="0"/>
        <w:rPr>
          <w:rFonts w:hint="default"/>
          <w:color w:val="auto"/>
          <w:highlight w:val="none"/>
          <w:lang w:val="en-US" w:eastAsia="zh-CN"/>
        </w:rPr>
      </w:pPr>
      <w:r>
        <w:rPr>
          <w:rFonts w:hint="default"/>
          <w:color w:val="auto"/>
          <w:highlight w:val="none"/>
          <w:lang w:val="en-US" w:eastAsia="zh-CN"/>
        </w:rPr>
        <w:t>固体废物处置措施</w:t>
      </w:r>
    </w:p>
    <w:p>
      <w:pPr>
        <w:rPr>
          <w:rFonts w:hint="default"/>
          <w:color w:val="auto"/>
          <w:highlight w:val="none"/>
          <w:lang w:val="en-US" w:eastAsia="zh-CN"/>
        </w:rPr>
      </w:pPr>
      <w:r>
        <w:rPr>
          <w:rFonts w:hint="default"/>
          <w:color w:val="auto"/>
          <w:highlight w:val="none"/>
          <w:lang w:val="en-US" w:eastAsia="zh-CN"/>
        </w:rPr>
        <w:t>运营期项目固废主要包括一般固体废物、危险固体废物及生活垃圾。</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一般固废污染防治措施及要求</w:t>
      </w:r>
    </w:p>
    <w:p>
      <w:pPr>
        <w:bidi w:val="0"/>
        <w:rPr>
          <w:rFonts w:hint="eastAsia" w:cs="Times New Roman"/>
          <w:color w:val="auto"/>
          <w:highlight w:val="none"/>
          <w:lang w:val="en-US" w:eastAsia="zh-CN"/>
        </w:rPr>
      </w:pPr>
      <w:r>
        <w:rPr>
          <w:rFonts w:hint="eastAsia"/>
          <w:color w:val="auto"/>
          <w:highlight w:val="none"/>
          <w:lang w:val="en-US" w:eastAsia="zh-CN"/>
        </w:rPr>
        <w:t>杂质</w:t>
      </w:r>
      <w:r>
        <w:rPr>
          <w:rFonts w:hint="eastAsia" w:cs="Times New Roman"/>
          <w:color w:val="auto"/>
          <w:highlight w:val="none"/>
          <w:lang w:val="en-US" w:eastAsia="zh-CN"/>
        </w:rPr>
        <w:t>收集后委托环卫部门清运处置；废熔块、废丝收集后暂存于一般工业固体废物贮存间，定期回用于破碎、造粒生产；废过滤网收集后暂存于一般工业固体废物贮存间，定期外售综合利用；废包装袋收集后暂存于一般工业固体废物贮存间，定期由原料供应公司回收；污泥收集后暂存于一般工业固体废物贮存间，可继续由三明金牛环保科技有限公司水泥窑协同处置或送入填埋场处理；布袋粉尘</w:t>
      </w:r>
      <w:r>
        <w:rPr>
          <w:rFonts w:hint="eastAsia"/>
          <w:color w:val="auto"/>
          <w:szCs w:val="20"/>
          <w:highlight w:val="none"/>
          <w:lang w:val="en-US" w:eastAsia="zh-CN"/>
        </w:rPr>
        <w:t>收集后暂存于一般工业固体废物贮存间，定期回用于造粒生产。</w:t>
      </w:r>
    </w:p>
    <w:p>
      <w:pPr>
        <w:rPr>
          <w:rFonts w:hint="default"/>
          <w:color w:val="auto"/>
          <w:highlight w:val="none"/>
          <w:lang w:val="en-US" w:eastAsia="zh-CN"/>
        </w:rPr>
      </w:pPr>
      <w:r>
        <w:rPr>
          <w:rFonts w:hint="eastAsia"/>
          <w:color w:val="auto"/>
          <w:highlight w:val="none"/>
          <w:lang w:val="en-US" w:eastAsia="zh-CN"/>
        </w:rPr>
        <w:t>项目设置间不小于80m</w:t>
      </w:r>
      <w:r>
        <w:rPr>
          <w:rFonts w:hint="eastAsia"/>
          <w:color w:val="auto"/>
          <w:highlight w:val="none"/>
          <w:vertAlign w:val="superscript"/>
          <w:lang w:val="en-US" w:eastAsia="zh-CN"/>
        </w:rPr>
        <w:t>2</w:t>
      </w:r>
      <w:r>
        <w:rPr>
          <w:rFonts w:hint="eastAsia"/>
          <w:color w:val="auto"/>
          <w:highlight w:val="none"/>
          <w:lang w:val="en-US" w:eastAsia="zh-CN"/>
        </w:rPr>
        <w:t>的一般固体废物贮存间。</w:t>
      </w:r>
      <w:r>
        <w:rPr>
          <w:rFonts w:hint="default"/>
          <w:color w:val="auto"/>
          <w:highlight w:val="none"/>
          <w:lang w:val="en-US" w:eastAsia="zh-CN"/>
        </w:rPr>
        <w:t>一般固废贮存间建设管理要求：</w:t>
      </w:r>
      <w:r>
        <w:rPr>
          <w:rFonts w:hint="eastAsia"/>
          <w:color w:val="auto"/>
          <w:highlight w:val="none"/>
          <w:lang w:val="en-US" w:eastAsia="zh-CN"/>
        </w:rPr>
        <w:t>按</w:t>
      </w:r>
      <w:r>
        <w:rPr>
          <w:rFonts w:hint="default"/>
          <w:color w:val="auto"/>
          <w:highlight w:val="none"/>
          <w:lang w:val="en-US" w:eastAsia="zh-CN"/>
        </w:rPr>
        <w:t>GB</w:t>
      </w:r>
      <w:r>
        <w:rPr>
          <w:rFonts w:hint="eastAsia"/>
          <w:color w:val="auto"/>
          <w:highlight w:val="none"/>
          <w:lang w:val="en-US" w:eastAsia="zh-CN"/>
        </w:rPr>
        <w:t>18599-2020</w:t>
      </w:r>
      <w:r>
        <w:rPr>
          <w:rFonts w:hint="default"/>
          <w:color w:val="auto"/>
          <w:highlight w:val="none"/>
          <w:lang w:val="en-US" w:eastAsia="zh-CN"/>
        </w:rPr>
        <w:t>《一般工业固体废物贮存</w:t>
      </w:r>
      <w:r>
        <w:rPr>
          <w:rFonts w:hint="eastAsia"/>
          <w:color w:val="auto"/>
          <w:highlight w:val="none"/>
          <w:lang w:val="en-US" w:eastAsia="zh-CN"/>
        </w:rPr>
        <w:t>和填埋</w:t>
      </w:r>
      <w:r>
        <w:rPr>
          <w:rFonts w:hint="default"/>
          <w:color w:val="auto"/>
          <w:highlight w:val="none"/>
          <w:lang w:val="en-US" w:eastAsia="zh-CN"/>
        </w:rPr>
        <w:t>污染控制标准》要求；防渗要求：按一般污染区防渗要求：等效粘土防渗层Mb≥1.5，渗透系数K≤1×10</w:t>
      </w:r>
      <w:r>
        <w:rPr>
          <w:rFonts w:hint="default"/>
          <w:color w:val="auto"/>
          <w:highlight w:val="none"/>
          <w:vertAlign w:val="superscript"/>
          <w:lang w:val="en-US" w:eastAsia="zh-CN"/>
        </w:rPr>
        <w:t>-7</w:t>
      </w:r>
      <w:r>
        <w:rPr>
          <w:rFonts w:hint="default"/>
          <w:color w:val="auto"/>
          <w:highlight w:val="none"/>
          <w:lang w:val="en-US" w:eastAsia="zh-CN"/>
        </w:rPr>
        <w:t>cm/s。</w:t>
      </w:r>
    </w:p>
    <w:p>
      <w:pPr>
        <w:rPr>
          <w:rFonts w:hint="default"/>
          <w:color w:val="auto"/>
          <w:highlight w:val="none"/>
          <w:lang w:val="en-US" w:eastAsia="zh-CN"/>
        </w:rPr>
      </w:pPr>
      <w:r>
        <w:rPr>
          <w:rFonts w:hint="eastAsia"/>
          <w:color w:val="auto"/>
          <w:highlight w:val="none"/>
          <w:lang w:val="en-US" w:eastAsia="zh-CN"/>
        </w:rPr>
        <w:t>同时，本项目原料废涤纶属于接收的一般工业固体废物，因此，本项目废涤纶原料贮存区应按</w:t>
      </w:r>
      <w:r>
        <w:rPr>
          <w:rFonts w:hint="default"/>
          <w:color w:val="auto"/>
          <w:highlight w:val="none"/>
          <w:lang w:val="en-US" w:eastAsia="zh-CN"/>
        </w:rPr>
        <w:t>GB</w:t>
      </w:r>
      <w:r>
        <w:rPr>
          <w:rFonts w:hint="eastAsia"/>
          <w:color w:val="auto"/>
          <w:highlight w:val="none"/>
          <w:lang w:val="en-US" w:eastAsia="zh-CN"/>
        </w:rPr>
        <w:t>18599-2020</w:t>
      </w:r>
      <w:r>
        <w:rPr>
          <w:rFonts w:hint="default"/>
          <w:color w:val="auto"/>
          <w:highlight w:val="none"/>
          <w:lang w:val="en-US" w:eastAsia="zh-CN"/>
        </w:rPr>
        <w:t>《一般工业固体废物贮存</w:t>
      </w:r>
      <w:r>
        <w:rPr>
          <w:rFonts w:hint="eastAsia"/>
          <w:color w:val="auto"/>
          <w:highlight w:val="none"/>
          <w:lang w:val="en-US" w:eastAsia="zh-CN"/>
        </w:rPr>
        <w:t>和填埋</w:t>
      </w:r>
      <w:r>
        <w:rPr>
          <w:rFonts w:hint="default"/>
          <w:color w:val="auto"/>
          <w:highlight w:val="none"/>
          <w:lang w:val="en-US" w:eastAsia="zh-CN"/>
        </w:rPr>
        <w:t>污染控制标准》要求</w:t>
      </w:r>
      <w:r>
        <w:rPr>
          <w:rFonts w:hint="eastAsia"/>
          <w:color w:val="auto"/>
          <w:highlight w:val="none"/>
          <w:lang w:val="en-US" w:eastAsia="zh-CN"/>
        </w:rPr>
        <w:t>建设管理。</w:t>
      </w:r>
    </w:p>
    <w:p>
      <w:pPr>
        <w:pStyle w:val="5"/>
        <w:numPr>
          <w:ilvl w:val="3"/>
          <w:numId w:val="7"/>
        </w:numPr>
        <w:tabs>
          <w:tab w:val="left" w:pos="420"/>
        </w:tabs>
        <w:bidi w:val="0"/>
        <w:rPr>
          <w:rFonts w:hint="default"/>
          <w:color w:val="auto"/>
          <w:highlight w:val="none"/>
          <w:lang w:val="en-US" w:eastAsia="zh-CN"/>
        </w:rPr>
      </w:pPr>
      <w:r>
        <w:rPr>
          <w:color w:val="auto"/>
          <w:highlight w:val="none"/>
        </w:rPr>
        <w:t>危险废物防治措施及要求</w:t>
      </w:r>
    </w:p>
    <w:p>
      <w:pPr>
        <w:rPr>
          <w:rFonts w:hint="default"/>
          <w:color w:val="auto"/>
          <w:highlight w:val="none"/>
          <w:lang w:val="en-US" w:eastAsia="zh-CN"/>
        </w:rPr>
      </w:pPr>
      <w:r>
        <w:rPr>
          <w:rFonts w:hint="default"/>
          <w:color w:val="auto"/>
          <w:highlight w:val="none"/>
          <w:lang w:val="en-US" w:eastAsia="zh-CN"/>
        </w:rPr>
        <w:t>(1)</w:t>
      </w:r>
      <w:r>
        <w:rPr>
          <w:rFonts w:hint="eastAsia"/>
          <w:color w:val="auto"/>
          <w:highlight w:val="none"/>
          <w:lang w:val="en-US" w:eastAsia="zh-CN"/>
        </w:rPr>
        <w:t>真空废液、废纺丝油剂、</w:t>
      </w:r>
      <w:r>
        <w:rPr>
          <w:rFonts w:hint="default"/>
          <w:color w:val="auto"/>
          <w:highlight w:val="none"/>
          <w:lang w:val="en-US" w:eastAsia="zh-CN"/>
        </w:rPr>
        <w:t>浸油槽废液</w:t>
      </w:r>
      <w:r>
        <w:rPr>
          <w:rFonts w:hint="eastAsia"/>
          <w:color w:val="auto"/>
          <w:highlight w:val="none"/>
          <w:lang w:val="en-US" w:eastAsia="zh-CN"/>
        </w:rPr>
        <w:t>、</w:t>
      </w:r>
      <w:r>
        <w:rPr>
          <w:rFonts w:hint="default"/>
          <w:color w:val="auto"/>
          <w:highlight w:val="none"/>
          <w:lang w:val="en-US" w:eastAsia="zh-CN"/>
        </w:rPr>
        <w:t>煅烧废渣</w:t>
      </w:r>
      <w:r>
        <w:rPr>
          <w:rFonts w:hint="eastAsia"/>
          <w:color w:val="auto"/>
          <w:highlight w:val="none"/>
          <w:lang w:val="en-US" w:eastAsia="zh-CN"/>
        </w:rPr>
        <w:t>、</w:t>
      </w:r>
      <w:r>
        <w:rPr>
          <w:rFonts w:hint="default"/>
          <w:color w:val="auto"/>
          <w:highlight w:val="none"/>
          <w:lang w:val="en-US" w:eastAsia="zh-CN"/>
        </w:rPr>
        <w:t>废机油</w:t>
      </w:r>
      <w:r>
        <w:rPr>
          <w:rFonts w:hint="eastAsia"/>
          <w:color w:val="auto"/>
          <w:highlight w:val="none"/>
          <w:lang w:val="en-US" w:eastAsia="zh-CN"/>
        </w:rPr>
        <w:t>收集后暂存于危险废物贮存间，定期委托有资质单位处置</w:t>
      </w:r>
      <w:r>
        <w:rPr>
          <w:rFonts w:hint="default"/>
          <w:color w:val="auto"/>
          <w:highlight w:val="none"/>
          <w:lang w:val="en-US" w:eastAsia="zh-CN"/>
        </w:rPr>
        <w:t>。</w:t>
      </w:r>
    </w:p>
    <w:p>
      <w:pPr>
        <w:rPr>
          <w:rFonts w:hint="default"/>
          <w:color w:val="auto"/>
          <w:highlight w:val="none"/>
          <w:lang w:val="en-US" w:eastAsia="zh-CN"/>
        </w:rPr>
      </w:pPr>
      <w:r>
        <w:rPr>
          <w:rFonts w:hint="default"/>
          <w:color w:val="auto"/>
          <w:highlight w:val="none"/>
          <w:lang w:val="en-US" w:eastAsia="zh-CN"/>
        </w:rPr>
        <w:t>(2)废油剂空桶由厂家回收。</w:t>
      </w:r>
    </w:p>
    <w:p>
      <w:pPr>
        <w:rPr>
          <w:rFonts w:hint="default"/>
          <w:color w:val="auto"/>
          <w:highlight w:val="none"/>
          <w:lang w:val="en-US" w:eastAsia="zh-CN"/>
        </w:rPr>
      </w:pPr>
      <w:r>
        <w:rPr>
          <w:rFonts w:hint="default"/>
          <w:color w:val="auto"/>
          <w:highlight w:val="none"/>
          <w:lang w:val="en-US" w:eastAsia="zh-CN"/>
        </w:rPr>
        <w:t>(3)危废暂存管理需按以下要求进行：</w:t>
      </w:r>
    </w:p>
    <w:p>
      <w:pPr>
        <w:rPr>
          <w:rFonts w:hint="default"/>
          <w:color w:val="auto"/>
          <w:highlight w:val="none"/>
          <w:lang w:val="en-US" w:eastAsia="zh-CN"/>
        </w:rPr>
      </w:pPr>
      <w:r>
        <w:rPr>
          <w:rFonts w:hint="default"/>
          <w:color w:val="auto"/>
          <w:highlight w:val="none"/>
          <w:lang w:val="en-US" w:eastAsia="zh-CN"/>
        </w:rPr>
        <w:t>危废间应做好防渗要求，危险废物暂存间内的各类危险废物应分类存放，建设单位应加强危险废物的管理，注意台账的完善，定期对危废暂存间进行检查维修。还应按照GB18597-2001《危险废物贮存污染控制标准》及修改单的要求进行贮存，贮存应符合下列要求：</w:t>
      </w:r>
    </w:p>
    <w:p>
      <w:pPr>
        <w:rPr>
          <w:rFonts w:hint="default"/>
          <w:color w:val="auto"/>
          <w:highlight w:val="none"/>
          <w:lang w:val="en-US" w:eastAsia="zh-CN"/>
        </w:rPr>
      </w:pPr>
      <w:r>
        <w:rPr>
          <w:rFonts w:hint="default"/>
          <w:color w:val="auto"/>
          <w:highlight w:val="none"/>
          <w:lang w:val="en-US" w:eastAsia="zh-CN"/>
        </w:rPr>
        <w:t xml:space="preserve">①必须将危险废物装入密闭容器内，并确保完好无损； </w:t>
      </w:r>
    </w:p>
    <w:p>
      <w:pPr>
        <w:rPr>
          <w:rFonts w:hint="default"/>
          <w:color w:val="auto"/>
          <w:highlight w:val="none"/>
          <w:lang w:val="en-US" w:eastAsia="zh-CN"/>
        </w:rPr>
      </w:pPr>
      <w:r>
        <w:rPr>
          <w:rFonts w:hint="default"/>
          <w:color w:val="auto"/>
          <w:highlight w:val="none"/>
          <w:lang w:val="en-US" w:eastAsia="zh-CN"/>
        </w:rPr>
        <w:t xml:space="preserve">②装载危险废物的容器及材质要满足相应的强度要求； </w:t>
      </w:r>
    </w:p>
    <w:p>
      <w:pPr>
        <w:rPr>
          <w:rFonts w:hint="default"/>
          <w:color w:val="auto"/>
          <w:highlight w:val="none"/>
          <w:lang w:val="en-US" w:eastAsia="zh-CN"/>
        </w:rPr>
      </w:pPr>
      <w:r>
        <w:rPr>
          <w:rFonts w:hint="default"/>
          <w:color w:val="auto"/>
          <w:highlight w:val="none"/>
          <w:lang w:val="en-US" w:eastAsia="zh-CN"/>
        </w:rPr>
        <w:t xml:space="preserve">③应当使用符合标准的容器盛装危险废物； </w:t>
      </w:r>
    </w:p>
    <w:p>
      <w:pPr>
        <w:rPr>
          <w:rFonts w:hint="default"/>
          <w:color w:val="auto"/>
          <w:highlight w:val="none"/>
          <w:lang w:val="en-US" w:eastAsia="zh-CN"/>
        </w:rPr>
      </w:pPr>
      <w:r>
        <w:rPr>
          <w:rFonts w:hint="default"/>
          <w:color w:val="auto"/>
          <w:highlight w:val="none"/>
          <w:lang w:val="en-US" w:eastAsia="zh-CN"/>
        </w:rPr>
        <w:t xml:space="preserve">④盛装危险废物的容器材质要与危险废物相容(不相互反应)； </w:t>
      </w:r>
    </w:p>
    <w:p>
      <w:pPr>
        <w:rPr>
          <w:rFonts w:hint="default"/>
          <w:color w:val="auto"/>
          <w:highlight w:val="none"/>
          <w:lang w:val="en-US" w:eastAsia="zh-CN"/>
        </w:rPr>
      </w:pPr>
      <w:r>
        <w:rPr>
          <w:rFonts w:hint="default"/>
          <w:color w:val="auto"/>
          <w:highlight w:val="none"/>
          <w:lang w:val="en-US" w:eastAsia="zh-CN"/>
        </w:rPr>
        <w:t xml:space="preserve">⑤盛装危险废物的容器上必须粘贴符合标准的标签。 </w:t>
      </w:r>
    </w:p>
    <w:p>
      <w:pPr>
        <w:rPr>
          <w:rFonts w:hint="eastAsia"/>
          <w:color w:val="auto"/>
          <w:highlight w:val="none"/>
          <w:lang w:val="en-US" w:eastAsia="zh-CN"/>
        </w:rPr>
      </w:pPr>
      <w:r>
        <w:rPr>
          <w:rFonts w:hint="default"/>
          <w:color w:val="auto"/>
          <w:highlight w:val="none"/>
          <w:lang w:val="en-US" w:eastAsia="zh-CN"/>
        </w:rPr>
        <w:t>流转管理要求：企业必须对危险固废进行申报登记，制定定期外运制度，并对危险废物的流向和最终处置进行跟踪，确保固废得到有效处置，禁止在转移过程中将危险废物排放至环境中</w:t>
      </w:r>
      <w:r>
        <w:rPr>
          <w:rFonts w:hint="eastAsia"/>
          <w:color w:val="auto"/>
          <w:highlight w:val="none"/>
          <w:lang w:val="en-US" w:eastAsia="zh-CN"/>
        </w:rPr>
        <w:t>。</w:t>
      </w:r>
    </w:p>
    <w:p>
      <w:pPr>
        <w:rPr>
          <w:rFonts w:hint="default"/>
          <w:color w:val="auto"/>
          <w:highlight w:val="none"/>
          <w:lang w:val="en-US" w:eastAsia="zh-CN"/>
        </w:rPr>
      </w:pPr>
      <w:r>
        <w:rPr>
          <w:rFonts w:hint="default"/>
          <w:color w:val="auto"/>
          <w:highlight w:val="none"/>
          <w:lang w:val="en-US" w:eastAsia="zh-CN"/>
        </w:rPr>
        <w:t>(</w:t>
      </w:r>
      <w:r>
        <w:rPr>
          <w:rFonts w:hint="eastAsia"/>
          <w:color w:val="auto"/>
          <w:highlight w:val="none"/>
          <w:lang w:val="en-US" w:eastAsia="zh-CN"/>
        </w:rPr>
        <w:t>4</w:t>
      </w:r>
      <w:r>
        <w:rPr>
          <w:rFonts w:hint="default"/>
          <w:color w:val="auto"/>
          <w:highlight w:val="none"/>
          <w:lang w:val="en-US" w:eastAsia="zh-CN"/>
        </w:rPr>
        <w:t>)本项目危险废物转移全过程环境管理如下：</w:t>
      </w:r>
    </w:p>
    <w:p>
      <w:pPr>
        <w:rPr>
          <w:rFonts w:hint="default"/>
          <w:color w:val="auto"/>
          <w:highlight w:val="none"/>
          <w:lang w:val="en-US" w:eastAsia="zh-CN"/>
        </w:rPr>
      </w:pPr>
      <w:r>
        <w:rPr>
          <w:rFonts w:hint="default"/>
          <w:color w:val="auto"/>
          <w:highlight w:val="none"/>
          <w:lang w:val="en-US" w:eastAsia="zh-CN"/>
        </w:rPr>
        <w:t>目前，福建省已建立福建省固体废物环境监管平台，危险废物已实行网上电子联单管理，企业运营过程产生的危险废物应按管理平台流程填报，主要流程包括：</w:t>
      </w:r>
    </w:p>
    <w:p>
      <w:pPr>
        <w:rPr>
          <w:rFonts w:hint="default"/>
          <w:color w:val="auto"/>
          <w:highlight w:val="none"/>
          <w:lang w:val="en-US" w:eastAsia="zh-CN"/>
        </w:rPr>
      </w:pPr>
      <w:r>
        <w:rPr>
          <w:rFonts w:hint="default"/>
          <w:color w:val="auto"/>
          <w:highlight w:val="none"/>
          <w:lang w:val="en-US" w:eastAsia="zh-CN"/>
        </w:rPr>
        <w:t>①产生单位填写电子联单。转移当天，产生单位登陆省固废平台填报转移信息，即电子联单第一部分内容，确定无误后保存提交，并打印加盖公章，交付危险废物运输单位核实验收并随车携带。</w:t>
      </w:r>
    </w:p>
    <w:p>
      <w:pPr>
        <w:rPr>
          <w:rFonts w:hint="default"/>
          <w:color w:val="auto"/>
          <w:highlight w:val="none"/>
          <w:lang w:val="en-US" w:eastAsia="zh-CN"/>
        </w:rPr>
      </w:pPr>
      <w:r>
        <w:rPr>
          <w:rFonts w:hint="default"/>
          <w:color w:val="auto"/>
          <w:highlight w:val="none"/>
          <w:lang w:val="en-US" w:eastAsia="zh-CN"/>
        </w:rPr>
        <w:t>②接收单位填写电子联单并完成审核。危险废物运至接收单位后，运输单位将随车携带的纸质联单交接收单位，接收单位对危险废物核实验收，确认转移信息无误后，当天登录省固废平台填写电子联单第二部分和第三部分内容并确认提交。发现联单第一部分转移信息有误的，退回产生单位修改重新提交确认。</w:t>
      </w:r>
    </w:p>
    <w:p>
      <w:pPr>
        <w:rPr>
          <w:rFonts w:hint="default"/>
          <w:color w:val="auto"/>
          <w:highlight w:val="none"/>
          <w:lang w:val="en-US" w:eastAsia="zh-CN"/>
        </w:rPr>
      </w:pPr>
      <w:r>
        <w:rPr>
          <w:rFonts w:hint="default"/>
          <w:color w:val="auto"/>
          <w:highlight w:val="none"/>
          <w:lang w:val="en-US" w:eastAsia="zh-CN"/>
        </w:rPr>
        <w:t>③打印电子联单并盖章存档备查。电子联单确认完毕后，产生单位打印一式5份纸质联单，产生单位和接收单位分别盖章，产生单位、接收单位、运输单位、产生地环保分局和接受地生态环境局各存一份备查。发生转移12天内由产生单位将联单报送所在地环保分局，并附上对应过磅单。</w:t>
      </w:r>
    </w:p>
    <w:p>
      <w:pPr>
        <w:rPr>
          <w:rFonts w:hint="default"/>
          <w:color w:val="auto"/>
          <w:highlight w:val="none"/>
          <w:lang w:val="en-US" w:eastAsia="zh-CN"/>
        </w:rPr>
      </w:pPr>
      <w:r>
        <w:rPr>
          <w:rFonts w:hint="default"/>
          <w:color w:val="auto"/>
          <w:highlight w:val="none"/>
          <w:lang w:val="en-US" w:eastAsia="zh-CN"/>
        </w:rPr>
        <w:t>④环保分局核查并汇总上报市局。各环保分局对省固废平台电子联单、企业报送的纸质联单和过磅单进行核对，确认无误后于每月15日前汇总上月的危废转移情况报送市生态环境局(危险废物管理—危险废物转移管理—转移联单管理—联单查询—导出)。</w:t>
      </w:r>
    </w:p>
    <w:p>
      <w:pPr>
        <w:rPr>
          <w:rFonts w:hint="default"/>
          <w:color w:val="auto"/>
          <w:highlight w:val="none"/>
          <w:lang w:val="en-US" w:eastAsia="zh-CN"/>
        </w:rPr>
      </w:pPr>
      <w:r>
        <w:rPr>
          <w:rFonts w:hint="default"/>
          <w:color w:val="auto"/>
          <w:highlight w:val="none"/>
          <w:lang w:val="en-US" w:eastAsia="zh-CN"/>
        </w:rPr>
        <w:t>另外，危险废物处置或利用单位必须具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w:t>
      </w:r>
    </w:p>
    <w:p>
      <w:pPr>
        <w:rPr>
          <w:rFonts w:hint="default"/>
          <w:color w:val="auto"/>
          <w:highlight w:val="none"/>
          <w:lang w:val="en-US" w:eastAsia="zh-CN"/>
        </w:rPr>
      </w:pP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生活垃圾</w:t>
      </w:r>
    </w:p>
    <w:p>
      <w:pPr>
        <w:rPr>
          <w:rFonts w:hint="default"/>
          <w:color w:val="auto"/>
          <w:highlight w:val="none"/>
          <w:lang w:val="en-US" w:eastAsia="zh-CN"/>
        </w:rPr>
      </w:pPr>
      <w:r>
        <w:rPr>
          <w:rFonts w:hint="default"/>
          <w:color w:val="auto"/>
          <w:highlight w:val="none"/>
          <w:lang w:val="en-US" w:eastAsia="zh-CN"/>
        </w:rPr>
        <w:t>运营期产生的生活固废主要为办公人员生活垃圾，生活垃圾产生量约为</w:t>
      </w:r>
      <w:r>
        <w:rPr>
          <w:rFonts w:hint="eastAsia"/>
          <w:color w:val="auto"/>
          <w:highlight w:val="none"/>
          <w:lang w:val="en-US" w:eastAsia="zh-CN"/>
        </w:rPr>
        <w:t xml:space="preserve">150 </w:t>
      </w:r>
      <w:r>
        <w:rPr>
          <w:rFonts w:hint="default"/>
          <w:color w:val="auto"/>
          <w:highlight w:val="none"/>
          <w:lang w:val="en-US" w:eastAsia="zh-CN"/>
        </w:rPr>
        <w:t>kg/d(</w:t>
      </w:r>
      <w:r>
        <w:rPr>
          <w:rFonts w:hint="eastAsia"/>
          <w:color w:val="auto"/>
          <w:highlight w:val="none"/>
          <w:lang w:val="en-US" w:eastAsia="zh-CN"/>
        </w:rPr>
        <w:t xml:space="preserve">49.5 </w:t>
      </w:r>
      <w:r>
        <w:rPr>
          <w:rFonts w:hint="default"/>
          <w:color w:val="auto"/>
          <w:highlight w:val="none"/>
          <w:lang w:val="en-US" w:eastAsia="zh-CN"/>
        </w:rPr>
        <w:t>t/a)，委托环卫部门定期清运处理。项目在一般生活垃圾收集、储存和处置过程中，应采取以下措施以加强管理和对周围环境的保护：</w:t>
      </w:r>
    </w:p>
    <w:p>
      <w:pPr>
        <w:bidi w:val="0"/>
        <w:rPr>
          <w:rFonts w:hint="default"/>
          <w:color w:val="auto"/>
          <w:highlight w:val="none"/>
          <w:lang w:val="en-US" w:eastAsia="zh-CN"/>
        </w:rPr>
      </w:pPr>
      <w:r>
        <w:rPr>
          <w:rFonts w:hint="default"/>
          <w:color w:val="auto"/>
          <w:highlight w:val="none"/>
          <w:lang w:val="en-US" w:eastAsia="zh-CN"/>
        </w:rPr>
        <w:t>（1）垃圾收集设施应进行适当封闭，以防止雨水进入造成二次污染，杜绝蚊虫鼠害和恶臭异味影响；</w:t>
      </w:r>
    </w:p>
    <w:p>
      <w:pPr>
        <w:bidi w:val="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垃圾收集设施内的生活垃圾应及时委托环卫部门进行清运，定期消毒。</w:t>
      </w:r>
    </w:p>
    <w:p>
      <w:pPr>
        <w:pStyle w:val="4"/>
        <w:numPr>
          <w:ilvl w:val="2"/>
          <w:numId w:val="7"/>
        </w:numPr>
        <w:tabs>
          <w:tab w:val="left" w:pos="420"/>
        </w:tabs>
        <w:bidi w:val="0"/>
        <w:rPr>
          <w:rFonts w:hint="default"/>
          <w:color w:val="auto"/>
          <w:highlight w:val="none"/>
          <w:lang w:val="en-US" w:eastAsia="zh-CN"/>
        </w:rPr>
      </w:pPr>
      <w:r>
        <w:rPr>
          <w:rFonts w:hint="default"/>
          <w:color w:val="auto"/>
          <w:highlight w:val="none"/>
          <w:lang w:val="en-US" w:eastAsia="zh-CN"/>
        </w:rPr>
        <w:t>地下水污染防治措施</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地下水防渗原则</w:t>
      </w:r>
    </w:p>
    <w:p>
      <w:pPr>
        <w:rPr>
          <w:rFonts w:hint="default"/>
          <w:color w:val="auto"/>
          <w:highlight w:val="none"/>
          <w:lang w:val="en-US" w:eastAsia="zh-CN"/>
        </w:rPr>
      </w:pPr>
      <w:r>
        <w:rPr>
          <w:rFonts w:hint="default"/>
          <w:color w:val="auto"/>
          <w:highlight w:val="none"/>
          <w:lang w:val="en-US" w:eastAsia="zh-CN"/>
        </w:rPr>
        <w:t>本项目采用主动防渗漏措施与被动防渗漏措施相结合方法，防止地下水受到污染。</w:t>
      </w:r>
    </w:p>
    <w:p>
      <w:pPr>
        <w:rPr>
          <w:rFonts w:hint="default"/>
          <w:color w:val="auto"/>
          <w:highlight w:val="none"/>
          <w:lang w:val="en-US" w:eastAsia="zh-CN"/>
        </w:rPr>
      </w:pPr>
      <w:r>
        <w:rPr>
          <w:rFonts w:hint="default"/>
          <w:color w:val="auto"/>
          <w:highlight w:val="none"/>
          <w:lang w:val="en-US" w:eastAsia="zh-CN"/>
        </w:rPr>
        <w:t>（1）主动防渗漏：即源头控制措施，主要包括在工艺、管道、设备、污水储存及处理构筑物采取相应措施，防止和降低污染物跑、冒、滴、漏，将污染物泄漏事故降到最低程度；</w:t>
      </w:r>
    </w:p>
    <w:p>
      <w:pPr>
        <w:rPr>
          <w:rFonts w:hint="default"/>
          <w:color w:val="auto"/>
          <w:highlight w:val="none"/>
          <w:lang w:val="en-US" w:eastAsia="zh-CN"/>
        </w:rPr>
      </w:pPr>
      <w:r>
        <w:rPr>
          <w:rFonts w:hint="default"/>
          <w:color w:val="auto"/>
          <w:highlight w:val="none"/>
          <w:lang w:val="en-US" w:eastAsia="zh-CN"/>
        </w:rPr>
        <w:t>（2）被动防渗漏：即末端控制措施，主要包括厂内污染区地面的防渗措施和泄漏、渗漏污染物收集措施，即在污染区地面进行防渗处理，防止洒落地面的污染物渗入地下，并把滞留在地面的污染物收集起来，集中处理；</w:t>
      </w:r>
    </w:p>
    <w:p>
      <w:pPr>
        <w:rPr>
          <w:rFonts w:hint="default"/>
          <w:color w:val="auto"/>
          <w:highlight w:val="none"/>
          <w:lang w:val="en-US" w:eastAsia="zh-CN"/>
        </w:rPr>
      </w:pPr>
      <w:r>
        <w:rPr>
          <w:rFonts w:hint="default"/>
          <w:color w:val="auto"/>
          <w:highlight w:val="none"/>
          <w:lang w:val="en-US" w:eastAsia="zh-CN"/>
        </w:rPr>
        <w:t>（3）分区防治，以特殊装置区为主，一般生产区为辅；事故易发区为主，一般区为辅。</w:t>
      </w:r>
    </w:p>
    <w:p>
      <w:pPr>
        <w:rPr>
          <w:rFonts w:hint="default"/>
          <w:color w:val="auto"/>
          <w:highlight w:val="none"/>
          <w:lang w:val="en-US" w:eastAsia="zh-CN"/>
        </w:rPr>
      </w:pPr>
      <w:r>
        <w:rPr>
          <w:rFonts w:hint="default"/>
          <w:color w:val="auto"/>
          <w:highlight w:val="none"/>
          <w:lang w:val="en-US" w:eastAsia="zh-CN"/>
        </w:rPr>
        <w:t>（4）建立地下水污染监控系统和事故污染应急预案：完善和监测制度，配备先进的检测仪器和设备，科学、合理设置地下水污染监控井和排泄抽水井，达到及时发现、及时控制污染的目的。</w:t>
      </w:r>
    </w:p>
    <w:p>
      <w:pPr>
        <w:rPr>
          <w:rFonts w:hint="default"/>
          <w:color w:val="auto"/>
          <w:highlight w:val="none"/>
          <w:lang w:val="en-US" w:eastAsia="zh-CN"/>
        </w:rPr>
      </w:pPr>
      <w:r>
        <w:rPr>
          <w:rFonts w:hint="default"/>
          <w:color w:val="auto"/>
          <w:highlight w:val="none"/>
          <w:lang w:val="en-US" w:eastAsia="zh-CN"/>
        </w:rPr>
        <w:t>（5）坚持“可视化”原则，输送含有污染物的管道采用明管，减少由于埋地管道泄漏而造成的地下水污染。</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防渗措施</w:t>
      </w:r>
    </w:p>
    <w:p>
      <w:pPr>
        <w:rPr>
          <w:rFonts w:hint="default"/>
          <w:color w:val="auto"/>
          <w:sz w:val="24"/>
          <w:szCs w:val="24"/>
          <w:highlight w:val="none"/>
          <w:lang w:val="en-US" w:eastAsia="zh-CN"/>
        </w:rPr>
      </w:pPr>
      <w:r>
        <w:rPr>
          <w:rFonts w:hint="default"/>
          <w:color w:val="auto"/>
          <w:sz w:val="24"/>
          <w:szCs w:val="24"/>
          <w:highlight w:val="none"/>
          <w:lang w:val="en-US" w:eastAsia="zh-CN"/>
        </w:rPr>
        <w:t>根据</w:t>
      </w:r>
      <w:r>
        <w:rPr>
          <w:rFonts w:hint="eastAsia" w:ascii="Times New Roman" w:hAnsi="Times New Roman" w:eastAsia="宋体" w:cs="Times New Roman"/>
          <w:b w:val="0"/>
          <w:bCs w:val="0"/>
          <w:color w:val="auto"/>
          <w:sz w:val="24"/>
          <w:szCs w:val="24"/>
          <w:vertAlign w:val="baseline"/>
          <w:lang w:val="en-US" w:eastAsia="zh-CN"/>
        </w:rPr>
        <w:t>《地下水污染源防渗技术指南（试行）》（环办土壤函【2020】72号）</w:t>
      </w:r>
      <w:r>
        <w:rPr>
          <w:rFonts w:hint="default" w:ascii="Times New Roman" w:hAnsi="Times New Roman" w:eastAsia="宋体" w:cs="Times New Roman"/>
          <w:color w:val="auto"/>
          <w:sz w:val="24"/>
          <w:szCs w:val="24"/>
          <w:highlight w:val="none"/>
          <w:u w:val="none" w:color="auto"/>
          <w:lang w:val="en-GB"/>
        </w:rPr>
        <w:t>以</w:t>
      </w:r>
      <w:r>
        <w:rPr>
          <w:rFonts w:hint="default" w:ascii="Times New Roman" w:hAnsi="Times New Roman" w:eastAsia="宋体" w:cs="Times New Roman"/>
          <w:color w:val="auto"/>
          <w:sz w:val="24"/>
          <w:szCs w:val="24"/>
          <w:highlight w:val="none"/>
          <w:u w:val="none" w:color="auto"/>
          <w:lang w:val="en-GB"/>
        </w:rPr>
        <w:t>及</w:t>
      </w:r>
      <w:r>
        <w:rPr>
          <w:rFonts w:hint="default"/>
          <w:color w:val="auto"/>
          <w:sz w:val="24"/>
          <w:szCs w:val="24"/>
          <w:highlight w:val="none"/>
          <w:lang w:val="en-US" w:eastAsia="zh-CN"/>
        </w:rPr>
        <w:t>《环境影响评价技术导则-地下水环境》（HJ610-2016）进行防渗区域划分。物料或污染物泄漏后不能及时发现和处理的区域或部分划分为重点污染防治区；物料或污染物泄漏后可及时发现和处理的区域或部分划分为一般污染防治区；重点和一般污染防治区以外的区域为非污染防治区。针对不同的污染防治分区提出相应的防渗要求。</w:t>
      </w:r>
    </w:p>
    <w:p>
      <w:pPr>
        <w:bidi w:val="0"/>
        <w:rPr>
          <w:rFonts w:hint="default"/>
          <w:color w:val="auto"/>
          <w:highlight w:val="none"/>
          <w:lang w:val="en-GB" w:eastAsia="zh-CN"/>
        </w:rPr>
      </w:pPr>
      <w:r>
        <w:rPr>
          <w:rFonts w:hint="default"/>
          <w:color w:val="auto"/>
          <w:highlight w:val="none"/>
          <w:lang w:val="en-US" w:eastAsia="zh-CN"/>
        </w:rPr>
        <w:t>（1）</w:t>
      </w:r>
      <w:r>
        <w:rPr>
          <w:rFonts w:hint="default"/>
          <w:color w:val="auto"/>
          <w:highlight w:val="none"/>
          <w:lang w:val="en-GB" w:eastAsia="zh-CN"/>
        </w:rPr>
        <w:t>防渗分区</w:t>
      </w:r>
    </w:p>
    <w:p>
      <w:pPr>
        <w:bidi w:val="0"/>
        <w:rPr>
          <w:rFonts w:hint="default"/>
          <w:color w:val="auto"/>
          <w:highlight w:val="none"/>
          <w:lang w:val="en-GB"/>
        </w:rPr>
      </w:pPr>
      <w:r>
        <w:rPr>
          <w:rFonts w:hint="default"/>
          <w:color w:val="auto"/>
          <w:highlight w:val="none"/>
          <w:lang w:val="en-GB"/>
        </w:rPr>
        <w:t>根据项目厂区可能泄漏至地面区域污染物的性质和生产单元的构筑方式，项目污染分区见表具体分区防渗位置可见下</w:t>
      </w:r>
      <w:r>
        <w:rPr>
          <w:rFonts w:hint="default"/>
          <w:color w:val="auto"/>
          <w:highlight w:val="none"/>
          <w:lang w:val="en-GB"/>
        </w:rPr>
        <w:fldChar w:fldCharType="begin"/>
      </w:r>
      <w:r>
        <w:rPr>
          <w:rFonts w:hint="default"/>
          <w:color w:val="auto"/>
          <w:highlight w:val="none"/>
          <w:lang w:val="en-GB"/>
        </w:rPr>
        <w:instrText xml:space="preserve"> REF _Ref9568 \n \h </w:instrText>
      </w:r>
      <w:r>
        <w:rPr>
          <w:rFonts w:hint="default"/>
          <w:color w:val="auto"/>
          <w:highlight w:val="none"/>
          <w:lang w:val="en-GB"/>
        </w:rPr>
        <w:fldChar w:fldCharType="separate"/>
      </w:r>
      <w:r>
        <w:rPr>
          <w:rFonts w:hint="default"/>
          <w:color w:val="auto"/>
          <w:highlight w:val="none"/>
          <w:lang w:val="en-GB"/>
        </w:rPr>
        <w:t>表6.3-7</w:t>
      </w:r>
      <w:r>
        <w:rPr>
          <w:rFonts w:hint="default"/>
          <w:color w:val="auto"/>
          <w:highlight w:val="none"/>
          <w:lang w:val="en-GB"/>
        </w:rPr>
        <w:fldChar w:fldCharType="end"/>
      </w:r>
      <w:r>
        <w:rPr>
          <w:rFonts w:hint="default"/>
          <w:color w:val="auto"/>
          <w:highlight w:val="none"/>
          <w:lang w:val="en-GB"/>
        </w:rPr>
        <w:t>。防渗分区示意图见</w:t>
      </w:r>
      <w:r>
        <w:rPr>
          <w:rFonts w:hint="eastAsia"/>
          <w:color w:val="auto"/>
          <w:highlight w:val="none"/>
          <w:lang w:val="en-US" w:eastAsia="zh-CN"/>
        </w:rPr>
        <w:t>6.2-1</w:t>
      </w:r>
      <w:r>
        <w:rPr>
          <w:rFonts w:hint="default"/>
          <w:color w:val="auto"/>
          <w:highlight w:val="none"/>
          <w:lang w:val="en-GB"/>
        </w:rPr>
        <w:t>。</w:t>
      </w:r>
    </w:p>
    <w:p>
      <w:pPr>
        <w:pStyle w:val="24"/>
        <w:numPr>
          <w:ilvl w:val="6"/>
          <w:numId w:val="7"/>
        </w:numPr>
        <w:tabs>
          <w:tab w:val="left" w:pos="420"/>
        </w:tabs>
        <w:bidi w:val="0"/>
        <w:rPr>
          <w:rFonts w:hint="default"/>
          <w:color w:val="auto"/>
          <w:highlight w:val="none"/>
          <w:lang w:val="en-GB"/>
        </w:rPr>
      </w:pPr>
      <w:bookmarkStart w:id="639" w:name="_Ref9568"/>
      <w:r>
        <w:rPr>
          <w:rFonts w:hint="default"/>
          <w:color w:val="auto"/>
          <w:highlight w:val="none"/>
          <w:lang w:val="en-GB"/>
        </w:rPr>
        <w:t>分区防渗一览表</w:t>
      </w:r>
      <w:bookmarkEnd w:id="639"/>
    </w:p>
    <w:tbl>
      <w:tblPr>
        <w:tblStyle w:val="17"/>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5"/>
        <w:gridCol w:w="6345"/>
        <w:gridCol w:w="2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5" w:type="dxa"/>
            <w:tcBorders>
              <w:tl2br w:val="nil"/>
              <w:tr2bl w:val="nil"/>
            </w:tcBorders>
            <w:vAlign w:val="center"/>
          </w:tcPr>
          <w:p>
            <w:pPr>
              <w:pStyle w:val="21"/>
              <w:bidi w:val="0"/>
              <w:rPr>
                <w:rFonts w:hint="default"/>
                <w:color w:val="auto"/>
                <w:highlight w:val="none"/>
              </w:rPr>
            </w:pPr>
            <w:r>
              <w:rPr>
                <w:rFonts w:hint="default"/>
                <w:color w:val="auto"/>
                <w:highlight w:val="none"/>
              </w:rPr>
              <w:t>序号</w:t>
            </w:r>
          </w:p>
        </w:tc>
        <w:tc>
          <w:tcPr>
            <w:tcW w:w="6345" w:type="dxa"/>
            <w:tcBorders>
              <w:tl2br w:val="nil"/>
              <w:tr2bl w:val="nil"/>
            </w:tcBorders>
            <w:vAlign w:val="center"/>
          </w:tcPr>
          <w:p>
            <w:pPr>
              <w:pStyle w:val="21"/>
              <w:bidi w:val="0"/>
              <w:rPr>
                <w:rFonts w:hint="default"/>
                <w:color w:val="auto"/>
                <w:highlight w:val="none"/>
              </w:rPr>
            </w:pPr>
            <w:r>
              <w:rPr>
                <w:rFonts w:hint="default"/>
                <w:color w:val="auto"/>
                <w:highlight w:val="none"/>
              </w:rPr>
              <w:t>装置名称</w:t>
            </w:r>
          </w:p>
        </w:tc>
        <w:tc>
          <w:tcPr>
            <w:tcW w:w="2077" w:type="dxa"/>
            <w:tcBorders>
              <w:tl2br w:val="nil"/>
              <w:tr2bl w:val="nil"/>
            </w:tcBorders>
            <w:vAlign w:val="center"/>
          </w:tcPr>
          <w:p>
            <w:pPr>
              <w:pStyle w:val="21"/>
              <w:bidi w:val="0"/>
              <w:rPr>
                <w:rFonts w:hint="default"/>
                <w:color w:val="auto"/>
                <w:highlight w:val="none"/>
              </w:rPr>
            </w:pPr>
            <w:r>
              <w:rPr>
                <w:rFonts w:hint="default"/>
                <w:color w:val="auto"/>
                <w:highlight w:val="none"/>
              </w:rPr>
              <w:t>分区类别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5" w:type="dxa"/>
            <w:tcBorders>
              <w:tl2br w:val="nil"/>
              <w:tr2bl w:val="nil"/>
            </w:tcBorders>
            <w:vAlign w:val="center"/>
          </w:tcPr>
          <w:p>
            <w:pPr>
              <w:pStyle w:val="21"/>
              <w:bidi w:val="0"/>
              <w:rPr>
                <w:rFonts w:hint="default"/>
                <w:color w:val="auto"/>
                <w:highlight w:val="none"/>
              </w:rPr>
            </w:pPr>
            <w:r>
              <w:rPr>
                <w:rFonts w:hint="default"/>
                <w:color w:val="auto"/>
                <w:highlight w:val="none"/>
              </w:rPr>
              <w:t>1</w:t>
            </w:r>
          </w:p>
        </w:tc>
        <w:tc>
          <w:tcPr>
            <w:tcW w:w="6345" w:type="dxa"/>
            <w:tcBorders>
              <w:tl2br w:val="nil"/>
              <w:tr2bl w:val="nil"/>
            </w:tcBorders>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危废间</w:t>
            </w:r>
            <w:r>
              <w:rPr>
                <w:rFonts w:hint="default"/>
                <w:color w:val="auto"/>
                <w:highlight w:val="none"/>
              </w:rPr>
              <w:t>、</w:t>
            </w:r>
            <w:r>
              <w:rPr>
                <w:rFonts w:hint="default"/>
                <w:color w:val="auto"/>
                <w:highlight w:val="none"/>
                <w:lang w:val="en-US" w:eastAsia="zh-CN"/>
              </w:rPr>
              <w:t>污水</w:t>
            </w:r>
            <w:r>
              <w:rPr>
                <w:rFonts w:hint="eastAsia"/>
                <w:color w:val="auto"/>
                <w:highlight w:val="none"/>
                <w:lang w:val="en-US" w:eastAsia="zh-CN"/>
              </w:rPr>
              <w:t>站</w:t>
            </w:r>
            <w:r>
              <w:rPr>
                <w:rFonts w:hint="eastAsia"/>
                <w:color w:val="auto"/>
                <w:highlight w:val="none"/>
                <w:lang w:val="en-US" w:eastAsia="zh-CN"/>
              </w:rPr>
              <w:t>、初期雨水池</w:t>
            </w:r>
          </w:p>
        </w:tc>
        <w:tc>
          <w:tcPr>
            <w:tcW w:w="2077" w:type="dxa"/>
            <w:tcBorders>
              <w:tl2br w:val="nil"/>
              <w:tr2bl w:val="nil"/>
            </w:tcBorders>
            <w:vAlign w:val="center"/>
          </w:tcPr>
          <w:p>
            <w:pPr>
              <w:pStyle w:val="21"/>
              <w:bidi w:val="0"/>
              <w:rPr>
                <w:rFonts w:hint="default"/>
                <w:color w:val="auto"/>
                <w:highlight w:val="none"/>
                <w:lang w:val="en-US" w:eastAsia="zh-CN"/>
              </w:rPr>
            </w:pPr>
            <w:r>
              <w:rPr>
                <w:rFonts w:hint="default"/>
                <w:color w:val="auto"/>
                <w:highlight w:val="none"/>
              </w:rPr>
              <w:t>重点防渗区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5" w:type="dxa"/>
            <w:tcBorders>
              <w:tl2br w:val="nil"/>
              <w:tr2bl w:val="nil"/>
            </w:tcBorders>
            <w:vAlign w:val="center"/>
          </w:tcPr>
          <w:p>
            <w:pPr>
              <w:pStyle w:val="21"/>
              <w:bidi w:val="0"/>
              <w:rPr>
                <w:rFonts w:hint="default"/>
                <w:color w:val="auto"/>
                <w:highlight w:val="none"/>
              </w:rPr>
            </w:pPr>
            <w:r>
              <w:rPr>
                <w:rFonts w:hint="default"/>
                <w:color w:val="auto"/>
                <w:highlight w:val="none"/>
              </w:rPr>
              <w:t>2</w:t>
            </w:r>
          </w:p>
        </w:tc>
        <w:tc>
          <w:tcPr>
            <w:tcW w:w="6345" w:type="dxa"/>
            <w:tcBorders>
              <w:tl2br w:val="nil"/>
              <w:tr2bl w:val="nil"/>
            </w:tcBorders>
            <w:vAlign w:val="center"/>
          </w:tcPr>
          <w:p>
            <w:pPr>
              <w:pStyle w:val="21"/>
              <w:bidi w:val="0"/>
              <w:rPr>
                <w:rFonts w:hint="default"/>
                <w:color w:val="auto"/>
                <w:highlight w:val="none"/>
                <w:lang w:val="en-US"/>
              </w:rPr>
            </w:pPr>
            <w:r>
              <w:rPr>
                <w:rFonts w:hint="eastAsia"/>
                <w:color w:val="auto"/>
                <w:highlight w:val="none"/>
                <w:lang w:val="en-US" w:eastAsia="zh-CN"/>
              </w:rPr>
              <w:t>前纺楼、后纺楼、综合厂房、研发楼、维修厂房、一般固废间</w:t>
            </w:r>
          </w:p>
        </w:tc>
        <w:tc>
          <w:tcPr>
            <w:tcW w:w="2077" w:type="dxa"/>
            <w:tcBorders>
              <w:tl2br w:val="nil"/>
              <w:tr2bl w:val="nil"/>
            </w:tcBorders>
            <w:vAlign w:val="center"/>
          </w:tcPr>
          <w:p>
            <w:pPr>
              <w:pStyle w:val="21"/>
              <w:bidi w:val="0"/>
              <w:rPr>
                <w:rFonts w:hint="default"/>
                <w:color w:val="auto"/>
                <w:highlight w:val="none"/>
                <w:lang w:val="en-US" w:eastAsia="zh-CN"/>
              </w:rPr>
            </w:pPr>
            <w:r>
              <w:rPr>
                <w:rFonts w:hint="default"/>
                <w:color w:val="auto"/>
                <w:highlight w:val="none"/>
              </w:rPr>
              <w:t>一般防渗区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5" w:type="dxa"/>
            <w:tcBorders>
              <w:tl2br w:val="nil"/>
              <w:tr2bl w:val="nil"/>
            </w:tcBorders>
            <w:vAlign w:val="center"/>
          </w:tcPr>
          <w:p>
            <w:pPr>
              <w:pStyle w:val="21"/>
              <w:bidi w:val="0"/>
              <w:rPr>
                <w:rFonts w:hint="eastAsia" w:eastAsia="宋体"/>
                <w:color w:val="auto"/>
                <w:highlight w:val="none"/>
                <w:lang w:eastAsia="zh-CN"/>
              </w:rPr>
            </w:pPr>
            <w:r>
              <w:rPr>
                <w:rFonts w:hint="eastAsia"/>
                <w:color w:val="auto"/>
                <w:highlight w:val="none"/>
                <w:lang w:val="en-US" w:eastAsia="zh-CN"/>
              </w:rPr>
              <w:t>3</w:t>
            </w:r>
          </w:p>
        </w:tc>
        <w:tc>
          <w:tcPr>
            <w:tcW w:w="6345" w:type="dxa"/>
            <w:tcBorders>
              <w:tl2br w:val="nil"/>
              <w:tr2bl w:val="nil"/>
            </w:tcBorders>
            <w:vAlign w:val="center"/>
          </w:tcPr>
          <w:p>
            <w:pPr>
              <w:pStyle w:val="21"/>
              <w:bidi w:val="0"/>
              <w:rPr>
                <w:rFonts w:hint="default"/>
                <w:color w:val="auto"/>
                <w:highlight w:val="none"/>
                <w:lang w:val="en-US" w:eastAsia="zh-CN"/>
              </w:rPr>
            </w:pPr>
            <w:r>
              <w:rPr>
                <w:rFonts w:hint="eastAsia"/>
                <w:color w:val="auto"/>
                <w:highlight w:val="none"/>
                <w:lang w:val="en-US" w:eastAsia="zh-CN"/>
              </w:rPr>
              <w:t>宿舍</w:t>
            </w:r>
            <w:r>
              <w:rPr>
                <w:rFonts w:hint="default"/>
                <w:color w:val="auto"/>
                <w:highlight w:val="none"/>
                <w:lang w:val="en-US" w:eastAsia="zh-CN"/>
              </w:rPr>
              <w:t>楼</w:t>
            </w:r>
            <w:r>
              <w:rPr>
                <w:rFonts w:hint="default"/>
                <w:color w:val="auto"/>
                <w:highlight w:val="none"/>
                <w:lang w:eastAsia="zh-CN"/>
              </w:rPr>
              <w:t>、</w:t>
            </w:r>
            <w:r>
              <w:rPr>
                <w:rFonts w:hint="default"/>
                <w:color w:val="auto"/>
                <w:highlight w:val="none"/>
                <w:lang w:val="en-US" w:eastAsia="zh-CN"/>
              </w:rPr>
              <w:t>门卫</w:t>
            </w:r>
          </w:p>
        </w:tc>
        <w:tc>
          <w:tcPr>
            <w:tcW w:w="2077" w:type="dxa"/>
            <w:tcBorders>
              <w:tl2br w:val="nil"/>
              <w:tr2bl w:val="nil"/>
            </w:tcBorders>
            <w:vAlign w:val="center"/>
          </w:tcPr>
          <w:p>
            <w:pPr>
              <w:pStyle w:val="21"/>
              <w:bidi w:val="0"/>
              <w:rPr>
                <w:rFonts w:hint="default"/>
                <w:color w:val="auto"/>
                <w:highlight w:val="none"/>
              </w:rPr>
            </w:pPr>
            <w:r>
              <w:rPr>
                <w:rFonts w:hint="eastAsia"/>
                <w:color w:val="auto"/>
                <w:highlight w:val="none"/>
                <w:lang w:val="en-US" w:eastAsia="zh-CN"/>
              </w:rPr>
              <w:t>简单防渗</w:t>
            </w:r>
            <w:r>
              <w:rPr>
                <w:rFonts w:hint="default"/>
                <w:color w:val="auto"/>
                <w:highlight w:val="none"/>
                <w:lang w:val="en-US" w:eastAsia="zh-CN"/>
              </w:rPr>
              <w:t>区</w:t>
            </w:r>
          </w:p>
        </w:tc>
      </w:tr>
    </w:tbl>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宋体"/>
          <w:color w:val="auto"/>
          <w:highlight w:val="none"/>
          <w:lang w:val="en-US" w:eastAsia="zh-CN"/>
        </w:r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宋体"/>
          <w:color w:val="auto"/>
          <w:highlight w:val="none"/>
          <w:lang w:val="en-US" w:eastAsia="zh-CN"/>
        </w:rPr>
      </w:pPr>
    </w:p>
    <w:p>
      <w:pPr>
        <w:pStyle w:val="22"/>
        <w:numPr>
          <w:ilvl w:val="7"/>
          <w:numId w:val="7"/>
        </w:numPr>
        <w:bidi w:val="0"/>
        <w:rPr>
          <w:rFonts w:hint="default"/>
          <w:color w:val="auto"/>
          <w:highlight w:val="none"/>
          <w:lang w:val="en-US" w:eastAsia="zh-CN"/>
        </w:rPr>
      </w:pPr>
      <w:r>
        <w:rPr>
          <w:rFonts w:hint="eastAsia"/>
          <w:color w:val="auto"/>
          <w:highlight w:val="none"/>
          <w:lang w:val="en-US" w:eastAsia="zh-CN"/>
        </w:rPr>
        <w:t>分区防渗图</w:t>
      </w:r>
    </w:p>
    <w:p>
      <w:pPr>
        <w:bidi w:val="0"/>
        <w:rPr>
          <w:rFonts w:hint="default"/>
          <w:color w:val="auto"/>
          <w:highlight w:val="none"/>
          <w:lang w:val="en-GB" w:eastAsia="zh-CN"/>
        </w:rPr>
      </w:pPr>
      <w:r>
        <w:rPr>
          <w:rFonts w:hint="default"/>
          <w:color w:val="auto"/>
          <w:highlight w:val="none"/>
          <w:lang w:val="en-US" w:eastAsia="zh-CN"/>
        </w:rPr>
        <w:t>（2）</w:t>
      </w:r>
      <w:r>
        <w:rPr>
          <w:rFonts w:hint="default"/>
          <w:color w:val="auto"/>
          <w:highlight w:val="none"/>
          <w:lang w:val="en-GB" w:eastAsia="zh-CN"/>
        </w:rPr>
        <w:t>不同分区防渗要求</w:t>
      </w:r>
    </w:p>
    <w:p>
      <w:pPr>
        <w:bidi w:val="0"/>
        <w:rPr>
          <w:rFonts w:hint="default"/>
          <w:color w:val="auto"/>
          <w:highlight w:val="none"/>
        </w:rPr>
      </w:pPr>
      <w:r>
        <w:rPr>
          <w:rFonts w:hint="eastAsia"/>
          <w:color w:val="auto"/>
          <w:highlight w:val="none"/>
          <w:lang w:val="en-US" w:eastAsia="zh-CN"/>
        </w:rPr>
        <w:t>本项目</w:t>
      </w:r>
      <w:r>
        <w:rPr>
          <w:rFonts w:hint="default"/>
          <w:color w:val="auto"/>
          <w:highlight w:val="none"/>
        </w:rPr>
        <w:t>不同污染防治分区的防渗技术要求可按照见</w:t>
      </w:r>
      <w:r>
        <w:rPr>
          <w:rFonts w:hint="default"/>
          <w:color w:val="auto"/>
          <w:highlight w:val="none"/>
          <w:lang w:val="en-US"/>
        </w:rPr>
        <w:fldChar w:fldCharType="begin"/>
      </w:r>
      <w:r>
        <w:rPr>
          <w:rFonts w:hint="default"/>
          <w:color w:val="auto"/>
          <w:highlight w:val="none"/>
          <w:lang w:val="en-US"/>
        </w:rPr>
        <w:instrText xml:space="preserve"> REF _Ref9529 \n \h </w:instrText>
      </w:r>
      <w:r>
        <w:rPr>
          <w:rFonts w:hint="default"/>
          <w:color w:val="auto"/>
          <w:highlight w:val="none"/>
          <w:lang w:val="en-US"/>
        </w:rPr>
        <w:fldChar w:fldCharType="separate"/>
      </w:r>
      <w:r>
        <w:rPr>
          <w:rFonts w:hint="default"/>
          <w:color w:val="auto"/>
          <w:highlight w:val="none"/>
          <w:lang w:val="en-US"/>
        </w:rPr>
        <w:t>表6.3-8</w:t>
      </w:r>
      <w:r>
        <w:rPr>
          <w:rFonts w:hint="default"/>
          <w:color w:val="auto"/>
          <w:highlight w:val="none"/>
          <w:lang w:val="en-US"/>
        </w:rPr>
        <w:fldChar w:fldCharType="end"/>
      </w:r>
      <w:r>
        <w:rPr>
          <w:rFonts w:hint="default"/>
          <w:color w:val="auto"/>
          <w:highlight w:val="none"/>
        </w:rPr>
        <w:t>。</w:t>
      </w:r>
    </w:p>
    <w:p>
      <w:pPr>
        <w:pStyle w:val="24"/>
        <w:numPr>
          <w:ilvl w:val="6"/>
          <w:numId w:val="7"/>
        </w:numPr>
        <w:tabs>
          <w:tab w:val="left" w:pos="420"/>
        </w:tabs>
        <w:bidi w:val="0"/>
        <w:rPr>
          <w:rFonts w:hint="default"/>
          <w:color w:val="auto"/>
          <w:highlight w:val="none"/>
        </w:rPr>
      </w:pPr>
      <w:bookmarkStart w:id="640" w:name="_Ref9529"/>
      <w:r>
        <w:rPr>
          <w:rFonts w:hint="default"/>
          <w:color w:val="auto"/>
          <w:highlight w:val="none"/>
        </w:rPr>
        <w:t>各污染防治分区的防渗技术要求</w:t>
      </w:r>
      <w:bookmarkEnd w:id="640"/>
    </w:p>
    <w:tbl>
      <w:tblPr>
        <w:tblStyle w:val="17"/>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5"/>
        <w:gridCol w:w="74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5" w:type="dxa"/>
            <w:tcBorders>
              <w:tl2br w:val="nil"/>
              <w:tr2bl w:val="nil"/>
            </w:tcBorders>
            <w:vAlign w:val="center"/>
          </w:tcPr>
          <w:p>
            <w:pPr>
              <w:pStyle w:val="21"/>
              <w:tabs>
                <w:tab w:val="left" w:pos="648"/>
              </w:tabs>
              <w:bidi w:val="0"/>
              <w:rPr>
                <w:rFonts w:hint="default"/>
                <w:color w:val="auto"/>
                <w:highlight w:val="none"/>
              </w:rPr>
            </w:pPr>
            <w:r>
              <w:rPr>
                <w:rFonts w:hint="default"/>
                <w:color w:val="auto"/>
                <w:highlight w:val="none"/>
              </w:rPr>
              <w:t>防渗分区</w:t>
            </w:r>
          </w:p>
        </w:tc>
        <w:tc>
          <w:tcPr>
            <w:tcW w:w="7462" w:type="dxa"/>
            <w:tcBorders>
              <w:tl2br w:val="nil"/>
              <w:tr2bl w:val="nil"/>
            </w:tcBorders>
            <w:vAlign w:val="center"/>
          </w:tcPr>
          <w:p>
            <w:pPr>
              <w:pStyle w:val="21"/>
              <w:tabs>
                <w:tab w:val="left" w:pos="648"/>
              </w:tabs>
              <w:bidi w:val="0"/>
              <w:rPr>
                <w:rFonts w:hint="default"/>
                <w:color w:val="auto"/>
                <w:highlight w:val="none"/>
              </w:rPr>
            </w:pPr>
            <w:r>
              <w:rPr>
                <w:rFonts w:hint="default"/>
                <w:color w:val="auto"/>
                <w:highlight w:val="none"/>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5" w:type="dxa"/>
            <w:tcBorders>
              <w:tl2br w:val="nil"/>
              <w:tr2bl w:val="nil"/>
            </w:tcBorders>
            <w:vAlign w:val="center"/>
          </w:tcPr>
          <w:p>
            <w:pPr>
              <w:pStyle w:val="21"/>
              <w:tabs>
                <w:tab w:val="left" w:pos="648"/>
              </w:tabs>
              <w:bidi w:val="0"/>
              <w:rPr>
                <w:rFonts w:hint="eastAsia" w:eastAsia="宋体"/>
                <w:color w:val="auto"/>
                <w:highlight w:val="none"/>
                <w:lang w:eastAsia="zh-CN"/>
              </w:rPr>
            </w:pPr>
            <w:r>
              <w:rPr>
                <w:rFonts w:hint="default"/>
                <w:color w:val="auto"/>
                <w:highlight w:val="none"/>
              </w:rPr>
              <w:t>重点</w:t>
            </w:r>
            <w:r>
              <w:rPr>
                <w:rFonts w:hint="eastAsia"/>
                <w:color w:val="auto"/>
                <w:highlight w:val="none"/>
                <w:lang w:val="en-US" w:eastAsia="zh-CN"/>
              </w:rPr>
              <w:t>防渗区</w:t>
            </w:r>
          </w:p>
        </w:tc>
        <w:tc>
          <w:tcPr>
            <w:tcW w:w="7462" w:type="dxa"/>
            <w:tcBorders>
              <w:tl2br w:val="nil"/>
              <w:tr2bl w:val="nil"/>
            </w:tcBorders>
            <w:vAlign w:val="center"/>
          </w:tcPr>
          <w:p>
            <w:pPr>
              <w:pStyle w:val="21"/>
              <w:tabs>
                <w:tab w:val="left" w:pos="648"/>
              </w:tabs>
              <w:bidi w:val="0"/>
              <w:rPr>
                <w:rFonts w:hint="default"/>
                <w:color w:val="auto"/>
                <w:highlight w:val="none"/>
              </w:rPr>
            </w:pPr>
            <w:r>
              <w:rPr>
                <w:rFonts w:hint="default"/>
                <w:color w:val="auto"/>
                <w:highlight w:val="none"/>
              </w:rPr>
              <w:t>防渗性能不应低于等效黏土防渗层Mb≥6.0m，K≤1×10</w:t>
            </w:r>
            <w:r>
              <w:rPr>
                <w:rFonts w:hint="default"/>
                <w:color w:val="auto"/>
                <w:highlight w:val="none"/>
                <w:vertAlign w:val="superscript"/>
              </w:rPr>
              <w:t>-7</w:t>
            </w:r>
            <w:r>
              <w:rPr>
                <w:rFonts w:hint="default"/>
                <w:color w:val="auto"/>
                <w:highlight w:val="none"/>
              </w:rPr>
              <w:t>cm/s 的防渗性能。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5" w:type="dxa"/>
            <w:tcBorders>
              <w:tl2br w:val="nil"/>
              <w:tr2bl w:val="nil"/>
            </w:tcBorders>
            <w:vAlign w:val="center"/>
          </w:tcPr>
          <w:p>
            <w:pPr>
              <w:pStyle w:val="21"/>
              <w:tabs>
                <w:tab w:val="left" w:pos="648"/>
              </w:tabs>
              <w:bidi w:val="0"/>
              <w:rPr>
                <w:rFonts w:hint="default"/>
                <w:color w:val="auto"/>
                <w:highlight w:val="none"/>
              </w:rPr>
            </w:pPr>
            <w:r>
              <w:rPr>
                <w:rFonts w:hint="default"/>
                <w:color w:val="auto"/>
                <w:highlight w:val="none"/>
              </w:rPr>
              <w:t>一般</w:t>
            </w:r>
            <w:r>
              <w:rPr>
                <w:rFonts w:hint="eastAsia"/>
                <w:color w:val="auto"/>
                <w:highlight w:val="none"/>
                <w:lang w:val="en-US" w:eastAsia="zh-CN"/>
              </w:rPr>
              <w:t>防渗</w:t>
            </w:r>
            <w:r>
              <w:rPr>
                <w:rFonts w:hint="default"/>
                <w:color w:val="auto"/>
                <w:highlight w:val="none"/>
              </w:rPr>
              <w:t>区</w:t>
            </w:r>
          </w:p>
        </w:tc>
        <w:tc>
          <w:tcPr>
            <w:tcW w:w="7462" w:type="dxa"/>
            <w:tcBorders>
              <w:tl2br w:val="nil"/>
              <w:tr2bl w:val="nil"/>
            </w:tcBorders>
            <w:vAlign w:val="center"/>
          </w:tcPr>
          <w:p>
            <w:pPr>
              <w:pStyle w:val="21"/>
              <w:tabs>
                <w:tab w:val="left" w:pos="648"/>
              </w:tabs>
              <w:bidi w:val="0"/>
              <w:rPr>
                <w:rFonts w:hint="default"/>
                <w:color w:val="auto"/>
                <w:highlight w:val="none"/>
              </w:rPr>
            </w:pPr>
            <w:r>
              <w:rPr>
                <w:rFonts w:hint="default"/>
                <w:color w:val="auto"/>
                <w:highlight w:val="none"/>
              </w:rPr>
              <w:t>防渗性能不应低于等效黏土防渗层Mb≥1.5m，K≤1×10</w:t>
            </w:r>
            <w:r>
              <w:rPr>
                <w:rFonts w:hint="default"/>
                <w:color w:val="auto"/>
                <w:highlight w:val="none"/>
                <w:vertAlign w:val="superscript"/>
              </w:rPr>
              <w:t>-7</w:t>
            </w:r>
            <w:r>
              <w:rPr>
                <w:rFonts w:hint="default"/>
                <w:color w:val="auto"/>
                <w:highlight w:val="none"/>
              </w:rPr>
              <w:t>cm/s 的防渗性能。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5" w:type="dxa"/>
            <w:tcBorders>
              <w:tl2br w:val="nil"/>
              <w:tr2bl w:val="nil"/>
            </w:tcBorders>
            <w:vAlign w:val="center"/>
          </w:tcPr>
          <w:p>
            <w:pPr>
              <w:pStyle w:val="21"/>
              <w:tabs>
                <w:tab w:val="left" w:pos="648"/>
              </w:tabs>
              <w:bidi w:val="0"/>
              <w:rPr>
                <w:rFonts w:hint="default" w:eastAsia="宋体"/>
                <w:color w:val="auto"/>
                <w:highlight w:val="none"/>
                <w:lang w:val="en-US" w:eastAsia="zh-CN"/>
              </w:rPr>
            </w:pPr>
            <w:r>
              <w:rPr>
                <w:rFonts w:hint="eastAsia"/>
                <w:color w:val="auto"/>
                <w:highlight w:val="none"/>
                <w:lang w:val="en-US" w:eastAsia="zh-CN"/>
              </w:rPr>
              <w:t>简单防渗区</w:t>
            </w:r>
          </w:p>
        </w:tc>
        <w:tc>
          <w:tcPr>
            <w:tcW w:w="7462" w:type="dxa"/>
            <w:tcBorders>
              <w:tl2br w:val="nil"/>
              <w:tr2bl w:val="nil"/>
            </w:tcBorders>
            <w:vAlign w:val="center"/>
          </w:tcPr>
          <w:p>
            <w:pPr>
              <w:pStyle w:val="21"/>
              <w:tabs>
                <w:tab w:val="left" w:pos="648"/>
              </w:tabs>
              <w:bidi w:val="0"/>
              <w:rPr>
                <w:rFonts w:hint="default" w:eastAsia="宋体"/>
                <w:color w:val="auto"/>
                <w:highlight w:val="none"/>
                <w:lang w:val="en-US" w:eastAsia="zh-CN"/>
              </w:rPr>
            </w:pPr>
            <w:r>
              <w:rPr>
                <w:rFonts w:hint="eastAsia"/>
                <w:color w:val="auto"/>
                <w:highlight w:val="none"/>
                <w:lang w:val="en-US" w:eastAsia="zh-CN"/>
              </w:rPr>
              <w:t>一般地面硬化</w:t>
            </w:r>
          </w:p>
        </w:tc>
      </w:tr>
    </w:tbl>
    <w:p>
      <w:pPr>
        <w:bidi w:val="0"/>
        <w:rPr>
          <w:rFonts w:hint="default"/>
          <w:color w:val="auto"/>
          <w:highlight w:val="none"/>
        </w:rPr>
      </w:pPr>
      <w:r>
        <w:rPr>
          <w:rFonts w:hint="default"/>
          <w:color w:val="auto"/>
          <w:highlight w:val="none"/>
        </w:rPr>
        <w:t>① 重点</w:t>
      </w:r>
      <w:r>
        <w:rPr>
          <w:rFonts w:hint="eastAsia"/>
          <w:color w:val="auto"/>
          <w:highlight w:val="none"/>
          <w:lang w:val="en-US" w:eastAsia="zh-CN"/>
        </w:rPr>
        <w:t>防渗</w:t>
      </w:r>
      <w:r>
        <w:rPr>
          <w:rFonts w:hint="default"/>
          <w:color w:val="auto"/>
          <w:highlight w:val="none"/>
        </w:rPr>
        <w:t>区</w:t>
      </w:r>
    </w:p>
    <w:p>
      <w:pPr>
        <w:bidi w:val="0"/>
        <w:rPr>
          <w:rFonts w:hint="default"/>
          <w:color w:val="auto"/>
          <w:highlight w:val="none"/>
        </w:rPr>
      </w:pPr>
      <w:r>
        <w:rPr>
          <w:rFonts w:hint="default"/>
          <w:color w:val="auto"/>
          <w:highlight w:val="none"/>
          <w:lang w:val="en-US" w:eastAsia="zh-CN"/>
        </w:rPr>
        <w:t>对于重点污染防治区的危险废物暂存间，按照《危险废物贮存污染控制标准》的要求进行防渗设计，</w:t>
      </w:r>
      <w:r>
        <w:rPr>
          <w:rFonts w:hint="default"/>
          <w:color w:val="auto"/>
          <w:highlight w:val="none"/>
        </w:rPr>
        <w:t>采用2mm 厚高密度聚乙烯，或至少2mm 厚的其他人工材料，渗透系数≤1.0×10</w:t>
      </w:r>
      <w:r>
        <w:rPr>
          <w:rFonts w:hint="default"/>
          <w:color w:val="auto"/>
          <w:highlight w:val="none"/>
          <w:vertAlign w:val="superscript"/>
        </w:rPr>
        <w:t>-10</w:t>
      </w:r>
      <w:r>
        <w:rPr>
          <w:rFonts w:hint="default"/>
          <w:color w:val="auto"/>
          <w:highlight w:val="none"/>
        </w:rPr>
        <w:t>cm/s；或采用至少1m 厚粘土层为防渗层（渗透系数≤10</w:t>
      </w:r>
      <w:r>
        <w:rPr>
          <w:rFonts w:hint="default"/>
          <w:color w:val="auto"/>
          <w:highlight w:val="none"/>
          <w:vertAlign w:val="superscript"/>
        </w:rPr>
        <w:t>-7</w:t>
      </w:r>
      <w:r>
        <w:rPr>
          <w:rFonts w:hint="default"/>
          <w:color w:val="auto"/>
          <w:highlight w:val="none"/>
        </w:rPr>
        <w:t>cm/s）</w:t>
      </w:r>
      <w:r>
        <w:rPr>
          <w:rFonts w:hint="default"/>
          <w:color w:val="auto"/>
          <w:highlight w:val="none"/>
          <w:lang w:eastAsia="zh-CN"/>
        </w:rPr>
        <w:t>；</w:t>
      </w:r>
    </w:p>
    <w:p>
      <w:pPr>
        <w:bidi w:val="0"/>
        <w:rPr>
          <w:rFonts w:hint="default"/>
          <w:color w:val="auto"/>
          <w:highlight w:val="none"/>
        </w:rPr>
      </w:pPr>
      <w:r>
        <w:rPr>
          <w:rFonts w:hint="default"/>
          <w:color w:val="auto"/>
          <w:highlight w:val="none"/>
          <w:lang w:val="en-US" w:eastAsia="zh-CN"/>
        </w:rPr>
        <w:t>对于污水处理站</w:t>
      </w:r>
      <w:r>
        <w:rPr>
          <w:rFonts w:hint="eastAsia"/>
          <w:color w:val="auto"/>
          <w:highlight w:val="none"/>
          <w:lang w:val="en-US" w:eastAsia="zh-CN"/>
        </w:rPr>
        <w:t>、初期雨水池</w:t>
      </w:r>
      <w:r>
        <w:rPr>
          <w:rFonts w:hint="default"/>
          <w:color w:val="auto"/>
          <w:highlight w:val="none"/>
          <w:lang w:val="en-US" w:eastAsia="zh-CN"/>
        </w:rPr>
        <w:t>等</w:t>
      </w:r>
      <w:r>
        <w:rPr>
          <w:rFonts w:hint="default"/>
          <w:color w:val="auto"/>
          <w:highlight w:val="none"/>
          <w:lang w:val="en-US" w:eastAsia="zh-CN"/>
        </w:rPr>
        <w:t>区域，参照《工业建筑防腐蚀设计规范》（GB50046-2008）的重点污染防治区进行防渗设计。</w:t>
      </w:r>
      <w:r>
        <w:rPr>
          <w:rFonts w:hint="default"/>
          <w:color w:val="auto"/>
          <w:highlight w:val="none"/>
        </w:rPr>
        <w:t>建议选用刚性防渗结构，具体为水泥基渗透结晶型抗渗混凝土(厚度不小于150mm)＋水泥基渗透结晶型防渗涂层(厚度不小于0.8mm)的结构型式，防渗结构层的渗透系数不应大于1.0×10</w:t>
      </w:r>
      <w:r>
        <w:rPr>
          <w:rFonts w:hint="default"/>
          <w:color w:val="auto"/>
          <w:highlight w:val="none"/>
          <w:vertAlign w:val="superscript"/>
        </w:rPr>
        <w:t>-10</w:t>
      </w:r>
      <w:r>
        <w:rPr>
          <w:rFonts w:hint="default"/>
          <w:color w:val="auto"/>
          <w:highlight w:val="none"/>
        </w:rPr>
        <w:t>cm/s。防渗结构施工中应专人跟踪制作全过程，保证施工的质量。</w:t>
      </w:r>
    </w:p>
    <w:p>
      <w:pPr>
        <w:bidi w:val="0"/>
        <w:rPr>
          <w:rFonts w:hint="default"/>
          <w:color w:val="auto"/>
          <w:highlight w:val="none"/>
        </w:rPr>
      </w:pPr>
      <w:r>
        <w:rPr>
          <w:rFonts w:hint="default"/>
          <w:color w:val="auto"/>
          <w:highlight w:val="none"/>
        </w:rPr>
        <w:t>② 一般</w:t>
      </w:r>
      <w:r>
        <w:rPr>
          <w:rFonts w:hint="eastAsia"/>
          <w:color w:val="auto"/>
          <w:highlight w:val="none"/>
          <w:lang w:val="en-US" w:eastAsia="zh-CN"/>
        </w:rPr>
        <w:t>防渗</w:t>
      </w:r>
      <w:r>
        <w:rPr>
          <w:rFonts w:hint="default"/>
          <w:color w:val="auto"/>
          <w:highlight w:val="none"/>
        </w:rPr>
        <w:t>区</w:t>
      </w:r>
    </w:p>
    <w:p>
      <w:pPr>
        <w:bidi w:val="0"/>
        <w:rPr>
          <w:rFonts w:hint="default"/>
          <w:color w:val="auto"/>
          <w:highlight w:val="none"/>
        </w:rPr>
      </w:pPr>
      <w:r>
        <w:rPr>
          <w:rFonts w:hint="default"/>
          <w:color w:val="auto"/>
          <w:highlight w:val="none"/>
        </w:rPr>
        <w:t>本项目一般污染防治区的防渗结构型式可采用抗渗混凝土(厚度不小于100mm)的结构面层，防渗结构层的渗透系数不应大于1.0×10</w:t>
      </w:r>
      <w:r>
        <w:rPr>
          <w:rFonts w:hint="default"/>
          <w:color w:val="auto"/>
          <w:highlight w:val="none"/>
          <w:vertAlign w:val="superscript"/>
        </w:rPr>
        <w:t>-8</w:t>
      </w:r>
      <w:r>
        <w:rPr>
          <w:rFonts w:hint="default"/>
          <w:color w:val="auto"/>
          <w:highlight w:val="none"/>
        </w:rPr>
        <w:t>m/s。</w:t>
      </w:r>
    </w:p>
    <w:p>
      <w:pPr>
        <w:bidi w:val="0"/>
        <w:rPr>
          <w:rFonts w:hint="default"/>
          <w:color w:val="auto"/>
          <w:highlight w:val="none"/>
        </w:rPr>
      </w:pPr>
      <w:r>
        <w:rPr>
          <w:rFonts w:hint="default"/>
          <w:color w:val="auto"/>
          <w:highlight w:val="none"/>
        </w:rPr>
        <w:t xml:space="preserve">③ </w:t>
      </w:r>
      <w:r>
        <w:rPr>
          <w:rFonts w:hint="eastAsia"/>
          <w:color w:val="auto"/>
          <w:highlight w:val="none"/>
          <w:lang w:val="en-US" w:eastAsia="zh-CN"/>
        </w:rPr>
        <w:t>简单防渗</w:t>
      </w:r>
      <w:r>
        <w:rPr>
          <w:rFonts w:hint="default"/>
          <w:color w:val="auto"/>
          <w:highlight w:val="none"/>
        </w:rPr>
        <w:t>区</w:t>
      </w:r>
    </w:p>
    <w:p>
      <w:pPr>
        <w:bidi w:val="0"/>
        <w:rPr>
          <w:rFonts w:hint="default"/>
          <w:color w:val="auto"/>
          <w:highlight w:val="none"/>
        </w:rPr>
      </w:pPr>
      <w:r>
        <w:rPr>
          <w:rFonts w:hint="default"/>
          <w:color w:val="auto"/>
          <w:highlight w:val="none"/>
        </w:rPr>
        <w:t>指不会对地下水造成污染的区域，主要包括</w:t>
      </w:r>
      <w:r>
        <w:rPr>
          <w:rFonts w:hint="default"/>
          <w:color w:val="auto"/>
          <w:highlight w:val="none"/>
          <w:lang w:val="en-US" w:eastAsia="zh-CN"/>
        </w:rPr>
        <w:t>综合楼、</w:t>
      </w:r>
      <w:r>
        <w:rPr>
          <w:rFonts w:hint="default"/>
          <w:color w:val="auto"/>
          <w:highlight w:val="none"/>
        </w:rPr>
        <w:t>绿化区等。对于基本上不产生污染物的非污染防治区，不采取专门针对地下水污染的防治措施</w:t>
      </w:r>
      <w:r>
        <w:rPr>
          <w:rFonts w:hint="eastAsia"/>
          <w:color w:val="auto"/>
          <w:highlight w:val="none"/>
          <w:lang w:eastAsia="zh-CN"/>
        </w:rPr>
        <w:t>，</w:t>
      </w:r>
      <w:r>
        <w:rPr>
          <w:rFonts w:hint="eastAsia"/>
          <w:color w:val="auto"/>
          <w:highlight w:val="none"/>
          <w:lang w:val="en-US" w:eastAsia="zh-CN"/>
        </w:rPr>
        <w:t>仅对地面进行硬化</w:t>
      </w:r>
      <w:r>
        <w:rPr>
          <w:rFonts w:hint="default"/>
          <w:color w:val="auto"/>
          <w:highlight w:val="none"/>
        </w:rPr>
        <w:t>。</w:t>
      </w:r>
    </w:p>
    <w:p>
      <w:pPr>
        <w:bidi w:val="0"/>
        <w:rPr>
          <w:rFonts w:hint="default"/>
          <w:color w:val="auto"/>
          <w:highlight w:val="none"/>
          <w:lang w:val="en-US" w:eastAsia="zh-CN"/>
        </w:rPr>
      </w:pPr>
      <w:r>
        <w:rPr>
          <w:rFonts w:hint="default"/>
          <w:color w:val="auto"/>
          <w:highlight w:val="none"/>
          <w:lang w:val="en-US" w:eastAsia="zh-CN"/>
        </w:rPr>
        <w:t>④</w:t>
      </w:r>
      <w:r>
        <w:rPr>
          <w:rFonts w:hint="eastAsia"/>
          <w:color w:val="auto"/>
          <w:highlight w:val="none"/>
          <w:lang w:val="en-US" w:eastAsia="zh-CN"/>
        </w:rPr>
        <w:t xml:space="preserve"> </w:t>
      </w:r>
      <w:r>
        <w:rPr>
          <w:rFonts w:hint="default"/>
          <w:color w:val="auto"/>
          <w:highlight w:val="none"/>
          <w:lang w:val="en-US" w:eastAsia="zh-CN"/>
        </w:rPr>
        <w:t xml:space="preserve">其他 </w:t>
      </w:r>
    </w:p>
    <w:p>
      <w:pPr>
        <w:bidi w:val="0"/>
        <w:rPr>
          <w:rFonts w:hint="default"/>
          <w:color w:val="auto"/>
          <w:highlight w:val="none"/>
          <w:lang w:val="en-US" w:eastAsia="zh-CN"/>
        </w:rPr>
      </w:pPr>
      <w:r>
        <w:rPr>
          <w:rFonts w:hint="default"/>
          <w:color w:val="auto"/>
          <w:highlight w:val="none"/>
          <w:lang w:val="en-US" w:eastAsia="zh-CN"/>
        </w:rPr>
        <w:t>A、防渗材料与接触物料或污染物应具有兼容性。</w:t>
      </w:r>
    </w:p>
    <w:p>
      <w:pPr>
        <w:bidi w:val="0"/>
        <w:rPr>
          <w:rFonts w:hint="default"/>
          <w:color w:val="auto"/>
          <w:highlight w:val="none"/>
          <w:lang w:val="en-US" w:eastAsia="zh-CN"/>
        </w:rPr>
      </w:pPr>
      <w:r>
        <w:rPr>
          <w:rFonts w:hint="default"/>
          <w:color w:val="auto"/>
          <w:highlight w:val="none"/>
          <w:lang w:val="en-US" w:eastAsia="zh-CN"/>
        </w:rPr>
        <w:t>B、防渗开裂将例其失去作用。为防止不均匀沉降引起防渗层产生裂缝。因此，防渗层的地基应均匀；当地基遇到淤泥、淤泥质土、冲填土、杂填土及其他高压缩性土层等软弱地基时，应根据不同情况对地基土进行换土、机械压夯等加固处理。</w:t>
      </w:r>
    </w:p>
    <w:p>
      <w:pPr>
        <w:bidi w:val="0"/>
        <w:rPr>
          <w:rFonts w:hint="default"/>
          <w:color w:val="auto"/>
          <w:highlight w:val="none"/>
          <w:lang w:val="en-US" w:eastAsia="zh-CN"/>
        </w:rPr>
      </w:pPr>
      <w:r>
        <w:rPr>
          <w:rFonts w:hint="default"/>
          <w:color w:val="auto"/>
          <w:highlight w:val="none"/>
          <w:lang w:val="en-US" w:eastAsia="zh-CN"/>
        </w:rPr>
        <w:t>C、在使用过程中，防渗层会有不同程度的老化和腐蚀。在达到设计使用年限后，如继续使用，应进行检测和鉴定。</w:t>
      </w:r>
    </w:p>
    <w:p>
      <w:pPr>
        <w:bidi w:val="0"/>
        <w:rPr>
          <w:rFonts w:hint="default"/>
          <w:color w:val="auto"/>
          <w:highlight w:val="none"/>
          <w:lang w:val="en-US" w:eastAsia="zh-CN"/>
        </w:rPr>
      </w:pPr>
      <w:r>
        <w:rPr>
          <w:rFonts w:hint="default"/>
          <w:color w:val="auto"/>
          <w:highlight w:val="none"/>
          <w:lang w:val="en-US" w:eastAsia="zh-CN"/>
        </w:rPr>
        <w:t>D、各类物料和污染物输送管道应采取明管明沟设计，并做好防渗措施。采取明沟设计的，参照重点污染防治区中污水处理站水沟的要求进行防渗，采取明管设计的，参照一般污染防治区中化工泵区地面的要求进行防渗。</w:t>
      </w:r>
    </w:p>
    <w:p>
      <w:pPr>
        <w:bidi w:val="0"/>
        <w:rPr>
          <w:rFonts w:hint="default"/>
          <w:color w:val="auto"/>
          <w:highlight w:val="none"/>
          <w:lang w:val="en-US" w:eastAsia="zh-CN"/>
        </w:rPr>
      </w:pPr>
      <w:r>
        <w:rPr>
          <w:rFonts w:hint="default"/>
          <w:color w:val="auto"/>
          <w:highlight w:val="none"/>
          <w:lang w:val="en-US" w:eastAsia="zh-CN"/>
        </w:rPr>
        <w:t>（3）管理控制</w:t>
      </w:r>
    </w:p>
    <w:p>
      <w:pPr>
        <w:bidi w:val="0"/>
        <w:rPr>
          <w:rFonts w:hint="default"/>
          <w:color w:val="auto"/>
          <w:highlight w:val="none"/>
          <w:lang w:val="en-US" w:eastAsia="zh-CN"/>
        </w:rPr>
      </w:pPr>
      <w:r>
        <w:rPr>
          <w:rFonts w:hint="default"/>
          <w:color w:val="auto"/>
          <w:highlight w:val="none"/>
          <w:lang w:val="en-US" w:eastAsia="zh-CN"/>
        </w:rPr>
        <w:t>为保证防渗工程正常施工、运行，达到设计防渗等级，应对工程质量进行管理控制：</w:t>
      </w:r>
    </w:p>
    <w:p>
      <w:pPr>
        <w:bidi w:val="0"/>
        <w:rPr>
          <w:rFonts w:hint="default"/>
          <w:color w:val="auto"/>
          <w:highlight w:val="none"/>
          <w:lang w:val="en-US" w:eastAsia="zh-CN"/>
        </w:rPr>
      </w:pPr>
      <w:r>
        <w:rPr>
          <w:rFonts w:hint="default"/>
          <w:color w:val="auto"/>
          <w:highlight w:val="none"/>
          <w:lang w:val="en-US" w:eastAsia="zh-CN"/>
        </w:rPr>
        <w:t>①选择具有相应资质的设计单位对工程进行设计，防渗工程的设计符合相应要求及设计规范；</w:t>
      </w:r>
    </w:p>
    <w:p>
      <w:pPr>
        <w:bidi w:val="0"/>
        <w:rPr>
          <w:rFonts w:hint="default"/>
          <w:color w:val="auto"/>
          <w:highlight w:val="none"/>
          <w:lang w:val="en-US" w:eastAsia="zh-CN"/>
        </w:rPr>
      </w:pPr>
      <w:r>
        <w:rPr>
          <w:rFonts w:hint="default"/>
          <w:color w:val="auto"/>
          <w:highlight w:val="none"/>
          <w:lang w:val="en-US" w:eastAsia="zh-CN"/>
        </w:rPr>
        <w:t>②工程材料符合设计要求，并按照有关规定和要求进行质量检验，保证使用材料全部合格；</w:t>
      </w:r>
    </w:p>
    <w:p>
      <w:pPr>
        <w:bidi w:val="0"/>
        <w:rPr>
          <w:rFonts w:hint="default"/>
          <w:color w:val="auto"/>
          <w:highlight w:val="none"/>
          <w:lang w:val="en-US" w:eastAsia="zh-CN"/>
        </w:rPr>
      </w:pPr>
      <w:r>
        <w:rPr>
          <w:rFonts w:hint="default"/>
          <w:color w:val="auto"/>
          <w:highlight w:val="none"/>
          <w:lang w:val="en-US" w:eastAsia="zh-CN"/>
        </w:rPr>
        <w:t>③聘请优秀专业施工队伍，施工方法符合规范要求；</w:t>
      </w:r>
    </w:p>
    <w:p>
      <w:pPr>
        <w:bidi w:val="0"/>
        <w:rPr>
          <w:rFonts w:hint="default"/>
          <w:color w:val="auto"/>
          <w:highlight w:val="none"/>
          <w:lang w:val="en-US" w:eastAsia="zh-CN"/>
        </w:rPr>
      </w:pPr>
      <w:r>
        <w:rPr>
          <w:rFonts w:hint="default"/>
          <w:color w:val="auto"/>
          <w:highlight w:val="none"/>
          <w:lang w:val="en-US" w:eastAsia="zh-CN"/>
        </w:rPr>
        <w:t>④应委托具有工程环境监理资质并经环境保护业务培训的单位对设计文件中环境保护措施的实施情况进行工程环境监理（包括地面防渗）。</w:t>
      </w:r>
    </w:p>
    <w:p>
      <w:pPr>
        <w:bidi w:val="0"/>
        <w:rPr>
          <w:rFonts w:hint="default"/>
          <w:color w:val="auto"/>
          <w:highlight w:val="none"/>
          <w:lang w:val="en-US" w:eastAsia="zh-CN"/>
        </w:rPr>
      </w:pPr>
      <w:r>
        <w:rPr>
          <w:rFonts w:hint="default"/>
          <w:color w:val="auto"/>
          <w:highlight w:val="none"/>
          <w:lang w:val="en-US" w:eastAsia="zh-CN"/>
        </w:rPr>
        <w:t>⑤工程完工后进行质量检测。在防渗设施投入使用后，要加强日常的维护管理。</w:t>
      </w:r>
    </w:p>
    <w:p>
      <w:pPr>
        <w:pStyle w:val="5"/>
        <w:numPr>
          <w:ilvl w:val="3"/>
          <w:numId w:val="7"/>
        </w:numPr>
        <w:tabs>
          <w:tab w:val="left" w:pos="420"/>
        </w:tabs>
        <w:bidi w:val="0"/>
        <w:rPr>
          <w:rFonts w:hint="default"/>
          <w:color w:val="auto"/>
          <w:highlight w:val="none"/>
          <w:lang w:val="en-GB"/>
        </w:rPr>
      </w:pPr>
      <w:r>
        <w:rPr>
          <w:rFonts w:hint="default"/>
          <w:color w:val="auto"/>
          <w:highlight w:val="none"/>
          <w:lang w:val="en-GB"/>
        </w:rPr>
        <w:t>地下水环境监测与管理</w:t>
      </w:r>
    </w:p>
    <w:p>
      <w:pPr>
        <w:bidi w:val="0"/>
        <w:rPr>
          <w:rFonts w:hint="default"/>
          <w:color w:val="auto"/>
          <w:highlight w:val="none"/>
          <w:lang w:val="en-GB"/>
        </w:rPr>
      </w:pPr>
      <w:r>
        <w:rPr>
          <w:rFonts w:hint="default"/>
          <w:color w:val="auto"/>
          <w:highlight w:val="none"/>
          <w:lang w:val="en-GB"/>
        </w:rPr>
        <w:t xml:space="preserve">（1）地下水监测计划 </w:t>
      </w:r>
    </w:p>
    <w:p>
      <w:pPr>
        <w:bidi w:val="0"/>
        <w:rPr>
          <w:rFonts w:hint="default"/>
          <w:color w:val="auto"/>
          <w:highlight w:val="none"/>
          <w:lang w:val="en-GB"/>
        </w:rPr>
      </w:pPr>
      <w:r>
        <w:rPr>
          <w:rFonts w:hint="default"/>
          <w:color w:val="auto"/>
          <w:highlight w:val="none"/>
          <w:lang w:val="en-GB"/>
        </w:rPr>
        <w:t>为了及时准确地掌握厂址及下游地区地下水环境质量状况和地下水体中污染物的动态变化，本项目应建立地下水长期监控系统，包括科学、合理的设置地下水污染监控井，建立完善的监测制度，配备先进的检测仪器和设备，以便及时发现，及时控制。若企业难以配备完善的地下水监测仪器和设备，可委托有资质的专业单位定期进行地下水监测。</w:t>
      </w:r>
    </w:p>
    <w:p>
      <w:pPr>
        <w:bidi w:val="0"/>
        <w:rPr>
          <w:rFonts w:hint="default"/>
          <w:color w:val="auto"/>
          <w:highlight w:val="none"/>
          <w:lang w:val="en-GB"/>
        </w:rPr>
      </w:pPr>
      <w:r>
        <w:rPr>
          <w:rFonts w:hint="default"/>
          <w:color w:val="auto"/>
          <w:highlight w:val="none"/>
          <w:lang w:val="en-GB"/>
        </w:rPr>
        <w:t>本项目地下水环境监测主要参考《环境影响评价技术导则  地下水环境》（HJ610-2016）的要求，考虑潜在污染源、环境保护目标和敏感点位置等因素，布置地下水监测点进行跟踪监测。</w:t>
      </w:r>
    </w:p>
    <w:p>
      <w:pPr>
        <w:bidi w:val="0"/>
        <w:rPr>
          <w:rFonts w:hint="default"/>
          <w:color w:val="auto"/>
          <w:highlight w:val="none"/>
          <w:lang w:val="en-GB"/>
        </w:rPr>
      </w:pPr>
      <w:r>
        <w:rPr>
          <w:rFonts w:hint="default"/>
          <w:color w:val="auto"/>
          <w:highlight w:val="none"/>
          <w:lang w:val="en-GB"/>
        </w:rPr>
        <w:t>（2）地下水监测项目</w:t>
      </w:r>
    </w:p>
    <w:p>
      <w:pPr>
        <w:bidi w:val="0"/>
        <w:rPr>
          <w:rFonts w:hint="default"/>
          <w:color w:val="auto"/>
          <w:highlight w:val="none"/>
          <w:lang w:val="en-GB"/>
        </w:rPr>
      </w:pPr>
      <w:r>
        <w:rPr>
          <w:rFonts w:hint="default"/>
          <w:color w:val="auto"/>
          <w:highlight w:val="none"/>
          <w:lang w:val="en-GB"/>
        </w:rPr>
        <w:t>参照《地下水质量标准》相关要求和潜在污染源特征污染因子确定，主要监测项目为可能渗漏的各项污染物，监测项目为pH、氨氮、耗氧量、动植物油。</w:t>
      </w:r>
    </w:p>
    <w:p>
      <w:pPr>
        <w:bidi w:val="0"/>
        <w:rPr>
          <w:rFonts w:hint="default"/>
          <w:color w:val="auto"/>
          <w:highlight w:val="none"/>
          <w:lang w:val="en-GB"/>
        </w:rPr>
      </w:pPr>
      <w:r>
        <w:rPr>
          <w:rFonts w:hint="default"/>
          <w:color w:val="auto"/>
          <w:highlight w:val="none"/>
          <w:lang w:val="en-GB"/>
        </w:rPr>
        <w:t>（3）监测井布置</w:t>
      </w:r>
    </w:p>
    <w:p>
      <w:pPr>
        <w:bidi w:val="0"/>
        <w:rPr>
          <w:rFonts w:hint="default"/>
          <w:color w:val="auto"/>
          <w:highlight w:val="none"/>
          <w:lang w:val="en-GB"/>
        </w:rPr>
      </w:pPr>
      <w:r>
        <w:rPr>
          <w:rFonts w:hint="default"/>
          <w:color w:val="auto"/>
          <w:highlight w:val="none"/>
          <w:lang w:val="en-GB"/>
        </w:rPr>
        <w:t>根据《地下水环境监测技术规范》HJ/T164-2004 以及《环境影响评价技术导则 地下水》（HJ610-2016）的要求，</w:t>
      </w:r>
      <w:r>
        <w:rPr>
          <w:rFonts w:hint="eastAsia"/>
          <w:color w:val="auto"/>
          <w:highlight w:val="none"/>
          <w:lang w:val="en-US" w:eastAsia="zh-CN"/>
        </w:rPr>
        <w:t>三</w:t>
      </w:r>
      <w:r>
        <w:rPr>
          <w:rFonts w:hint="default"/>
          <w:color w:val="auto"/>
          <w:highlight w:val="none"/>
          <w:lang w:val="en-GB"/>
        </w:rPr>
        <w:t>级评价的建设项目，地下水跟踪监测点一般不少于</w:t>
      </w:r>
      <w:r>
        <w:rPr>
          <w:rFonts w:hint="eastAsia"/>
          <w:color w:val="auto"/>
          <w:highlight w:val="none"/>
          <w:lang w:val="en-US" w:eastAsia="zh-CN"/>
        </w:rPr>
        <w:t>1</w:t>
      </w:r>
      <w:r>
        <w:rPr>
          <w:rFonts w:hint="default"/>
          <w:color w:val="auto"/>
          <w:highlight w:val="none"/>
          <w:lang w:val="en-GB"/>
        </w:rPr>
        <w:t>个，应至少在建设项目场地下游布置1个。</w:t>
      </w:r>
    </w:p>
    <w:p>
      <w:pPr>
        <w:bidi w:val="0"/>
        <w:rPr>
          <w:rFonts w:hint="default"/>
          <w:color w:val="auto"/>
          <w:highlight w:val="none"/>
          <w:lang w:val="en-GB"/>
        </w:rPr>
      </w:pPr>
      <w:r>
        <w:rPr>
          <w:rFonts w:hint="default"/>
          <w:color w:val="auto"/>
          <w:highlight w:val="none"/>
          <w:lang w:val="en-GB"/>
        </w:rPr>
        <w:t>根据区域水文地质条件和建设项目特点，在厂区内设</w:t>
      </w:r>
      <w:r>
        <w:rPr>
          <w:rFonts w:hint="eastAsia"/>
          <w:color w:val="auto"/>
          <w:highlight w:val="none"/>
          <w:lang w:val="en-US" w:eastAsia="zh-CN"/>
        </w:rPr>
        <w:t>1个</w:t>
      </w:r>
      <w:r>
        <w:rPr>
          <w:rFonts w:hint="default"/>
          <w:color w:val="auto"/>
          <w:highlight w:val="none"/>
          <w:lang w:val="en-GB"/>
        </w:rPr>
        <w:t>地下水日常观监井。监测项目为 pH、氨氮、耗氧量等，监测频率不少于每季一次。当发生泄漏事故时，应加密监测。监测结果应按有关规定及时建立档案，并对项目所在区域的居民公开，发现污染和水质恶化时，要及时进行处理，开展系统调查，并上报相关部门。</w:t>
      </w:r>
    </w:p>
    <w:p>
      <w:pPr>
        <w:bidi w:val="0"/>
        <w:rPr>
          <w:rFonts w:hint="default"/>
          <w:color w:val="auto"/>
          <w:highlight w:val="none"/>
          <w:lang w:val="en-GB"/>
        </w:rPr>
      </w:pPr>
      <w:r>
        <w:rPr>
          <w:color w:val="auto"/>
          <w:highlight w:val="none"/>
        </w:rPr>
        <w:drawing>
          <wp:anchor distT="0" distB="0" distL="114300" distR="114300" simplePos="0" relativeHeight="251664384" behindDoc="0" locked="0" layoutInCell="1" allowOverlap="1">
            <wp:simplePos x="0" y="0"/>
            <wp:positionH relativeFrom="column">
              <wp:posOffset>5153660</wp:posOffset>
            </wp:positionH>
            <wp:positionV relativeFrom="paragraph">
              <wp:posOffset>121285</wp:posOffset>
            </wp:positionV>
            <wp:extent cx="895350" cy="1000125"/>
            <wp:effectExtent l="0" t="0" r="0" b="9525"/>
            <wp:wrapNone/>
            <wp:docPr id="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8"/>
                    <pic:cNvPicPr>
                      <a:picLocks noChangeAspect="1"/>
                    </pic:cNvPicPr>
                  </pic:nvPicPr>
                  <pic:blipFill>
                    <a:blip r:embed="rId185"/>
                    <a:stretch>
                      <a:fillRect/>
                    </a:stretch>
                  </pic:blipFill>
                  <pic:spPr>
                    <a:xfrm>
                      <a:off x="0" y="0"/>
                      <a:ext cx="895350" cy="1000125"/>
                    </a:xfrm>
                    <a:prstGeom prst="rect">
                      <a:avLst/>
                    </a:prstGeom>
                    <a:noFill/>
                    <a:ln>
                      <a:noFill/>
                    </a:ln>
                  </pic:spPr>
                </pic:pic>
              </a:graphicData>
            </a:graphic>
          </wp:anchor>
        </w:drawing>
      </w:r>
    </w:p>
    <w:p>
      <w:pPr>
        <w:pStyle w:val="22"/>
        <w:numPr>
          <w:ilvl w:val="7"/>
          <w:numId w:val="7"/>
        </w:numPr>
        <w:bidi w:val="0"/>
        <w:rPr>
          <w:rFonts w:hint="default"/>
          <w:color w:val="auto"/>
          <w:highlight w:val="none"/>
          <w:lang w:val="en-US" w:eastAsia="zh-CN"/>
        </w:rPr>
      </w:pPr>
      <w:r>
        <w:rPr>
          <w:rFonts w:hint="eastAsia"/>
          <w:color w:val="auto"/>
          <w:highlight w:val="none"/>
          <w:lang w:val="en-US" w:eastAsia="zh-CN"/>
        </w:rPr>
        <w:t>跟踪监测点位图</w:t>
      </w:r>
    </w:p>
    <w:p>
      <w:pPr>
        <w:bidi w:val="0"/>
        <w:rPr>
          <w:rFonts w:hint="default"/>
          <w:color w:val="auto"/>
          <w:highlight w:val="none"/>
          <w:lang w:val="en-GB"/>
        </w:rPr>
      </w:pPr>
      <w:r>
        <w:rPr>
          <w:rFonts w:hint="default"/>
          <w:color w:val="auto"/>
          <w:highlight w:val="none"/>
          <w:lang w:val="en-GB"/>
        </w:rPr>
        <w:t>（4）制定地下水环境跟踪监测与信息公开计划</w:t>
      </w:r>
    </w:p>
    <w:p>
      <w:pPr>
        <w:bidi w:val="0"/>
        <w:rPr>
          <w:rFonts w:hint="default"/>
          <w:color w:val="auto"/>
          <w:highlight w:val="none"/>
          <w:lang w:val="en-GB"/>
        </w:rPr>
      </w:pPr>
      <w:r>
        <w:rPr>
          <w:rFonts w:hint="default"/>
          <w:color w:val="auto"/>
          <w:highlight w:val="none"/>
          <w:lang w:val="en-GB"/>
        </w:rPr>
        <w:t>建设单位应编制地下水环境跟踪监测报告，一般包括：</w:t>
      </w:r>
    </w:p>
    <w:p>
      <w:pPr>
        <w:bidi w:val="0"/>
        <w:rPr>
          <w:rFonts w:hint="default"/>
          <w:color w:val="auto"/>
          <w:highlight w:val="none"/>
          <w:lang w:val="en-GB"/>
        </w:rPr>
      </w:pPr>
      <w:r>
        <w:rPr>
          <w:rFonts w:hint="default"/>
          <w:color w:val="auto"/>
          <w:highlight w:val="none"/>
          <w:lang w:val="en-GB"/>
        </w:rPr>
        <w:t>①建设项目所在场地及其影响地下水环境跟踪监测数据，排放污染物的种类、数量、浓度；</w:t>
      </w:r>
    </w:p>
    <w:p>
      <w:pPr>
        <w:bidi w:val="0"/>
        <w:rPr>
          <w:rFonts w:hint="default"/>
          <w:color w:val="auto"/>
          <w:highlight w:val="none"/>
          <w:lang w:val="en-GB"/>
        </w:rPr>
      </w:pPr>
      <w:r>
        <w:rPr>
          <w:rFonts w:hint="default"/>
          <w:color w:val="auto"/>
          <w:highlight w:val="none"/>
          <w:lang w:val="en-GB"/>
        </w:rPr>
        <w:t>②生产设备、管廊或管线、贮存与运输装置、污染物贮存与处理装置、事故应急装置等设施的运行状况、跑冒滴漏、维护记录。</w:t>
      </w:r>
    </w:p>
    <w:p>
      <w:pPr>
        <w:bidi w:val="0"/>
        <w:rPr>
          <w:rFonts w:hint="default"/>
          <w:color w:val="auto"/>
          <w:highlight w:val="none"/>
          <w:lang w:val="en-GB"/>
        </w:rPr>
      </w:pPr>
      <w:r>
        <w:rPr>
          <w:rFonts w:hint="default"/>
          <w:color w:val="auto"/>
          <w:highlight w:val="none"/>
          <w:lang w:val="en-GB"/>
        </w:rPr>
        <w:t>③信息公开计划应至少包括建设项目特征因子的地下水环境监测值。</w:t>
      </w:r>
    </w:p>
    <w:p>
      <w:pPr>
        <w:bidi w:val="0"/>
        <w:rPr>
          <w:rFonts w:hint="default"/>
          <w:color w:val="auto"/>
          <w:highlight w:val="none"/>
          <w:lang w:val="en-GB"/>
        </w:rPr>
      </w:pPr>
      <w:r>
        <w:rPr>
          <w:rFonts w:hint="default"/>
          <w:color w:val="auto"/>
          <w:highlight w:val="none"/>
          <w:lang w:val="en-GB"/>
        </w:rPr>
        <w:t>（5）应急响应</w:t>
      </w:r>
    </w:p>
    <w:p>
      <w:pPr>
        <w:bidi w:val="0"/>
        <w:rPr>
          <w:rFonts w:hint="default"/>
          <w:color w:val="auto"/>
          <w:highlight w:val="none"/>
          <w:lang w:val="en-GB"/>
        </w:rPr>
      </w:pPr>
      <w:r>
        <w:rPr>
          <w:rFonts w:hint="default"/>
          <w:color w:val="auto"/>
          <w:highlight w:val="none"/>
          <w:lang w:val="en-GB"/>
        </w:rPr>
        <w:t>应制定地下水污染应急预案，并在发现厂区地下水受到污染时立刻启动应急预案，采取应急措施防止污染扩散，防止周边居民人体健康及生态环境受到影响。</w:t>
      </w:r>
    </w:p>
    <w:p>
      <w:pPr>
        <w:bidi w:val="0"/>
        <w:rPr>
          <w:rFonts w:hint="default"/>
          <w:color w:val="auto"/>
          <w:highlight w:val="none"/>
          <w:lang w:val="en-GB"/>
        </w:rPr>
      </w:pPr>
      <w:r>
        <w:rPr>
          <w:rFonts w:hint="default"/>
          <w:color w:val="auto"/>
          <w:highlight w:val="none"/>
          <w:lang w:val="en-GB"/>
        </w:rPr>
        <w:t xml:space="preserve">地下水污染应急预案应包括： </w:t>
      </w:r>
    </w:p>
    <w:p>
      <w:pPr>
        <w:bidi w:val="0"/>
        <w:rPr>
          <w:rFonts w:hint="default"/>
          <w:color w:val="auto"/>
          <w:highlight w:val="none"/>
          <w:lang w:val="en-GB"/>
        </w:rPr>
      </w:pPr>
      <w:r>
        <w:rPr>
          <w:rFonts w:hint="default"/>
          <w:color w:val="auto"/>
          <w:highlight w:val="none"/>
          <w:lang w:val="en-GB"/>
        </w:rPr>
        <w:t xml:space="preserve">①如发现地下水污染事故，应立即向厂区环保部门及行政管理部门报告，调查并确认污染源位置； </w:t>
      </w:r>
    </w:p>
    <w:p>
      <w:pPr>
        <w:bidi w:val="0"/>
        <w:rPr>
          <w:rFonts w:hint="default"/>
          <w:color w:val="auto"/>
          <w:highlight w:val="none"/>
          <w:lang w:val="en-GB"/>
        </w:rPr>
      </w:pPr>
      <w:r>
        <w:rPr>
          <w:rFonts w:hint="default"/>
          <w:color w:val="auto"/>
          <w:highlight w:val="none"/>
          <w:lang w:val="en-GB"/>
        </w:rPr>
        <w:t xml:space="preserve">②若存在污染物泄露情况，应及时采取有效措施阻断确认的污染源，防止污染物继续渗漏到地下，导致土壤和地下水污染范围扩大； </w:t>
      </w:r>
    </w:p>
    <w:p>
      <w:pPr>
        <w:bidi w:val="0"/>
        <w:rPr>
          <w:rFonts w:hint="default"/>
          <w:color w:val="auto"/>
          <w:highlight w:val="none"/>
          <w:lang w:val="en-GB"/>
        </w:rPr>
      </w:pPr>
      <w:r>
        <w:rPr>
          <w:rFonts w:hint="default"/>
          <w:color w:val="auto"/>
          <w:highlight w:val="none"/>
          <w:lang w:val="en-GB"/>
        </w:rPr>
        <w:t xml:space="preserve">③立即对重污染区域采取有效的修复措施，包括开挖并移走重污染土壤作危险废物处置，对重污染区的地下水抽出并送到事故池中，防止污染物在地下继续扩散； </w:t>
      </w:r>
    </w:p>
    <w:p>
      <w:pPr>
        <w:bidi w:val="0"/>
        <w:rPr>
          <w:rFonts w:hint="default"/>
          <w:color w:val="auto"/>
          <w:highlight w:val="none"/>
          <w:lang w:val="en-GB"/>
        </w:rPr>
      </w:pPr>
      <w:r>
        <w:rPr>
          <w:rFonts w:hint="default"/>
          <w:color w:val="auto"/>
          <w:highlight w:val="none"/>
          <w:lang w:val="en-GB"/>
        </w:rPr>
        <w:t>④对厂区及周边区域的地下水敏感点进行取样监测，确定水质是否受到影响。如果水质受到影响，应及时通知相关方并立即停用受污染的地下水。</w:t>
      </w:r>
    </w:p>
    <w:p>
      <w:pPr>
        <w:pStyle w:val="4"/>
        <w:numPr>
          <w:ilvl w:val="2"/>
          <w:numId w:val="7"/>
        </w:numPr>
        <w:tabs>
          <w:tab w:val="left" w:pos="420"/>
        </w:tabs>
        <w:bidi w:val="0"/>
        <w:rPr>
          <w:rFonts w:hint="default"/>
          <w:color w:val="auto"/>
          <w:highlight w:val="none"/>
          <w:lang w:val="en-GB"/>
        </w:rPr>
      </w:pPr>
      <w:r>
        <w:rPr>
          <w:rFonts w:hint="default"/>
          <w:color w:val="auto"/>
          <w:highlight w:val="none"/>
          <w:lang w:val="en-GB"/>
        </w:rPr>
        <w:t>运营期土壤污染防治措施</w:t>
      </w:r>
    </w:p>
    <w:p>
      <w:pPr>
        <w:bidi w:val="0"/>
        <w:rPr>
          <w:rFonts w:hint="default"/>
          <w:color w:val="auto"/>
          <w:highlight w:val="none"/>
          <w:lang w:val="en-GB"/>
        </w:rPr>
      </w:pPr>
      <w:r>
        <w:rPr>
          <w:rFonts w:hint="default"/>
          <w:color w:val="auto"/>
          <w:highlight w:val="none"/>
          <w:lang w:val="en-GB"/>
        </w:rPr>
        <w:t>企业运营过程中，为防止事故状态对土壤环境的污染，应采取如下措施：</w:t>
      </w:r>
    </w:p>
    <w:p>
      <w:pPr>
        <w:bidi w:val="0"/>
        <w:rPr>
          <w:rFonts w:hint="default"/>
          <w:color w:val="auto"/>
          <w:highlight w:val="none"/>
          <w:lang w:val="en-GB"/>
        </w:rPr>
      </w:pPr>
      <w:r>
        <w:rPr>
          <w:rFonts w:hint="eastAsia"/>
          <w:color w:val="auto"/>
          <w:highlight w:val="none"/>
          <w:lang w:val="en-GB" w:eastAsia="zh-CN"/>
        </w:rPr>
        <w:t>（</w:t>
      </w:r>
      <w:r>
        <w:rPr>
          <w:rFonts w:hint="eastAsia"/>
          <w:color w:val="auto"/>
          <w:highlight w:val="none"/>
          <w:lang w:val="en-US" w:eastAsia="zh-CN"/>
        </w:rPr>
        <w:t>1</w:t>
      </w:r>
      <w:r>
        <w:rPr>
          <w:rFonts w:hint="eastAsia"/>
          <w:color w:val="auto"/>
          <w:highlight w:val="none"/>
          <w:lang w:val="en-GB" w:eastAsia="zh-CN"/>
        </w:rPr>
        <w:t>）</w:t>
      </w:r>
      <w:r>
        <w:rPr>
          <w:rFonts w:hint="default"/>
          <w:color w:val="auto"/>
          <w:highlight w:val="none"/>
          <w:lang w:val="en-GB"/>
        </w:rPr>
        <w:t>危险废物严格按照要求进行处理处置，严禁随意倾倒、丢弃，并及时交有危险废物处理资质的单位处理。</w:t>
      </w:r>
    </w:p>
    <w:p>
      <w:pPr>
        <w:bidi w:val="0"/>
        <w:rPr>
          <w:rFonts w:hint="default"/>
          <w:color w:val="auto"/>
          <w:highlight w:val="none"/>
          <w:lang w:val="en-GB"/>
        </w:rPr>
      </w:pPr>
      <w:r>
        <w:rPr>
          <w:rFonts w:hint="eastAsia"/>
          <w:color w:val="auto"/>
          <w:highlight w:val="none"/>
          <w:lang w:val="en-GB" w:eastAsia="zh-CN"/>
        </w:rPr>
        <w:t>（</w:t>
      </w:r>
      <w:r>
        <w:rPr>
          <w:rFonts w:hint="eastAsia"/>
          <w:color w:val="auto"/>
          <w:highlight w:val="none"/>
          <w:lang w:val="en-US" w:eastAsia="zh-CN"/>
        </w:rPr>
        <w:t>2</w:t>
      </w:r>
      <w:r>
        <w:rPr>
          <w:rFonts w:hint="eastAsia"/>
          <w:color w:val="auto"/>
          <w:highlight w:val="none"/>
          <w:lang w:val="en-GB" w:eastAsia="zh-CN"/>
        </w:rPr>
        <w:t>）</w:t>
      </w:r>
      <w:r>
        <w:rPr>
          <w:rFonts w:hint="default"/>
          <w:color w:val="auto"/>
          <w:highlight w:val="none"/>
          <w:lang w:val="en-GB"/>
        </w:rPr>
        <w:t>一旦物料</w:t>
      </w:r>
      <w:r>
        <w:rPr>
          <w:rFonts w:hint="eastAsia"/>
          <w:color w:val="auto"/>
          <w:highlight w:val="none"/>
          <w:lang w:val="en-GB" w:eastAsia="zh-CN"/>
        </w:rPr>
        <w:t>（</w:t>
      </w:r>
      <w:r>
        <w:rPr>
          <w:rFonts w:hint="eastAsia"/>
          <w:color w:val="auto"/>
          <w:highlight w:val="none"/>
          <w:lang w:val="en-US" w:eastAsia="zh-CN"/>
        </w:rPr>
        <w:t>纺丝油剂</w:t>
      </w:r>
      <w:r>
        <w:rPr>
          <w:rFonts w:hint="eastAsia"/>
          <w:color w:val="auto"/>
          <w:highlight w:val="none"/>
          <w:lang w:val="en-GB" w:eastAsia="zh-CN"/>
        </w:rPr>
        <w:t>）</w:t>
      </w:r>
      <w:r>
        <w:rPr>
          <w:rFonts w:hint="default"/>
          <w:color w:val="auto"/>
          <w:highlight w:val="none"/>
          <w:lang w:val="en-GB"/>
        </w:rPr>
        <w:t>发生泄漏，企业应及时采取有效的应急处置措施，减少事故损失，防止事故蔓延、扩大，对危废间等设施建立严格的规章制度，保证其正常运转，公司需定期进行设备、地面、污水处理站等的维护和巡检，应将短期储存的事故废水根据水质情况及时转移处理，将意外泄漏的物料及时收集处理。</w:t>
      </w:r>
    </w:p>
    <w:p>
      <w:pPr>
        <w:bidi w:val="0"/>
        <w:rPr>
          <w:rFonts w:hint="default"/>
          <w:color w:val="auto"/>
          <w:highlight w:val="none"/>
          <w:lang w:val="en-GB"/>
        </w:rPr>
      </w:pPr>
      <w:r>
        <w:rPr>
          <w:rFonts w:hint="eastAsia"/>
          <w:color w:val="auto"/>
          <w:highlight w:val="none"/>
          <w:lang w:val="en-GB" w:eastAsia="zh-CN"/>
        </w:rPr>
        <w:t>（</w:t>
      </w:r>
      <w:r>
        <w:rPr>
          <w:rFonts w:hint="eastAsia"/>
          <w:color w:val="auto"/>
          <w:highlight w:val="none"/>
          <w:lang w:val="en-US" w:eastAsia="zh-CN"/>
        </w:rPr>
        <w:t>3</w:t>
      </w:r>
      <w:r>
        <w:rPr>
          <w:rFonts w:hint="eastAsia"/>
          <w:color w:val="auto"/>
          <w:highlight w:val="none"/>
          <w:lang w:val="en-GB" w:eastAsia="zh-CN"/>
        </w:rPr>
        <w:t>）</w:t>
      </w:r>
      <w:r>
        <w:rPr>
          <w:rFonts w:hint="default"/>
          <w:color w:val="auto"/>
          <w:highlight w:val="none"/>
          <w:lang w:val="en-GB"/>
        </w:rPr>
        <w:t>加强生产管理，减少废气的有组织和无组织排放，企业必须确保废气处理设施的正常运行，并达到评价要求的治理效果，定期检查废气处理设施，若废气处理设施发生故障或效率降低时，企业必须及时修复，在未修复前必须根据故障情况采取限产或停产措施。</w:t>
      </w: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bidi w:val="0"/>
        <w:rPr>
          <w:rFonts w:hint="default"/>
          <w:color w:val="auto"/>
          <w:highlight w:val="none"/>
          <w:lang w:val="en-GB"/>
        </w:rPr>
      </w:pPr>
    </w:p>
    <w:p>
      <w:pPr>
        <w:pStyle w:val="2"/>
        <w:numPr>
          <w:ilvl w:val="0"/>
          <w:numId w:val="7"/>
        </w:numPr>
        <w:bidi w:val="0"/>
        <w:rPr>
          <w:rFonts w:hint="default"/>
          <w:color w:val="auto"/>
          <w:highlight w:val="none"/>
          <w:lang w:val="en-US" w:eastAsia="zh-CN"/>
        </w:rPr>
      </w:pPr>
      <w:bookmarkStart w:id="641" w:name="_Toc13439"/>
      <w:bookmarkStart w:id="642" w:name="_Toc12498"/>
      <w:bookmarkStart w:id="643" w:name="_Toc27161"/>
      <w:bookmarkStart w:id="644" w:name="_Toc20234"/>
      <w:r>
        <w:rPr>
          <w:rFonts w:hint="default"/>
          <w:color w:val="auto"/>
          <w:highlight w:val="none"/>
          <w:lang w:val="en-US" w:eastAsia="zh-CN"/>
        </w:rPr>
        <w:t>环境影响经济损益分析</w:t>
      </w:r>
      <w:bookmarkEnd w:id="641"/>
      <w:bookmarkEnd w:id="642"/>
      <w:bookmarkEnd w:id="643"/>
      <w:bookmarkEnd w:id="644"/>
    </w:p>
    <w:p>
      <w:pPr>
        <w:bidi w:val="0"/>
        <w:rPr>
          <w:rFonts w:hint="default"/>
          <w:color w:val="auto"/>
          <w:highlight w:val="none"/>
          <w:lang w:val="en-US" w:eastAsia="zh-CN"/>
        </w:rPr>
      </w:pPr>
      <w:r>
        <w:rPr>
          <w:rFonts w:hint="default"/>
          <w:color w:val="auto"/>
          <w:highlight w:val="none"/>
          <w:lang w:val="en-US" w:eastAsia="zh-CN"/>
        </w:rPr>
        <w:t>环境经济损益分析是环境影响评价的一项重要工作内容，其主要任务是衡量建设项目需要投入的环保投资所能收到的环境保护效果。因此，在环境经济损益分析中除需计算用于控制污染所需投资和费用外，同时还要核算可能受到的环境与经济实效。但是，经济效益比较直观，很容易用货币直接计算出来，而其社会效益和环境效益很难用货币的形式来表示。在我国，环境保护的事业性投资不是以盈利为目的，一些环保工程和设施尚不能完全商品化，所以只能采用费用——效益分析法，分析环保投资比例，经济效益和环境效益。本报告只估算建设项目的环保投资带来的经济效益和环境效益。</w:t>
      </w:r>
    </w:p>
    <w:p>
      <w:pPr>
        <w:pStyle w:val="3"/>
        <w:numPr>
          <w:ilvl w:val="1"/>
          <w:numId w:val="7"/>
        </w:numPr>
        <w:bidi w:val="0"/>
        <w:rPr>
          <w:rFonts w:hint="default"/>
          <w:color w:val="auto"/>
          <w:highlight w:val="none"/>
          <w:lang w:val="en-US" w:eastAsia="zh-CN"/>
        </w:rPr>
      </w:pPr>
      <w:bookmarkStart w:id="645" w:name="_Toc21192"/>
      <w:bookmarkStart w:id="646" w:name="_Toc3605"/>
      <w:bookmarkStart w:id="647" w:name="_Toc10496"/>
      <w:bookmarkStart w:id="648" w:name="_Toc20646"/>
      <w:r>
        <w:rPr>
          <w:rFonts w:hint="default"/>
          <w:color w:val="auto"/>
          <w:highlight w:val="none"/>
          <w:lang w:val="en-US" w:eastAsia="zh-CN"/>
        </w:rPr>
        <w:t>环保费用估算</w:t>
      </w:r>
      <w:bookmarkEnd w:id="645"/>
      <w:bookmarkEnd w:id="646"/>
      <w:bookmarkEnd w:id="647"/>
      <w:bookmarkEnd w:id="648"/>
    </w:p>
    <w:p>
      <w:pPr>
        <w:bidi w:val="0"/>
        <w:rPr>
          <w:rFonts w:hint="default"/>
          <w:color w:val="auto"/>
          <w:highlight w:val="none"/>
          <w:lang w:val="en-US" w:eastAsia="zh-CN"/>
        </w:rPr>
      </w:pPr>
      <w:r>
        <w:rPr>
          <w:rFonts w:hint="default"/>
          <w:color w:val="auto"/>
          <w:highlight w:val="none"/>
          <w:lang w:val="en-US" w:eastAsia="zh-CN"/>
        </w:rPr>
        <w:t>本工程的环保投资包括废气、废水处理设施、降噪设施和厂区绿化等，工程需要的环保投资约</w:t>
      </w:r>
      <w:r>
        <w:rPr>
          <w:rFonts w:hint="eastAsia"/>
          <w:color w:val="auto"/>
          <w:highlight w:val="none"/>
          <w:lang w:val="en-US" w:eastAsia="zh-CN"/>
        </w:rPr>
        <w:t>280万</w:t>
      </w:r>
      <w:r>
        <w:rPr>
          <w:rFonts w:hint="default"/>
          <w:color w:val="auto"/>
          <w:highlight w:val="none"/>
          <w:lang w:val="en-US" w:eastAsia="zh-CN"/>
        </w:rPr>
        <w:t>元，占项目总投资（</w:t>
      </w:r>
      <w:r>
        <w:rPr>
          <w:rFonts w:hint="eastAsia"/>
          <w:color w:val="auto"/>
          <w:highlight w:val="none"/>
          <w:lang w:val="en-US" w:eastAsia="zh-CN"/>
        </w:rPr>
        <w:t>1</w:t>
      </w:r>
      <w:r>
        <w:rPr>
          <w:rFonts w:hint="default"/>
          <w:color w:val="auto"/>
          <w:highlight w:val="none"/>
          <w:lang w:val="en-US" w:eastAsia="zh-CN"/>
        </w:rPr>
        <w:t>5000万元）的</w:t>
      </w:r>
      <w:r>
        <w:rPr>
          <w:rFonts w:hint="eastAsia"/>
          <w:color w:val="auto"/>
          <w:highlight w:val="none"/>
          <w:lang w:val="en-US" w:eastAsia="zh-CN"/>
        </w:rPr>
        <w:t>1.87</w:t>
      </w:r>
      <w:r>
        <w:rPr>
          <w:rFonts w:hint="default"/>
          <w:color w:val="auto"/>
          <w:highlight w:val="none"/>
          <w:lang w:val="en-US" w:eastAsia="zh-CN"/>
        </w:rPr>
        <w:t>%。环保投资及运行费用详见</w:t>
      </w:r>
      <w:r>
        <w:rPr>
          <w:rFonts w:hint="eastAsia"/>
          <w:color w:val="auto"/>
          <w:highlight w:val="none"/>
          <w:lang w:val="en-US" w:eastAsia="zh-CN"/>
        </w:rPr>
        <w:t>下表</w:t>
      </w:r>
      <w:r>
        <w:rPr>
          <w:rFonts w:hint="default"/>
          <w:color w:val="auto"/>
          <w:highlight w:val="none"/>
          <w:lang w:val="en-US" w:eastAsia="zh-CN"/>
        </w:rPr>
        <w:t>。</w:t>
      </w:r>
    </w:p>
    <w:p>
      <w:pPr>
        <w:pStyle w:val="24"/>
        <w:numPr>
          <w:ilvl w:val="6"/>
          <w:numId w:val="7"/>
        </w:numPr>
        <w:tabs>
          <w:tab w:val="left" w:pos="420"/>
        </w:tabs>
        <w:bidi w:val="0"/>
        <w:rPr>
          <w:rFonts w:hint="default"/>
          <w:color w:val="auto"/>
          <w:highlight w:val="none"/>
          <w:lang w:val="en-US" w:eastAsia="zh-CN"/>
        </w:rPr>
      </w:pPr>
      <w:r>
        <w:rPr>
          <w:rFonts w:hint="default"/>
          <w:color w:val="auto"/>
          <w:highlight w:val="none"/>
          <w:lang w:val="en-US" w:eastAsia="zh-CN"/>
        </w:rPr>
        <w:t>环保工程投资及运行费用估算表</w:t>
      </w:r>
    </w:p>
    <w:p>
      <w:pPr>
        <w:pStyle w:val="3"/>
        <w:numPr>
          <w:ilvl w:val="1"/>
          <w:numId w:val="7"/>
        </w:numPr>
        <w:bidi w:val="0"/>
        <w:rPr>
          <w:rFonts w:hint="default"/>
          <w:color w:val="auto"/>
          <w:highlight w:val="none"/>
          <w:lang w:val="en-US" w:eastAsia="zh-CN"/>
        </w:rPr>
      </w:pPr>
      <w:bookmarkStart w:id="649" w:name="_Toc26282"/>
      <w:bookmarkStart w:id="650" w:name="_Toc24647"/>
      <w:bookmarkStart w:id="651" w:name="_Toc13040"/>
      <w:bookmarkStart w:id="652" w:name="_Toc1442"/>
      <w:r>
        <w:rPr>
          <w:rFonts w:hint="default"/>
          <w:color w:val="auto"/>
          <w:highlight w:val="none"/>
          <w:lang w:val="en-US" w:eastAsia="zh-CN"/>
        </w:rPr>
        <w:t>社会效益分析</w:t>
      </w:r>
      <w:bookmarkEnd w:id="649"/>
      <w:bookmarkEnd w:id="650"/>
      <w:bookmarkEnd w:id="651"/>
      <w:bookmarkEnd w:id="652"/>
    </w:p>
    <w:p>
      <w:pPr>
        <w:bidi w:val="0"/>
        <w:rPr>
          <w:rFonts w:hint="default"/>
          <w:color w:val="auto"/>
          <w:highlight w:val="none"/>
          <w:lang w:val="en-US" w:eastAsia="zh-CN"/>
        </w:rPr>
      </w:pPr>
      <w:r>
        <w:rPr>
          <w:rFonts w:hint="default"/>
          <w:color w:val="auto"/>
          <w:highlight w:val="none"/>
          <w:lang w:val="en-US" w:eastAsia="zh-CN"/>
        </w:rPr>
        <w:t>建设项目在取得直接经济效益的同时，带来了一系列的间接经济效益和社会效益：</w:t>
      </w:r>
    </w:p>
    <w:p>
      <w:pPr>
        <w:bidi w:val="0"/>
        <w:rPr>
          <w:rFonts w:hint="default"/>
          <w:color w:val="auto"/>
          <w:lang w:val="en-US" w:eastAsia="zh-CN"/>
        </w:rPr>
      </w:pPr>
      <w:r>
        <w:rPr>
          <w:rFonts w:hint="default"/>
          <w:color w:val="auto"/>
          <w:lang w:val="en-US" w:eastAsia="zh-CN"/>
        </w:rPr>
        <w:t>(1)本项目可增加当地的就业岗位和就业机会，缓解就业压力。</w:t>
      </w:r>
    </w:p>
    <w:p>
      <w:pPr>
        <w:bidi w:val="0"/>
        <w:rPr>
          <w:rFonts w:hint="default"/>
          <w:color w:val="auto"/>
          <w:lang w:val="en-US" w:eastAsia="zh-CN"/>
        </w:rPr>
      </w:pPr>
      <w:r>
        <w:rPr>
          <w:rFonts w:hint="default"/>
          <w:color w:val="auto"/>
          <w:lang w:val="en-US" w:eastAsia="zh-CN"/>
        </w:rPr>
        <w:t>(2)本项目水、电等的消耗为当地带来间接经济效益。</w:t>
      </w:r>
    </w:p>
    <w:p>
      <w:pPr>
        <w:bidi w:val="0"/>
        <w:rPr>
          <w:rFonts w:hint="default"/>
          <w:color w:val="auto"/>
          <w:lang w:val="en-US" w:eastAsia="zh-CN"/>
        </w:rPr>
      </w:pPr>
      <w:r>
        <w:rPr>
          <w:rFonts w:hint="default"/>
          <w:color w:val="auto"/>
          <w:lang w:val="en-US" w:eastAsia="zh-CN"/>
        </w:rPr>
        <w:t>(3)本项目可以增加地方和国家税收，增加当地的财政收入，从而有更多的资金促进各项社会公益事业的发展。</w:t>
      </w:r>
    </w:p>
    <w:p>
      <w:pPr>
        <w:pStyle w:val="3"/>
        <w:numPr>
          <w:ilvl w:val="1"/>
          <w:numId w:val="7"/>
        </w:numPr>
        <w:bidi w:val="0"/>
        <w:rPr>
          <w:rFonts w:hint="default"/>
          <w:color w:val="auto"/>
          <w:highlight w:val="none"/>
          <w:lang w:val="en-US" w:eastAsia="zh-CN"/>
        </w:rPr>
      </w:pPr>
      <w:bookmarkStart w:id="653" w:name="_Toc10672"/>
      <w:bookmarkStart w:id="654" w:name="_Toc19102"/>
      <w:bookmarkStart w:id="655" w:name="_Toc18885"/>
      <w:bookmarkStart w:id="656" w:name="_Toc10535"/>
      <w:r>
        <w:rPr>
          <w:rFonts w:hint="default"/>
          <w:color w:val="auto"/>
          <w:highlight w:val="none"/>
          <w:lang w:val="en-US" w:eastAsia="zh-CN"/>
        </w:rPr>
        <w:t>经济效益分析</w:t>
      </w:r>
      <w:bookmarkEnd w:id="653"/>
      <w:bookmarkEnd w:id="654"/>
      <w:bookmarkEnd w:id="655"/>
      <w:bookmarkEnd w:id="656"/>
    </w:p>
    <w:p>
      <w:pPr>
        <w:rPr>
          <w:rFonts w:hint="eastAsia"/>
          <w:color w:val="auto"/>
          <w:highlight w:val="none"/>
          <w:lang w:val="en-US" w:eastAsia="zh-CN"/>
        </w:rPr>
      </w:pPr>
      <w:r>
        <w:rPr>
          <w:rFonts w:hint="default"/>
          <w:color w:val="auto"/>
          <w:highlight w:val="none"/>
          <w:lang w:val="en-US" w:eastAsia="zh-CN"/>
        </w:rPr>
        <w:t>本项目的总投资</w:t>
      </w:r>
      <w:r>
        <w:rPr>
          <w:rFonts w:hint="eastAsia"/>
          <w:color w:val="auto"/>
          <w:highlight w:val="none"/>
          <w:lang w:val="en-US" w:eastAsia="zh-CN"/>
        </w:rPr>
        <w:t>150</w:t>
      </w:r>
      <w:r>
        <w:rPr>
          <w:rFonts w:hint="default"/>
          <w:color w:val="auto"/>
          <w:highlight w:val="none"/>
          <w:lang w:val="en-US" w:eastAsia="zh-CN"/>
        </w:rPr>
        <w:t>00万元，项目年产5万吨PET再生纤维。</w:t>
      </w:r>
      <w:r>
        <w:rPr>
          <w:rFonts w:hint="eastAsia"/>
          <w:color w:val="auto"/>
          <w:highlight w:val="none"/>
          <w:lang w:val="en-US" w:eastAsia="zh-CN"/>
        </w:rPr>
        <w:t>年均销售收入约为50000万元（含税），年均销售税金4000万元，年均利润总额8875万元，年均税后利润5110万元。投资回收期约41个月。</w:t>
      </w:r>
    </w:p>
    <w:p>
      <w:pPr>
        <w:rPr>
          <w:rFonts w:hint="default"/>
          <w:color w:val="auto"/>
          <w:highlight w:val="none"/>
          <w:lang w:val="en-US" w:eastAsia="zh-CN"/>
        </w:rPr>
      </w:pPr>
      <w:r>
        <w:rPr>
          <w:rFonts w:hint="eastAsia"/>
          <w:color w:val="auto"/>
          <w:highlight w:val="none"/>
          <w:lang w:val="en-US" w:eastAsia="zh-CN"/>
        </w:rPr>
        <w:t>根据财务分析，项目所得税后内部收益率约10%</w:t>
      </w:r>
      <w:r>
        <w:rPr>
          <w:rFonts w:hint="eastAsia" w:cs="Times New Roman"/>
          <w:color w:val="auto"/>
          <w:highlight w:val="none"/>
        </w:rPr>
        <w:t>，大于行业基准收益率，表明该项目经济效益较好，能够满足投资者的要求；</w:t>
      </w:r>
      <w:r>
        <w:rPr>
          <w:rFonts w:hint="eastAsia" w:cs="Times New Roman"/>
          <w:color w:val="auto"/>
          <w:highlight w:val="none"/>
          <w:lang w:val="en-US" w:eastAsia="zh-CN"/>
        </w:rPr>
        <w:t>同时，</w:t>
      </w:r>
      <w:r>
        <w:rPr>
          <w:rFonts w:hint="default"/>
          <w:color w:val="auto"/>
          <w:highlight w:val="none"/>
          <w:lang w:val="en-US" w:eastAsia="zh-CN"/>
        </w:rPr>
        <w:t>为国家上缴一定的税收，偿债能力较强，投资回收期合理，有一定的抗风险能力，项目经济效益良好。</w:t>
      </w:r>
    </w:p>
    <w:p>
      <w:pPr>
        <w:pStyle w:val="3"/>
        <w:numPr>
          <w:ilvl w:val="1"/>
          <w:numId w:val="7"/>
        </w:numPr>
        <w:bidi w:val="0"/>
        <w:rPr>
          <w:rFonts w:hint="default"/>
          <w:color w:val="auto"/>
          <w:highlight w:val="none"/>
          <w:lang w:val="en-US" w:eastAsia="zh-CN"/>
        </w:rPr>
      </w:pPr>
      <w:bookmarkStart w:id="657" w:name="_Toc10942"/>
      <w:bookmarkStart w:id="658" w:name="_Toc23468"/>
      <w:bookmarkStart w:id="659" w:name="_Toc25843"/>
      <w:bookmarkStart w:id="660" w:name="_Toc3658"/>
      <w:r>
        <w:rPr>
          <w:rFonts w:hint="default"/>
          <w:color w:val="auto"/>
          <w:highlight w:val="none"/>
          <w:lang w:val="en-US" w:eastAsia="zh-CN"/>
        </w:rPr>
        <w:t>环境损益评价</w:t>
      </w:r>
      <w:bookmarkEnd w:id="657"/>
      <w:bookmarkEnd w:id="658"/>
      <w:bookmarkEnd w:id="659"/>
      <w:bookmarkEnd w:id="660"/>
    </w:p>
    <w:p>
      <w:pPr>
        <w:rPr>
          <w:rFonts w:hint="default"/>
          <w:color w:val="auto"/>
          <w:highlight w:val="none"/>
          <w:lang w:val="en-US" w:eastAsia="zh-CN"/>
        </w:rPr>
      </w:pPr>
      <w:r>
        <w:rPr>
          <w:rFonts w:hint="default"/>
          <w:color w:val="auto"/>
          <w:highlight w:val="none"/>
          <w:lang w:val="en-US" w:eastAsia="zh-CN"/>
        </w:rPr>
        <w:t>拟建项目环保投资主要环境效果体现在以下几个方面：</w:t>
      </w:r>
    </w:p>
    <w:p>
      <w:pPr>
        <w:rPr>
          <w:rFonts w:hint="default"/>
          <w:color w:val="auto"/>
          <w:highlight w:val="none"/>
          <w:lang w:val="en-US" w:eastAsia="zh-CN"/>
        </w:rPr>
      </w:pPr>
      <w:r>
        <w:rPr>
          <w:rFonts w:hint="default"/>
          <w:color w:val="auto"/>
          <w:highlight w:val="none"/>
          <w:lang w:val="en-US" w:eastAsia="zh-CN"/>
        </w:rPr>
        <w:t>(1)工艺中采取各种废气处理措施，既降低了废气排放量，也能够减少资源的浪费，具有一定的环境效益和经济效益。</w:t>
      </w:r>
    </w:p>
    <w:p>
      <w:pPr>
        <w:rPr>
          <w:rFonts w:hint="default"/>
          <w:color w:val="auto"/>
          <w:highlight w:val="none"/>
          <w:lang w:val="en-US" w:eastAsia="zh-CN"/>
        </w:rPr>
      </w:pPr>
      <w:r>
        <w:rPr>
          <w:rFonts w:hint="default"/>
          <w:color w:val="auto"/>
          <w:highlight w:val="none"/>
          <w:lang w:val="en-US" w:eastAsia="zh-CN"/>
        </w:rPr>
        <w:t>(2)噪声设备安装采取基础减震措施后，降低了噪声设备的噪声级，减轻了生产噪声对周围环境的影响。</w:t>
      </w:r>
    </w:p>
    <w:p>
      <w:pPr>
        <w:rPr>
          <w:rFonts w:hint="default"/>
          <w:color w:val="auto"/>
          <w:highlight w:val="none"/>
          <w:lang w:val="en-US" w:eastAsia="zh-CN"/>
        </w:rPr>
      </w:pPr>
      <w:r>
        <w:rPr>
          <w:rFonts w:hint="default"/>
          <w:color w:val="auto"/>
          <w:highlight w:val="none"/>
          <w:lang w:val="en-US" w:eastAsia="zh-CN"/>
        </w:rPr>
        <w:t>(3)其他方面如生产装置等地面防渗处理、厂区绿化、固废的处置等均体现了保护环境的宗旨。</w:t>
      </w:r>
    </w:p>
    <w:p>
      <w:pPr>
        <w:rPr>
          <w:rFonts w:hint="default"/>
          <w:color w:val="auto"/>
          <w:highlight w:val="none"/>
          <w:lang w:val="en-US" w:eastAsia="zh-CN"/>
        </w:rPr>
      </w:pPr>
      <w:r>
        <w:rPr>
          <w:rFonts w:hint="default"/>
          <w:color w:val="auto"/>
          <w:highlight w:val="none"/>
          <w:lang w:val="en-US" w:eastAsia="zh-CN"/>
        </w:rPr>
        <w:t>本项目在</w:t>
      </w:r>
      <w:r>
        <w:rPr>
          <w:rFonts w:hint="eastAsia"/>
          <w:color w:val="auto"/>
          <w:highlight w:val="none"/>
          <w:lang w:val="en-US" w:eastAsia="zh-CN"/>
        </w:rPr>
        <w:t>运营</w:t>
      </w:r>
      <w:r>
        <w:rPr>
          <w:rFonts w:hint="default"/>
          <w:color w:val="auto"/>
          <w:highlight w:val="none"/>
          <w:lang w:val="en-US" w:eastAsia="zh-CN"/>
        </w:rPr>
        <w:t>期会对水环境、大气环境和声环境等造成一定的影响，但这些影响都是可控的，建设单位通过采取合理的环保设施对</w:t>
      </w:r>
      <w:r>
        <w:rPr>
          <w:rFonts w:hint="eastAsia"/>
          <w:color w:val="auto"/>
          <w:highlight w:val="none"/>
          <w:lang w:val="en-US" w:eastAsia="zh-CN"/>
        </w:rPr>
        <w:t>运营</w:t>
      </w:r>
      <w:r>
        <w:rPr>
          <w:rFonts w:hint="default"/>
          <w:color w:val="auto"/>
          <w:highlight w:val="none"/>
          <w:lang w:val="en-US" w:eastAsia="zh-CN"/>
        </w:rPr>
        <w:t>过程中产生的污染物进行治理，从而减缓和预防生产过程中污染物排放对环境的影响。</w:t>
      </w:r>
    </w:p>
    <w:p>
      <w:pPr>
        <w:pStyle w:val="3"/>
        <w:numPr>
          <w:ilvl w:val="1"/>
          <w:numId w:val="7"/>
        </w:numPr>
        <w:bidi w:val="0"/>
        <w:rPr>
          <w:rFonts w:hint="default"/>
          <w:color w:val="auto"/>
          <w:highlight w:val="none"/>
          <w:lang w:val="en-US" w:eastAsia="zh-CN"/>
        </w:rPr>
      </w:pPr>
      <w:bookmarkStart w:id="661" w:name="_Toc24798"/>
      <w:bookmarkStart w:id="662" w:name="_Toc13923"/>
      <w:bookmarkStart w:id="663" w:name="_Toc28337"/>
      <w:bookmarkStart w:id="664" w:name="_Toc30315"/>
      <w:r>
        <w:rPr>
          <w:rFonts w:hint="default"/>
          <w:color w:val="auto"/>
          <w:highlight w:val="none"/>
          <w:lang w:val="en-US" w:eastAsia="zh-CN"/>
        </w:rPr>
        <w:t>小结</w:t>
      </w:r>
      <w:bookmarkEnd w:id="661"/>
      <w:bookmarkEnd w:id="662"/>
      <w:bookmarkEnd w:id="663"/>
      <w:bookmarkEnd w:id="664"/>
    </w:p>
    <w:p>
      <w:pPr>
        <w:rPr>
          <w:rFonts w:hint="default"/>
          <w:color w:val="auto"/>
          <w:highlight w:val="none"/>
          <w:lang w:val="en-US" w:eastAsia="zh-CN"/>
        </w:rPr>
      </w:pPr>
      <w:r>
        <w:rPr>
          <w:rFonts w:hint="default"/>
          <w:color w:val="auto"/>
          <w:highlight w:val="none"/>
          <w:lang w:val="en-US" w:eastAsia="zh-CN"/>
        </w:rPr>
        <w:t>综上所述，本项目采取合理的环保治理措施后，对周围环境产生的影响较小，项目建成</w:t>
      </w:r>
      <w:r>
        <w:rPr>
          <w:rFonts w:hint="eastAsia"/>
          <w:color w:val="auto"/>
          <w:highlight w:val="none"/>
          <w:lang w:val="en-US" w:eastAsia="zh-CN"/>
        </w:rPr>
        <w:t>运营</w:t>
      </w:r>
      <w:r>
        <w:rPr>
          <w:rFonts w:hint="default"/>
          <w:color w:val="auto"/>
          <w:highlight w:val="none"/>
          <w:lang w:val="en-US" w:eastAsia="zh-CN"/>
        </w:rPr>
        <w:t>后为当地居民提供了就业的选择，带动当地的经济发展，具有良好的社会效益和经济效益。因此，本项目是可行的。</w:t>
      </w:r>
    </w:p>
    <w:p>
      <w:pPr>
        <w:rPr>
          <w:rFonts w:hint="default"/>
          <w:color w:val="auto"/>
          <w:highlight w:val="none"/>
          <w:lang w:val="en-US" w:eastAsia="zh-CN"/>
        </w:rPr>
      </w:pPr>
    </w:p>
    <w:p>
      <w:pPr>
        <w:rPr>
          <w:rFonts w:hint="default"/>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7"/>
        </w:numPr>
        <w:bidi w:val="0"/>
        <w:rPr>
          <w:rFonts w:hint="default"/>
          <w:color w:val="auto"/>
          <w:highlight w:val="none"/>
          <w:lang w:val="en-US" w:eastAsia="zh-CN"/>
        </w:rPr>
      </w:pPr>
      <w:bookmarkStart w:id="665" w:name="_Toc13042"/>
      <w:bookmarkStart w:id="666" w:name="_Toc5930"/>
      <w:bookmarkStart w:id="667" w:name="_Toc12969"/>
      <w:bookmarkStart w:id="668" w:name="_Toc1349"/>
      <w:r>
        <w:rPr>
          <w:rFonts w:hint="default"/>
          <w:color w:val="auto"/>
          <w:highlight w:val="none"/>
          <w:lang w:val="en-US" w:eastAsia="zh-CN"/>
        </w:rPr>
        <w:t>环境管理与监测计划</w:t>
      </w:r>
      <w:bookmarkEnd w:id="665"/>
      <w:bookmarkEnd w:id="666"/>
      <w:bookmarkEnd w:id="667"/>
      <w:bookmarkEnd w:id="668"/>
    </w:p>
    <w:p>
      <w:pPr>
        <w:bidi w:val="0"/>
        <w:rPr>
          <w:rFonts w:hint="default"/>
          <w:color w:val="auto"/>
          <w:highlight w:val="none"/>
          <w:lang w:val="en-US" w:eastAsia="zh-CN"/>
        </w:rPr>
      </w:pPr>
      <w:r>
        <w:rPr>
          <w:rFonts w:hint="default"/>
          <w:color w:val="auto"/>
          <w:highlight w:val="none"/>
          <w:lang w:val="en-US" w:eastAsia="zh-CN"/>
        </w:rPr>
        <w:t>环境管理是项目建设管理工作的重要组成部分，其主要目的是通过开展环境管理工作，促进项目建设单位和管理单位积极、主动地预防和控制各类环境问题的产生与扩散，促进项目建设生态环境的良好循环。制定出详尽的环境管理监控计划并加以贯彻实施，可以避免因管理不善而可能产生的各种环境污染和环境风险。为此，在项目施工建设及投入运营期间，应贯彻落实国家、地方政府制定的有关法规，正确处理好项目建设、发展与环境保护的协调关系，从而真正使项目的建设达到可持续发展的战略目标。</w:t>
      </w:r>
    </w:p>
    <w:p>
      <w:pPr>
        <w:bidi w:val="0"/>
        <w:rPr>
          <w:rFonts w:hint="default"/>
          <w:color w:val="auto"/>
          <w:highlight w:val="none"/>
          <w:lang w:val="en-US" w:eastAsia="zh-CN"/>
        </w:rPr>
      </w:pPr>
      <w:r>
        <w:rPr>
          <w:rFonts w:hint="default"/>
          <w:color w:val="auto"/>
          <w:highlight w:val="none"/>
          <w:lang w:val="en-US" w:eastAsia="zh-CN"/>
        </w:rPr>
        <w:t xml:space="preserve">本评价根据对施工期和运营期可能产生的各种类型污染物的性质，以及对建设用地周围区域的环境产生影响的分析，有针对性地提出相应的环境保护的目标和环境管理监测计划，以加强对污染源的治理，减轻或消除其不利影响。 </w:t>
      </w:r>
    </w:p>
    <w:p>
      <w:pPr>
        <w:pStyle w:val="3"/>
        <w:numPr>
          <w:ilvl w:val="1"/>
          <w:numId w:val="7"/>
        </w:numPr>
        <w:bidi w:val="0"/>
        <w:rPr>
          <w:rFonts w:hint="default"/>
          <w:color w:val="auto"/>
          <w:highlight w:val="none"/>
          <w:lang w:val="en-US" w:eastAsia="zh-CN"/>
        </w:rPr>
      </w:pPr>
      <w:bookmarkStart w:id="669" w:name="_Toc7487"/>
      <w:bookmarkStart w:id="670" w:name="_Toc9361"/>
      <w:bookmarkStart w:id="671" w:name="_Toc13813"/>
      <w:bookmarkStart w:id="672" w:name="_Toc7322"/>
      <w:r>
        <w:rPr>
          <w:rFonts w:hint="default"/>
          <w:color w:val="auto"/>
          <w:highlight w:val="none"/>
          <w:lang w:val="en-US" w:eastAsia="zh-CN"/>
        </w:rPr>
        <w:t>环境管理</w:t>
      </w:r>
      <w:bookmarkEnd w:id="669"/>
      <w:bookmarkEnd w:id="670"/>
      <w:bookmarkEnd w:id="671"/>
      <w:bookmarkEnd w:id="672"/>
    </w:p>
    <w:p>
      <w:pPr>
        <w:pStyle w:val="4"/>
        <w:numPr>
          <w:ilvl w:val="2"/>
          <w:numId w:val="7"/>
        </w:numPr>
        <w:tabs>
          <w:tab w:val="left" w:pos="420"/>
        </w:tabs>
        <w:bidi w:val="0"/>
        <w:rPr>
          <w:rFonts w:hint="eastAsia"/>
          <w:color w:val="auto"/>
          <w:highlight w:val="none"/>
          <w:lang w:val="en-US" w:eastAsia="zh-CN"/>
        </w:rPr>
      </w:pPr>
      <w:r>
        <w:rPr>
          <w:rFonts w:hint="eastAsia"/>
          <w:color w:val="auto"/>
          <w:highlight w:val="none"/>
          <w:lang w:val="en-US" w:eastAsia="zh-CN"/>
        </w:rPr>
        <w:t>现有工程环境管理</w:t>
      </w:r>
    </w:p>
    <w:p>
      <w:pPr>
        <w:pStyle w:val="5"/>
        <w:numPr>
          <w:ilvl w:val="3"/>
          <w:numId w:val="7"/>
        </w:numPr>
        <w:tabs>
          <w:tab w:val="left" w:pos="420"/>
        </w:tabs>
        <w:bidi w:val="0"/>
        <w:rPr>
          <w:rFonts w:hint="default"/>
          <w:color w:val="auto"/>
          <w:highlight w:val="none"/>
          <w:lang w:val="en-US" w:eastAsia="zh-CN"/>
        </w:rPr>
      </w:pPr>
      <w:r>
        <w:rPr>
          <w:rFonts w:hint="eastAsia"/>
          <w:color w:val="auto"/>
          <w:highlight w:val="none"/>
          <w:lang w:val="en-US" w:eastAsia="zh-CN"/>
        </w:rPr>
        <w:t>企业环境管理现状调查</w:t>
      </w:r>
    </w:p>
    <w:p>
      <w:pPr>
        <w:bidi w:val="0"/>
        <w:rPr>
          <w:rFonts w:hint="default"/>
          <w:color w:val="auto"/>
          <w:lang w:val="en-US" w:eastAsia="zh-CN"/>
        </w:rPr>
      </w:pPr>
      <w:r>
        <w:rPr>
          <w:rFonts w:hint="eastAsia"/>
          <w:color w:val="auto"/>
          <w:lang w:val="en-US" w:eastAsia="zh-CN"/>
        </w:rPr>
        <w:t>（1）</w:t>
      </w:r>
      <w:r>
        <w:rPr>
          <w:rFonts w:hint="default"/>
          <w:color w:val="auto"/>
          <w:lang w:val="en-US" w:eastAsia="zh-CN"/>
        </w:rPr>
        <w:t>环境管理组织机构</w:t>
      </w:r>
    </w:p>
    <w:p>
      <w:pPr>
        <w:bidi w:val="0"/>
        <w:rPr>
          <w:rFonts w:hint="default"/>
          <w:color w:val="auto"/>
          <w:highlight w:val="none"/>
          <w:lang w:val="en-US" w:eastAsia="zh-CN"/>
        </w:rPr>
      </w:pPr>
      <w:r>
        <w:rPr>
          <w:rFonts w:hint="default"/>
          <w:color w:val="auto"/>
          <w:highlight w:val="none"/>
          <w:lang w:val="en-US" w:eastAsia="zh-CN"/>
        </w:rPr>
        <w:t>公司目前已建立环境保护专职机构。</w:t>
      </w:r>
    </w:p>
    <w:p>
      <w:pPr>
        <w:bidi w:val="0"/>
        <w:rPr>
          <w:rFonts w:hint="default"/>
          <w:color w:val="auto"/>
          <w:highlight w:val="none"/>
          <w:lang w:val="en-US" w:eastAsia="zh-CN"/>
        </w:rPr>
      </w:pPr>
      <w:r>
        <w:rPr>
          <w:rFonts w:hint="default"/>
          <w:color w:val="auto"/>
          <w:highlight w:val="none"/>
          <w:lang w:val="en-US" w:eastAsia="zh-CN"/>
        </w:rPr>
        <w:t>环境保护专职机构成员由总经理、生产副总经理、分管副总经理、安全环保部负责人、部室负责人等组成。环境保护专职机构的主要任务有：</w:t>
      </w:r>
    </w:p>
    <w:p>
      <w:pPr>
        <w:bidi w:val="0"/>
        <w:rPr>
          <w:rFonts w:hint="default"/>
          <w:color w:val="auto"/>
          <w:highlight w:val="none"/>
          <w:lang w:val="en-US" w:eastAsia="zh-CN"/>
        </w:rPr>
      </w:pPr>
      <w:r>
        <w:rPr>
          <w:rFonts w:hint="eastAsia"/>
          <w:color w:val="auto"/>
          <w:highlight w:val="none"/>
          <w:lang w:val="en-US" w:eastAsia="zh-CN"/>
        </w:rPr>
        <w:t>①</w:t>
      </w:r>
      <w:r>
        <w:rPr>
          <w:rFonts w:hint="default"/>
          <w:color w:val="auto"/>
          <w:highlight w:val="none"/>
          <w:lang w:val="en-US" w:eastAsia="zh-CN"/>
        </w:rPr>
        <w:t>积极宣传、贯彻、执行党和国家环境保护的方针、政策、法令或规定。</w:t>
      </w:r>
    </w:p>
    <w:p>
      <w:pPr>
        <w:bidi w:val="0"/>
        <w:rPr>
          <w:rFonts w:hint="default"/>
          <w:color w:val="auto"/>
          <w:highlight w:val="none"/>
          <w:lang w:val="en-US" w:eastAsia="zh-CN"/>
        </w:rPr>
      </w:pPr>
      <w:r>
        <w:rPr>
          <w:rFonts w:hint="eastAsia"/>
          <w:color w:val="auto"/>
          <w:highlight w:val="none"/>
          <w:lang w:val="en-US" w:eastAsia="zh-CN"/>
        </w:rPr>
        <w:t>②</w:t>
      </w:r>
      <w:r>
        <w:rPr>
          <w:rFonts w:hint="default"/>
          <w:color w:val="auto"/>
          <w:highlight w:val="none"/>
          <w:lang w:val="en-US" w:eastAsia="zh-CN"/>
        </w:rPr>
        <w:t>审查公司环保年度计划和长远规划。</w:t>
      </w:r>
    </w:p>
    <w:p>
      <w:pPr>
        <w:bidi w:val="0"/>
        <w:rPr>
          <w:rFonts w:hint="default"/>
          <w:color w:val="auto"/>
          <w:highlight w:val="none"/>
          <w:lang w:val="en-US" w:eastAsia="zh-CN"/>
        </w:rPr>
      </w:pPr>
      <w:r>
        <w:rPr>
          <w:rFonts w:hint="eastAsia"/>
          <w:color w:val="auto"/>
          <w:highlight w:val="none"/>
          <w:lang w:val="en-US" w:eastAsia="zh-CN"/>
        </w:rPr>
        <w:t>③</w:t>
      </w:r>
      <w:r>
        <w:rPr>
          <w:rFonts w:hint="default"/>
          <w:color w:val="auto"/>
          <w:highlight w:val="none"/>
          <w:lang w:val="en-US" w:eastAsia="zh-CN"/>
        </w:rPr>
        <w:t>组织“三废”治理工作。</w:t>
      </w:r>
    </w:p>
    <w:p>
      <w:pPr>
        <w:bidi w:val="0"/>
        <w:rPr>
          <w:rFonts w:hint="default"/>
          <w:color w:val="auto"/>
          <w:highlight w:val="none"/>
          <w:lang w:val="en-US" w:eastAsia="zh-CN"/>
        </w:rPr>
      </w:pPr>
      <w:r>
        <w:rPr>
          <w:rFonts w:hint="eastAsia"/>
          <w:color w:val="auto"/>
          <w:highlight w:val="none"/>
          <w:lang w:val="en-US" w:eastAsia="zh-CN"/>
        </w:rPr>
        <w:t>④</w:t>
      </w:r>
      <w:r>
        <w:rPr>
          <w:rFonts w:hint="default"/>
          <w:color w:val="auto"/>
          <w:highlight w:val="none"/>
          <w:lang w:val="en-US" w:eastAsia="zh-CN"/>
        </w:rPr>
        <w:t>审查工程的环保工程项目和防治污染的具体措施。</w:t>
      </w:r>
    </w:p>
    <w:p>
      <w:pPr>
        <w:bidi w:val="0"/>
        <w:rPr>
          <w:rFonts w:hint="default"/>
          <w:color w:val="auto"/>
          <w:highlight w:val="none"/>
          <w:lang w:val="en-US" w:eastAsia="zh-CN"/>
        </w:rPr>
      </w:pPr>
      <w:r>
        <w:rPr>
          <w:rFonts w:hint="eastAsia"/>
          <w:color w:val="auto"/>
          <w:highlight w:val="none"/>
          <w:lang w:val="en-US" w:eastAsia="zh-CN"/>
        </w:rPr>
        <w:t>⑤</w:t>
      </w:r>
      <w:r>
        <w:rPr>
          <w:rFonts w:hint="default"/>
          <w:color w:val="auto"/>
          <w:highlight w:val="none"/>
          <w:lang w:val="en-US" w:eastAsia="zh-CN"/>
        </w:rPr>
        <w:t>协调公司各单位、部室的环境保护工作，帮助解决问题。</w:t>
      </w:r>
    </w:p>
    <w:p>
      <w:pPr>
        <w:bidi w:val="0"/>
        <w:rPr>
          <w:rFonts w:hint="default"/>
          <w:color w:val="auto"/>
          <w:highlight w:val="none"/>
          <w:lang w:val="en-US" w:eastAsia="zh-CN"/>
        </w:rPr>
      </w:pPr>
      <w:r>
        <w:rPr>
          <w:rFonts w:hint="eastAsia"/>
          <w:color w:val="auto"/>
          <w:highlight w:val="none"/>
          <w:lang w:val="en-US" w:eastAsia="zh-CN"/>
        </w:rPr>
        <w:t>⑥</w:t>
      </w:r>
      <w:r>
        <w:rPr>
          <w:rFonts w:hint="default"/>
          <w:color w:val="auto"/>
          <w:highlight w:val="none"/>
          <w:lang w:val="en-US" w:eastAsia="zh-CN"/>
        </w:rPr>
        <w:t>检查监督排放的污染物质符合国家规定的标准。</w:t>
      </w:r>
    </w:p>
    <w:p>
      <w:pPr>
        <w:bidi w:val="0"/>
        <w:rPr>
          <w:rFonts w:hint="default"/>
          <w:color w:val="auto"/>
          <w:highlight w:val="none"/>
          <w:lang w:val="en-US" w:eastAsia="zh-CN"/>
        </w:rPr>
      </w:pPr>
      <w:r>
        <w:rPr>
          <w:rFonts w:hint="default"/>
          <w:color w:val="auto"/>
          <w:highlight w:val="none"/>
          <w:lang w:val="en-US" w:eastAsia="zh-CN"/>
        </w:rPr>
        <w:t>安全环保部为环保委员会的专职办事机构，其主要职责：</w:t>
      </w:r>
    </w:p>
    <w:p>
      <w:pPr>
        <w:bidi w:val="0"/>
        <w:rPr>
          <w:rFonts w:hint="default"/>
          <w:color w:val="auto"/>
          <w:highlight w:val="none"/>
          <w:lang w:val="en-US" w:eastAsia="zh-CN"/>
        </w:rPr>
      </w:pPr>
      <w:r>
        <w:rPr>
          <w:rFonts w:hint="eastAsia"/>
          <w:color w:val="auto"/>
          <w:highlight w:val="none"/>
          <w:lang w:val="en-US" w:eastAsia="zh-CN"/>
        </w:rPr>
        <w:t>①</w:t>
      </w:r>
      <w:r>
        <w:rPr>
          <w:rFonts w:hint="default"/>
          <w:color w:val="auto"/>
          <w:highlight w:val="none"/>
          <w:lang w:val="en-US" w:eastAsia="zh-CN"/>
        </w:rPr>
        <w:t>贯彻落实国家的环保法令及上级行政主管部门有关环保工作的指示，根据环保法律、法规制订公司环保章程。</w:t>
      </w:r>
    </w:p>
    <w:p>
      <w:pPr>
        <w:bidi w:val="0"/>
        <w:rPr>
          <w:rFonts w:hint="default"/>
          <w:color w:val="auto"/>
          <w:highlight w:val="none"/>
          <w:lang w:val="en-US" w:eastAsia="zh-CN"/>
        </w:rPr>
      </w:pPr>
      <w:r>
        <w:rPr>
          <w:rFonts w:hint="eastAsia"/>
          <w:color w:val="auto"/>
          <w:highlight w:val="none"/>
          <w:lang w:val="en-US" w:eastAsia="zh-CN"/>
        </w:rPr>
        <w:t>②</w:t>
      </w:r>
      <w:r>
        <w:rPr>
          <w:rFonts w:hint="default"/>
          <w:color w:val="auto"/>
          <w:highlight w:val="none"/>
          <w:lang w:val="en-US" w:eastAsia="zh-CN"/>
        </w:rPr>
        <w:t>负责编制环保工作长远规划和年度、季度计划，经环保委员会审查批准后组织实施。</w:t>
      </w:r>
    </w:p>
    <w:p>
      <w:pPr>
        <w:bidi w:val="0"/>
        <w:rPr>
          <w:rFonts w:hint="default"/>
          <w:color w:val="auto"/>
          <w:highlight w:val="none"/>
          <w:lang w:val="en-US" w:eastAsia="zh-CN"/>
        </w:rPr>
      </w:pPr>
      <w:r>
        <w:rPr>
          <w:rFonts w:hint="eastAsia"/>
          <w:color w:val="auto"/>
          <w:highlight w:val="none"/>
          <w:lang w:val="en-US" w:eastAsia="zh-CN"/>
        </w:rPr>
        <w:t>③</w:t>
      </w:r>
      <w:r>
        <w:rPr>
          <w:rFonts w:hint="default"/>
          <w:color w:val="auto"/>
          <w:highlight w:val="none"/>
          <w:lang w:val="en-US" w:eastAsia="zh-CN"/>
        </w:rPr>
        <w:t>组织专业人员审查环保技术改造方案和污染治理方案。</w:t>
      </w:r>
    </w:p>
    <w:p>
      <w:pPr>
        <w:bidi w:val="0"/>
        <w:rPr>
          <w:rFonts w:hint="default"/>
          <w:color w:val="auto"/>
          <w:highlight w:val="none"/>
          <w:lang w:val="en-US" w:eastAsia="zh-CN"/>
        </w:rPr>
      </w:pPr>
      <w:r>
        <w:rPr>
          <w:rFonts w:hint="eastAsia"/>
          <w:color w:val="auto"/>
          <w:highlight w:val="none"/>
          <w:lang w:val="en-US" w:eastAsia="zh-CN"/>
        </w:rPr>
        <w:t>④</w:t>
      </w:r>
      <w:r>
        <w:rPr>
          <w:rFonts w:hint="default"/>
          <w:color w:val="auto"/>
          <w:highlight w:val="none"/>
          <w:lang w:val="en-US" w:eastAsia="zh-CN"/>
        </w:rPr>
        <w:t>参与各项工程设计审查及竣工验收工作，监督“三同时”原则的贯彻、执行。</w:t>
      </w:r>
    </w:p>
    <w:p>
      <w:pPr>
        <w:bidi w:val="0"/>
        <w:rPr>
          <w:rFonts w:hint="default"/>
          <w:color w:val="auto"/>
          <w:highlight w:val="none"/>
          <w:lang w:val="en-US" w:eastAsia="zh-CN"/>
        </w:rPr>
      </w:pPr>
      <w:r>
        <w:rPr>
          <w:rFonts w:hint="eastAsia"/>
          <w:color w:val="auto"/>
          <w:highlight w:val="none"/>
          <w:lang w:val="en-US" w:eastAsia="zh-CN"/>
        </w:rPr>
        <w:t>⑤</w:t>
      </w:r>
      <w:r>
        <w:rPr>
          <w:rFonts w:hint="default"/>
          <w:color w:val="auto"/>
          <w:highlight w:val="none"/>
          <w:lang w:val="en-US" w:eastAsia="zh-CN"/>
        </w:rPr>
        <w:t>负责安排厂内排放污染物质的定期监测工作，对不符合国家标准的废水、废气、废渣等提出治理措施，推广环保治理新技术。</w:t>
      </w:r>
    </w:p>
    <w:p>
      <w:pPr>
        <w:bidi w:val="0"/>
        <w:rPr>
          <w:rFonts w:hint="default"/>
          <w:color w:val="auto"/>
          <w:highlight w:val="none"/>
          <w:lang w:val="en-US" w:eastAsia="zh-CN"/>
        </w:rPr>
      </w:pPr>
      <w:r>
        <w:rPr>
          <w:rFonts w:hint="eastAsia"/>
          <w:color w:val="auto"/>
          <w:highlight w:val="none"/>
          <w:lang w:val="en-US" w:eastAsia="zh-CN"/>
        </w:rPr>
        <w:t>⑥</w:t>
      </w:r>
      <w:r>
        <w:rPr>
          <w:rFonts w:hint="default"/>
          <w:color w:val="auto"/>
          <w:highlight w:val="none"/>
          <w:lang w:val="en-US" w:eastAsia="zh-CN"/>
        </w:rPr>
        <w:t>负责污染事故的调查和处理。</w:t>
      </w:r>
    </w:p>
    <w:p>
      <w:pPr>
        <w:bidi w:val="0"/>
        <w:rPr>
          <w:rFonts w:hint="default"/>
          <w:color w:val="auto"/>
          <w:highlight w:val="none"/>
          <w:lang w:val="en-US" w:eastAsia="zh-CN"/>
        </w:rPr>
      </w:pPr>
      <w:r>
        <w:rPr>
          <w:rFonts w:hint="eastAsia"/>
          <w:color w:val="auto"/>
          <w:highlight w:val="none"/>
          <w:lang w:val="en-US" w:eastAsia="zh-CN"/>
        </w:rPr>
        <w:t>⑦</w:t>
      </w:r>
      <w:r>
        <w:rPr>
          <w:rFonts w:hint="default"/>
          <w:color w:val="auto"/>
          <w:highlight w:val="none"/>
          <w:lang w:val="en-US" w:eastAsia="zh-CN"/>
        </w:rPr>
        <w:t>建立健全环保档案，为治理提供依据。</w:t>
      </w:r>
    </w:p>
    <w:p>
      <w:pPr>
        <w:bidi w:val="0"/>
        <w:rPr>
          <w:rFonts w:hint="default"/>
          <w:color w:val="auto"/>
          <w:lang w:val="en-US" w:eastAsia="zh-CN"/>
        </w:rPr>
      </w:pPr>
      <w:r>
        <w:rPr>
          <w:rFonts w:hint="eastAsia"/>
          <w:color w:val="auto"/>
          <w:highlight w:val="none"/>
          <w:lang w:val="en-US" w:eastAsia="zh-CN"/>
        </w:rPr>
        <w:t>（2）</w:t>
      </w:r>
      <w:r>
        <w:rPr>
          <w:rFonts w:hint="default"/>
          <w:color w:val="auto"/>
          <w:lang w:val="en-US" w:eastAsia="zh-CN"/>
        </w:rPr>
        <w:t>环境管理制度</w:t>
      </w:r>
    </w:p>
    <w:p>
      <w:pPr>
        <w:bidi w:val="0"/>
        <w:rPr>
          <w:rFonts w:hint="default"/>
          <w:color w:val="auto"/>
          <w:highlight w:val="none"/>
          <w:lang w:val="en-US" w:eastAsia="zh-CN"/>
        </w:rPr>
      </w:pPr>
      <w:r>
        <w:rPr>
          <w:rFonts w:hint="default"/>
          <w:color w:val="auto"/>
          <w:highlight w:val="none"/>
          <w:lang w:val="en-US" w:eastAsia="zh-CN"/>
        </w:rPr>
        <w:t>建设单位已制定《环境保护责任制》、《环境保护设施运行管理制度》、《环保事故管理制度》、《环保培训教育制度》、《环保奖惩管理制度》、《环境治理管理制度》、《跑冒滴漏管理制度》、《污染物排放及环保统计工作管理制度》、《危险废物管理制度》、《环保废水管理制度》等规章制度，对生产车间环保管理、环保设施运行、危废处置和环保监测都有具体的管理规定。建设单位相关机构按照上述管理规章制度进行项目日常管理。</w:t>
      </w:r>
    </w:p>
    <w:p>
      <w:pPr>
        <w:pStyle w:val="5"/>
        <w:numPr>
          <w:ilvl w:val="3"/>
          <w:numId w:val="3"/>
        </w:numPr>
        <w:tabs>
          <w:tab w:val="left" w:pos="420"/>
        </w:tabs>
        <w:bidi w:val="0"/>
        <w:rPr>
          <w:rFonts w:hint="default"/>
          <w:color w:val="auto"/>
          <w:lang w:val="en-US" w:eastAsia="zh-CN"/>
        </w:rPr>
      </w:pPr>
      <w:r>
        <w:rPr>
          <w:rFonts w:hint="eastAsia"/>
          <w:color w:val="auto"/>
          <w:lang w:val="en-US" w:eastAsia="zh-CN"/>
        </w:rPr>
        <w:t>企业环境管理现状存在问题及整改要求</w:t>
      </w:r>
    </w:p>
    <w:p>
      <w:pPr>
        <w:rPr>
          <w:rFonts w:hint="eastAsia"/>
          <w:color w:val="auto"/>
          <w:lang w:val="en-US" w:eastAsia="zh-CN"/>
        </w:rPr>
      </w:pPr>
      <w:r>
        <w:rPr>
          <w:rFonts w:hint="eastAsia"/>
          <w:color w:val="auto"/>
          <w:lang w:val="en-US" w:eastAsia="zh-CN"/>
        </w:rPr>
        <w:t>根据现场调查，企业环境管理现状存在问题及整改要求如下：</w:t>
      </w:r>
    </w:p>
    <w:p>
      <w:pPr>
        <w:rPr>
          <w:rFonts w:hint="eastAsia"/>
          <w:color w:val="auto"/>
          <w:highlight w:val="none"/>
          <w:lang w:val="en-US" w:eastAsia="zh-CN"/>
        </w:rPr>
      </w:pPr>
      <w:r>
        <w:rPr>
          <w:rFonts w:hint="eastAsia"/>
          <w:color w:val="auto"/>
          <w:lang w:val="en-US" w:eastAsia="zh-CN"/>
        </w:rPr>
        <w:t>企业现有项目存在固体废物堆放错误、原料未按要求室内堆放、自行监测未按要求进行、废气收集设施故障等问题。公司内的</w:t>
      </w:r>
      <w:r>
        <w:rPr>
          <w:rFonts w:hint="default"/>
          <w:color w:val="auto"/>
          <w:highlight w:val="none"/>
          <w:lang w:val="en-US" w:eastAsia="zh-CN"/>
        </w:rPr>
        <w:t>环境保护专职机构成员</w:t>
      </w:r>
      <w:r>
        <w:rPr>
          <w:rFonts w:hint="eastAsia"/>
          <w:color w:val="auto"/>
          <w:highlight w:val="none"/>
          <w:lang w:val="en-US" w:eastAsia="zh-CN"/>
        </w:rPr>
        <w:t>未能及时发现这些问题，并切实解决问题。企业应进一步加强管理，做到如下要求：</w:t>
      </w:r>
    </w:p>
    <w:p>
      <w:pPr>
        <w:rPr>
          <w:rFonts w:hint="eastAsia"/>
          <w:color w:val="auto"/>
          <w:highlight w:val="none"/>
          <w:lang w:val="en-US" w:eastAsia="zh-CN"/>
        </w:rPr>
      </w:pPr>
      <w:r>
        <w:rPr>
          <w:rFonts w:hint="eastAsia"/>
          <w:color w:val="auto"/>
          <w:highlight w:val="none"/>
          <w:lang w:val="en-US" w:eastAsia="zh-CN"/>
        </w:rPr>
        <w:t>（1）</w:t>
      </w:r>
      <w:r>
        <w:rPr>
          <w:rFonts w:hint="default"/>
          <w:color w:val="auto"/>
          <w:highlight w:val="none"/>
          <w:lang w:val="en-US" w:eastAsia="zh-CN"/>
        </w:rPr>
        <w:t>要加强设备、管道、阀门、仪器、仪表的维护、检修，保证设备完好运行，防止滴、漏、跑、冒对环境的污染。</w:t>
      </w:r>
    </w:p>
    <w:p>
      <w:pPr>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加强对环保设施的运行管理，制定定期维修制度，如环保设施出现故障，应立即停厂检修，严禁非正常排放。</w:t>
      </w:r>
    </w:p>
    <w:p>
      <w:pPr>
        <w:rPr>
          <w:rFonts w:hint="default"/>
          <w:color w:val="auto"/>
          <w:highlight w:val="none"/>
          <w:lang w:val="en-US" w:eastAsia="zh-CN"/>
        </w:rPr>
      </w:pPr>
      <w:r>
        <w:rPr>
          <w:rFonts w:hint="eastAsia"/>
          <w:color w:val="auto"/>
          <w:highlight w:val="none"/>
          <w:lang w:val="en-US" w:eastAsia="zh-CN"/>
        </w:rPr>
        <w:t>（3）</w:t>
      </w:r>
      <w:r>
        <w:rPr>
          <w:rFonts w:hint="default"/>
          <w:color w:val="auto"/>
          <w:highlight w:val="none"/>
          <w:lang w:val="en-US" w:eastAsia="zh-CN"/>
        </w:rPr>
        <w:t>加强环境监测工作，重点是各污染源的监测，并注意做好记录，不得弄虚作假。监测中如发现异常情况应及时向有关部门通报，及时采取应急措施，防止事故排放。</w:t>
      </w:r>
    </w:p>
    <w:p>
      <w:pPr>
        <w:pStyle w:val="5"/>
        <w:bidi w:val="0"/>
        <w:rPr>
          <w:rFonts w:hint="default"/>
          <w:color w:val="auto"/>
          <w:lang w:val="en-US" w:eastAsia="zh-CN"/>
        </w:rPr>
      </w:pPr>
      <w:r>
        <w:rPr>
          <w:rFonts w:hint="eastAsia"/>
          <w:color w:val="auto"/>
          <w:lang w:val="en-US" w:eastAsia="zh-CN"/>
        </w:rPr>
        <w:t>企业现有排污口总量控制管理要求</w:t>
      </w:r>
    </w:p>
    <w:p>
      <w:pPr>
        <w:rPr>
          <w:rFonts w:hint="default"/>
          <w:color w:val="auto"/>
          <w:lang w:val="en-US" w:eastAsia="zh-CN"/>
        </w:rPr>
      </w:pPr>
      <w:r>
        <w:rPr>
          <w:rFonts w:hint="eastAsia"/>
          <w:color w:val="auto"/>
          <w:lang w:val="en-US" w:eastAsia="zh-CN"/>
        </w:rPr>
        <w:t>企业现有厂区生产废水经厂内污水处理站处理达</w:t>
      </w:r>
      <w:r>
        <w:rPr>
          <w:rFonts w:hint="eastAsia" w:cs="Times New Roman"/>
          <w:color w:val="auto"/>
          <w:highlight w:val="none"/>
          <w:lang w:val="en-US" w:eastAsia="zh-CN"/>
        </w:rPr>
        <w:t>《城市污水再生利用 工业用水水质》（GB/T19923-2005）表1中洗涤用水水质标准</w:t>
      </w:r>
      <w:r>
        <w:rPr>
          <w:rFonts w:hint="eastAsia"/>
          <w:color w:val="auto"/>
          <w:lang w:val="en-US" w:eastAsia="zh-CN"/>
        </w:rPr>
        <w:t>后全部回用于原料清洗，不外排；生活污水经化粪池处理后排入园区污水管网，进入牙城镇污水处理厂处理。</w:t>
      </w:r>
    </w:p>
    <w:p>
      <w:pPr>
        <w:rPr>
          <w:rFonts w:hint="default"/>
          <w:color w:val="auto"/>
          <w:szCs w:val="20"/>
          <w:lang w:val="en-US" w:eastAsia="zh-CN"/>
        </w:rPr>
      </w:pPr>
      <w:r>
        <w:rPr>
          <w:rFonts w:hint="eastAsia"/>
          <w:color w:val="auto"/>
          <w:lang w:val="en-US" w:eastAsia="zh-CN"/>
        </w:rPr>
        <w:t>企业1号厂区有2根排气筒排放，分别为DA001（主要排放口，排放污染物：非甲烷总烃），DA002（一般排放口，排放污染物：颗粒物、非甲烷总烃），2号厂区有1根排气筒DA003（一般排放口，排放污染物：颗粒物、非甲烷总烃）。企业应加强源头和过程控制，减少非甲烷总烃无组织排放；应根据排污许可证中自行监测方案，</w:t>
      </w:r>
      <w:r>
        <w:rPr>
          <w:rFonts w:hint="default"/>
          <w:color w:val="auto"/>
          <w:szCs w:val="20"/>
          <w:lang w:val="en-US" w:eastAsia="zh-CN"/>
        </w:rPr>
        <w:t>开展VOCs监测，并及时主动向当地环保行政主管部门报送监测结果</w:t>
      </w:r>
      <w:r>
        <w:rPr>
          <w:rFonts w:hint="eastAsia"/>
          <w:color w:val="auto"/>
          <w:szCs w:val="20"/>
          <w:lang w:val="en-US" w:eastAsia="zh-CN"/>
        </w:rPr>
        <w:t>；</w:t>
      </w:r>
      <w:r>
        <w:rPr>
          <w:rFonts w:hint="default"/>
          <w:color w:val="auto"/>
          <w:szCs w:val="20"/>
          <w:lang w:val="en-US" w:eastAsia="zh-CN"/>
        </w:rPr>
        <w:t>应建立健全VOCs治理设施的运行维护规程和台帐等日常管理制度，并根据工艺要求定期对各类设备、电气、自控仪表等进行检修维护，确保设施的稳定运行</w:t>
      </w:r>
      <w:r>
        <w:rPr>
          <w:rFonts w:hint="eastAsia"/>
          <w:color w:val="auto"/>
          <w:szCs w:val="20"/>
          <w:lang w:val="en-US" w:eastAsia="zh-CN"/>
        </w:rPr>
        <w:t>。同时，按</w:t>
      </w:r>
      <w:r>
        <w:rPr>
          <w:rFonts w:hint="default" w:ascii="Times New Roman" w:hAnsi="Times New Roman" w:cs="Times New Roman"/>
          <w:color w:val="auto"/>
          <w:sz w:val="24"/>
          <w:szCs w:val="24"/>
          <w:highlight w:val="none"/>
          <w:lang w:val="en-US" w:eastAsia="zh-CN"/>
        </w:rPr>
        <w:t>《排污许可证申请与核发技术规范 化学纤维制造业》（HJ1102-2020）</w:t>
      </w:r>
      <w:r>
        <w:rPr>
          <w:rFonts w:hint="eastAsia" w:cs="Times New Roman"/>
          <w:color w:val="auto"/>
          <w:sz w:val="24"/>
          <w:szCs w:val="24"/>
          <w:highlight w:val="none"/>
          <w:lang w:val="en-US" w:eastAsia="zh-CN"/>
        </w:rPr>
        <w:t>中要求进行管理和监测。</w:t>
      </w:r>
    </w:p>
    <w:p>
      <w:pPr>
        <w:rPr>
          <w:rFonts w:hint="default"/>
          <w:color w:val="auto"/>
          <w:highlight w:val="none"/>
          <w:lang w:val="en-US" w:eastAsia="zh-CN"/>
        </w:rPr>
      </w:pPr>
      <w:r>
        <w:rPr>
          <w:rFonts w:hint="eastAsia"/>
          <w:color w:val="auto"/>
          <w:lang w:val="en-US" w:eastAsia="zh-CN"/>
        </w:rPr>
        <w:t>企业1号厂区含2根锅炉烟气排气筒（DA004、DA005），企业应加强对现有锅炉的管理，做好锅炉烟气中二氧化硫及氮氧化物的总量控制及管理；严格按照自行监测方案</w:t>
      </w:r>
      <w:r>
        <w:rPr>
          <w:rFonts w:hint="default"/>
          <w:color w:val="auto"/>
          <w:szCs w:val="20"/>
          <w:lang w:val="en-US" w:eastAsia="zh-CN"/>
        </w:rPr>
        <w:t>开展</w:t>
      </w:r>
      <w:r>
        <w:rPr>
          <w:rFonts w:hint="default"/>
          <w:color w:val="auto"/>
          <w:sz w:val="24"/>
          <w:szCs w:val="24"/>
          <w:highlight w:val="none"/>
        </w:rPr>
        <w:t>NO</w:t>
      </w:r>
      <w:r>
        <w:rPr>
          <w:rFonts w:hint="eastAsia"/>
          <w:i/>
          <w:iCs/>
          <w:color w:val="auto"/>
          <w:sz w:val="24"/>
          <w:szCs w:val="24"/>
          <w:highlight w:val="none"/>
          <w:vertAlign w:val="subscript"/>
          <w:lang w:val="en-US" w:eastAsia="zh-CN"/>
        </w:rPr>
        <w:t>X</w:t>
      </w:r>
      <w:r>
        <w:rPr>
          <w:rFonts w:hint="eastAsia"/>
          <w:i w:val="0"/>
          <w:iCs w:val="0"/>
          <w:color w:val="auto"/>
          <w:sz w:val="24"/>
          <w:szCs w:val="24"/>
          <w:highlight w:val="none"/>
          <w:vertAlign w:val="baseline"/>
          <w:lang w:val="en-US" w:eastAsia="zh-CN"/>
        </w:rPr>
        <w:t>、</w:t>
      </w:r>
      <w:r>
        <w:rPr>
          <w:rFonts w:hint="default"/>
          <w:color w:val="auto"/>
          <w:sz w:val="24"/>
          <w:szCs w:val="24"/>
          <w:highlight w:val="none"/>
        </w:rPr>
        <w:t>SO</w:t>
      </w:r>
      <w:r>
        <w:rPr>
          <w:rFonts w:hint="default"/>
          <w:color w:val="auto"/>
          <w:sz w:val="24"/>
          <w:szCs w:val="24"/>
          <w:highlight w:val="none"/>
          <w:vertAlign w:val="subscript"/>
        </w:rPr>
        <w:t>2</w:t>
      </w:r>
      <w:r>
        <w:rPr>
          <w:rFonts w:hint="default"/>
          <w:color w:val="auto"/>
          <w:sz w:val="24"/>
          <w:szCs w:val="24"/>
          <w:highlight w:val="none"/>
        </w:rPr>
        <w:t>、颗粒物</w:t>
      </w:r>
      <w:r>
        <w:rPr>
          <w:rFonts w:hint="eastAsia"/>
          <w:color w:val="auto"/>
          <w:sz w:val="24"/>
          <w:szCs w:val="24"/>
          <w:highlight w:val="none"/>
          <w:lang w:eastAsia="zh-CN"/>
        </w:rPr>
        <w:t>、</w:t>
      </w:r>
      <w:r>
        <w:rPr>
          <w:rFonts w:hint="default" w:ascii="Times New Roman" w:hAnsi="Times New Roman" w:cs="Times New Roman"/>
          <w:color w:val="auto"/>
          <w:sz w:val="24"/>
          <w:szCs w:val="24"/>
          <w:lang w:bidi="ar"/>
        </w:rPr>
        <w:t>林格曼黑度</w:t>
      </w:r>
      <w:r>
        <w:rPr>
          <w:rFonts w:hint="eastAsia" w:cs="Times New Roman"/>
          <w:color w:val="auto"/>
          <w:sz w:val="24"/>
          <w:szCs w:val="24"/>
          <w:lang w:val="en-US" w:eastAsia="zh-CN" w:bidi="ar"/>
        </w:rPr>
        <w:t>的</w:t>
      </w:r>
      <w:r>
        <w:rPr>
          <w:rFonts w:hint="default"/>
          <w:color w:val="auto"/>
          <w:szCs w:val="20"/>
          <w:lang w:val="en-US" w:eastAsia="zh-CN"/>
        </w:rPr>
        <w:t>监测，并及时主动向当地环保行政主管部门报送监测结果</w:t>
      </w:r>
      <w:r>
        <w:rPr>
          <w:rFonts w:hint="eastAsia"/>
          <w:color w:val="auto"/>
          <w:szCs w:val="20"/>
          <w:lang w:val="en-US" w:eastAsia="zh-CN"/>
        </w:rPr>
        <w:t>。</w:t>
      </w:r>
    </w:p>
    <w:p>
      <w:pPr>
        <w:pStyle w:val="4"/>
        <w:numPr>
          <w:ilvl w:val="2"/>
          <w:numId w:val="7"/>
        </w:numPr>
        <w:tabs>
          <w:tab w:val="left" w:pos="420"/>
        </w:tabs>
        <w:bidi w:val="0"/>
        <w:rPr>
          <w:rFonts w:hint="default"/>
          <w:color w:val="auto"/>
          <w:highlight w:val="none"/>
          <w:lang w:val="en-US" w:eastAsia="zh-CN"/>
        </w:rPr>
      </w:pPr>
      <w:r>
        <w:rPr>
          <w:rFonts w:hint="eastAsia"/>
          <w:color w:val="auto"/>
          <w:highlight w:val="none"/>
          <w:lang w:val="en-US" w:eastAsia="zh-CN"/>
        </w:rPr>
        <w:t>扩建</w:t>
      </w:r>
      <w:r>
        <w:rPr>
          <w:rFonts w:hint="default"/>
          <w:color w:val="auto"/>
          <w:highlight w:val="none"/>
          <w:lang w:val="en-US" w:eastAsia="zh-CN"/>
        </w:rPr>
        <w:t>工程施工期环境管理体系</w:t>
      </w:r>
    </w:p>
    <w:p>
      <w:pPr>
        <w:bidi w:val="0"/>
        <w:rPr>
          <w:rFonts w:hint="default"/>
          <w:color w:val="auto"/>
          <w:highlight w:val="none"/>
          <w:lang w:val="en-US" w:eastAsia="zh-CN"/>
        </w:rPr>
      </w:pPr>
      <w:r>
        <w:rPr>
          <w:rFonts w:hint="eastAsia"/>
          <w:color w:val="auto"/>
          <w:highlight w:val="none"/>
          <w:lang w:val="en-US" w:eastAsia="zh-CN"/>
        </w:rPr>
        <w:t>扩建</w:t>
      </w:r>
      <w:r>
        <w:rPr>
          <w:rFonts w:hint="default"/>
          <w:color w:val="auto"/>
          <w:highlight w:val="none"/>
          <w:lang w:val="en-US" w:eastAsia="zh-CN"/>
        </w:rPr>
        <w:t>工程施工期环境管理依托现有工程环境管理机构，拟设专人负责施工期环境管理和施工期环境监理。</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 xml:space="preserve"> 施工期的环境管理要求</w:t>
      </w:r>
    </w:p>
    <w:p>
      <w:pPr>
        <w:bidi w:val="0"/>
        <w:rPr>
          <w:rFonts w:hint="default"/>
          <w:color w:val="auto"/>
          <w:highlight w:val="none"/>
          <w:lang w:val="en-US" w:eastAsia="zh-CN"/>
        </w:rPr>
      </w:pPr>
      <w:r>
        <w:rPr>
          <w:rFonts w:hint="default"/>
          <w:color w:val="auto"/>
          <w:highlight w:val="none"/>
          <w:lang w:val="en-US" w:eastAsia="zh-CN"/>
        </w:rPr>
        <w:t>（1）负责核实设计部门是否将已批准的环境影响报告书中提出的环保措施列入设计和投资概算。</w:t>
      </w:r>
    </w:p>
    <w:p>
      <w:pPr>
        <w:bidi w:val="0"/>
        <w:rPr>
          <w:rFonts w:hint="default"/>
          <w:color w:val="auto"/>
          <w:highlight w:val="none"/>
          <w:lang w:val="en-US" w:eastAsia="zh-CN"/>
        </w:rPr>
      </w:pPr>
      <w:r>
        <w:rPr>
          <w:rFonts w:hint="default"/>
          <w:color w:val="auto"/>
          <w:highlight w:val="none"/>
          <w:lang w:val="en-US" w:eastAsia="zh-CN"/>
        </w:rPr>
        <w:t>（2）根据已经批准的环境影响报告书对施工期的环保要求，在工程招标时向施工单位提出该项目施工期各阶段的环保措施及实施计划，并列入招标内容。</w:t>
      </w:r>
    </w:p>
    <w:p>
      <w:pPr>
        <w:bidi w:val="0"/>
        <w:rPr>
          <w:rFonts w:hint="default"/>
          <w:color w:val="auto"/>
          <w:highlight w:val="none"/>
          <w:lang w:val="en-US" w:eastAsia="zh-CN"/>
        </w:rPr>
      </w:pPr>
      <w:r>
        <w:rPr>
          <w:rFonts w:hint="default"/>
          <w:color w:val="auto"/>
          <w:highlight w:val="none"/>
          <w:lang w:val="en-US" w:eastAsia="zh-CN"/>
        </w:rPr>
        <w:t>（3）对施工中的环保问题进行监督管理，以减少对周围地区的环境影响。</w:t>
      </w:r>
    </w:p>
    <w:p>
      <w:pPr>
        <w:pStyle w:val="5"/>
        <w:numPr>
          <w:ilvl w:val="3"/>
          <w:numId w:val="7"/>
        </w:numPr>
        <w:tabs>
          <w:tab w:val="left" w:pos="420"/>
        </w:tabs>
        <w:bidi w:val="0"/>
        <w:rPr>
          <w:rFonts w:hint="default"/>
          <w:color w:val="auto"/>
          <w:highlight w:val="none"/>
          <w:lang w:val="en-US" w:eastAsia="zh-CN"/>
        </w:rPr>
      </w:pPr>
      <w:r>
        <w:rPr>
          <w:rFonts w:hint="default"/>
          <w:color w:val="auto"/>
          <w:highlight w:val="none"/>
          <w:lang w:val="en-US" w:eastAsia="zh-CN"/>
        </w:rPr>
        <w:t>施工期环境监理</w:t>
      </w:r>
    </w:p>
    <w:p>
      <w:pPr>
        <w:bidi w:val="0"/>
        <w:rPr>
          <w:rFonts w:hint="default"/>
          <w:color w:val="auto"/>
          <w:highlight w:val="none"/>
          <w:lang w:val="en-US" w:eastAsia="zh-CN"/>
        </w:rPr>
      </w:pPr>
      <w:r>
        <w:rPr>
          <w:rFonts w:hint="default"/>
          <w:color w:val="auto"/>
          <w:highlight w:val="none"/>
          <w:lang w:val="en-US" w:eastAsia="zh-CN"/>
        </w:rPr>
        <w:t>本项目应委托具有相应资质的监理部门，设专职环境保护监理工程师监督施工单位落实各项施工期环境保护措施。</w:t>
      </w:r>
    </w:p>
    <w:p>
      <w:pPr>
        <w:bidi w:val="0"/>
        <w:rPr>
          <w:rFonts w:hint="default"/>
          <w:color w:val="auto"/>
          <w:highlight w:val="none"/>
          <w:lang w:val="en-US" w:eastAsia="zh-CN"/>
        </w:rPr>
      </w:pPr>
      <w:r>
        <w:rPr>
          <w:rFonts w:hint="default"/>
          <w:color w:val="auto"/>
          <w:highlight w:val="none"/>
          <w:lang w:val="en-US" w:eastAsia="zh-CN"/>
        </w:rPr>
        <w:t>（1）环境监理工作目标</w:t>
      </w:r>
    </w:p>
    <w:p>
      <w:pPr>
        <w:bidi w:val="0"/>
        <w:rPr>
          <w:rFonts w:hint="default"/>
          <w:color w:val="auto"/>
          <w:highlight w:val="none"/>
          <w:lang w:val="en-US" w:eastAsia="zh-CN"/>
        </w:rPr>
      </w:pPr>
      <w:r>
        <w:rPr>
          <w:rFonts w:hint="default"/>
          <w:color w:val="auto"/>
          <w:highlight w:val="none"/>
          <w:lang w:val="en-US" w:eastAsia="zh-CN"/>
        </w:rPr>
        <w:t>依据国家和相关主管部门制定、颁发的有关法律、法规、政策、技术标准以及经批准的设计文件、投标文件和依法签订的监理、施工承包合同，按环境监理服务的范围和内容，履行环境监理义务，独立、公正、科学、有效地服务于工程建设，实施全面的生态环境监理，使工程建设达到环境保护要求。</w:t>
      </w:r>
    </w:p>
    <w:p>
      <w:pPr>
        <w:bidi w:val="0"/>
        <w:rPr>
          <w:rFonts w:hint="default"/>
          <w:color w:val="auto"/>
          <w:highlight w:val="none"/>
          <w:lang w:val="en-US" w:eastAsia="zh-CN"/>
        </w:rPr>
      </w:pPr>
      <w:r>
        <w:rPr>
          <w:rFonts w:hint="default"/>
          <w:color w:val="auto"/>
          <w:highlight w:val="none"/>
          <w:lang w:val="en-US" w:eastAsia="zh-CN"/>
        </w:rPr>
        <w:t>（2）环境监理机构</w:t>
      </w:r>
    </w:p>
    <w:p>
      <w:pPr>
        <w:bidi w:val="0"/>
        <w:rPr>
          <w:rFonts w:hint="default"/>
          <w:color w:val="auto"/>
          <w:highlight w:val="none"/>
          <w:lang w:val="en-US" w:eastAsia="zh-CN"/>
        </w:rPr>
      </w:pPr>
      <w:r>
        <w:rPr>
          <w:rFonts w:hint="default"/>
          <w:color w:val="auto"/>
          <w:highlight w:val="none"/>
          <w:lang w:val="en-US" w:eastAsia="zh-CN"/>
        </w:rPr>
        <w:t>工程的环境监理应作为整个工程监理工作的一部分，施工环境监理由工程建设单位委托具有工程监理资质并经环境保护业务培训的单位对设计文件中环境保护措施的实施情况进行工程环境监理。为了保证监理计划的执行，建设单位应在施工前与监理单位签订建设期的环境监理内容。</w:t>
      </w:r>
    </w:p>
    <w:p>
      <w:pPr>
        <w:bidi w:val="0"/>
        <w:rPr>
          <w:rFonts w:hint="default"/>
          <w:color w:val="auto"/>
          <w:highlight w:val="none"/>
          <w:lang w:val="en-US" w:eastAsia="zh-CN"/>
        </w:rPr>
      </w:pPr>
      <w:r>
        <w:rPr>
          <w:rFonts w:hint="default"/>
          <w:color w:val="auto"/>
          <w:highlight w:val="none"/>
          <w:lang w:val="en-US" w:eastAsia="zh-CN"/>
        </w:rPr>
        <w:t>（3）环境保护监理的工作程序、方式及范围</w:t>
      </w:r>
    </w:p>
    <w:p>
      <w:pPr>
        <w:bidi w:val="0"/>
        <w:rPr>
          <w:rFonts w:hint="default"/>
          <w:color w:val="auto"/>
          <w:highlight w:val="none"/>
          <w:lang w:val="en-US" w:eastAsia="zh-CN"/>
        </w:rPr>
      </w:pPr>
      <w:r>
        <w:rPr>
          <w:rFonts w:hint="default"/>
          <w:color w:val="auto"/>
          <w:highlight w:val="none"/>
          <w:lang w:val="en-US" w:eastAsia="zh-CN"/>
        </w:rPr>
        <w:t>①环保监理的工作程序</w:t>
      </w:r>
    </w:p>
    <w:p>
      <w:pPr>
        <w:bidi w:val="0"/>
        <w:rPr>
          <w:rFonts w:hint="default"/>
          <w:color w:val="auto"/>
          <w:highlight w:val="none"/>
          <w:lang w:val="en-US" w:eastAsia="zh-CN"/>
        </w:rPr>
      </w:pPr>
      <w:r>
        <w:rPr>
          <w:rFonts w:hint="default"/>
          <w:color w:val="auto"/>
          <w:highlight w:val="none"/>
          <w:lang w:val="en-US" w:eastAsia="zh-CN"/>
        </w:rPr>
        <w:t>本项目的环保监理工作程序见</w:t>
      </w:r>
      <w:r>
        <w:rPr>
          <w:rFonts w:hint="default"/>
          <w:color w:val="auto"/>
          <w:highlight w:val="none"/>
          <w:lang w:val="en-US" w:eastAsia="zh-CN"/>
        </w:rPr>
        <w:fldChar w:fldCharType="begin"/>
      </w:r>
      <w:r>
        <w:rPr>
          <w:rFonts w:hint="default"/>
          <w:color w:val="auto"/>
          <w:highlight w:val="none"/>
          <w:lang w:val="en-US" w:eastAsia="zh-CN"/>
        </w:rPr>
        <w:instrText xml:space="preserve"> REF _Ref8545 \r \h </w:instrText>
      </w:r>
      <w:r>
        <w:rPr>
          <w:rFonts w:hint="default"/>
          <w:color w:val="auto"/>
          <w:highlight w:val="none"/>
          <w:lang w:val="en-US" w:eastAsia="zh-CN"/>
        </w:rPr>
        <w:fldChar w:fldCharType="separate"/>
      </w:r>
      <w:r>
        <w:rPr>
          <w:rFonts w:hint="default"/>
          <w:color w:val="auto"/>
          <w:highlight w:val="none"/>
          <w:lang w:val="en-US" w:eastAsia="zh-CN"/>
        </w:rPr>
        <w:t>图8.1-1</w:t>
      </w:r>
      <w:r>
        <w:rPr>
          <w:rFonts w:hint="default"/>
          <w:color w:val="auto"/>
          <w:highlight w:val="none"/>
          <w:lang w:val="en-US" w:eastAsia="zh-CN"/>
        </w:rPr>
        <w:fldChar w:fldCharType="end"/>
      </w:r>
      <w:r>
        <w:rPr>
          <w:rFonts w:hint="default"/>
          <w:color w:val="auto"/>
          <w:highlight w:val="none"/>
          <w:lang w:val="en-US" w:eastAsia="zh-CN"/>
        </w:rPr>
        <w:t>。</w:t>
      </w:r>
    </w:p>
    <w:p>
      <w:pPr>
        <w:bidi w:val="0"/>
        <w:rPr>
          <w:rFonts w:hint="default"/>
          <w:color w:val="auto"/>
          <w:highlight w:val="none"/>
          <w:lang w:eastAsia="zh-CN"/>
        </w:rPr>
      </w:pPr>
      <w:r>
        <w:rPr>
          <w:rFonts w:hint="default"/>
          <w:color w:val="auto"/>
          <w:highlight w:val="none"/>
          <w:lang w:eastAsia="zh-CN"/>
        </w:rPr>
        <w:drawing>
          <wp:inline distT="0" distB="0" distL="114300" distR="114300">
            <wp:extent cx="5487035" cy="3239135"/>
            <wp:effectExtent l="0" t="0" r="18415" b="18415"/>
            <wp:docPr id="53" name="图片 13" descr="1596858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descr="1596858980(1)"/>
                    <pic:cNvPicPr>
                      <a:picLocks noChangeAspect="1"/>
                    </pic:cNvPicPr>
                  </pic:nvPicPr>
                  <pic:blipFill>
                    <a:blip r:embed="rId186"/>
                    <a:stretch>
                      <a:fillRect/>
                    </a:stretch>
                  </pic:blipFill>
                  <pic:spPr>
                    <a:xfrm>
                      <a:off x="0" y="0"/>
                      <a:ext cx="5487035" cy="3239135"/>
                    </a:xfrm>
                    <a:prstGeom prst="rect">
                      <a:avLst/>
                    </a:prstGeom>
                    <a:noFill/>
                    <a:ln>
                      <a:noFill/>
                    </a:ln>
                  </pic:spPr>
                </pic:pic>
              </a:graphicData>
            </a:graphic>
          </wp:inline>
        </w:drawing>
      </w:r>
    </w:p>
    <w:p>
      <w:pPr>
        <w:pStyle w:val="22"/>
        <w:numPr>
          <w:ilvl w:val="7"/>
          <w:numId w:val="7"/>
        </w:numPr>
        <w:bidi w:val="0"/>
        <w:rPr>
          <w:rFonts w:hint="default"/>
          <w:color w:val="auto"/>
          <w:highlight w:val="none"/>
          <w:lang w:val="en-US" w:eastAsia="zh-CN"/>
        </w:rPr>
      </w:pPr>
      <w:bookmarkStart w:id="673" w:name="_Ref8545"/>
      <w:r>
        <w:rPr>
          <w:rFonts w:hint="default"/>
          <w:color w:val="auto"/>
          <w:highlight w:val="none"/>
          <w:lang w:val="en-US" w:eastAsia="zh-CN"/>
        </w:rPr>
        <w:t>环保监理的工作程序图</w:t>
      </w:r>
      <w:bookmarkEnd w:id="673"/>
    </w:p>
    <w:p>
      <w:pPr>
        <w:bidi w:val="0"/>
        <w:rPr>
          <w:rFonts w:hint="default"/>
          <w:color w:val="auto"/>
          <w:highlight w:val="none"/>
          <w:lang w:val="en-US" w:eastAsia="zh-CN"/>
        </w:rPr>
      </w:pPr>
      <w:r>
        <w:rPr>
          <w:rFonts w:hint="default"/>
          <w:color w:val="auto"/>
          <w:highlight w:val="none"/>
          <w:lang w:val="en-US" w:eastAsia="zh-CN"/>
        </w:rPr>
        <w:t>②环保监理方式</w:t>
      </w:r>
    </w:p>
    <w:p>
      <w:pPr>
        <w:bidi w:val="0"/>
        <w:rPr>
          <w:rFonts w:hint="default"/>
          <w:color w:val="auto"/>
          <w:highlight w:val="none"/>
          <w:lang w:val="en-US" w:eastAsia="zh-CN"/>
        </w:rPr>
      </w:pPr>
      <w:r>
        <w:rPr>
          <w:rFonts w:hint="default"/>
          <w:color w:val="auto"/>
          <w:highlight w:val="none"/>
          <w:lang w:val="en-US" w:eastAsia="zh-CN"/>
        </w:rPr>
        <w:t>环保监理人员对施工活动中的环境保护工作按照施工进程实施动态管理。工程环境监理的工作方式以日常巡视为主，辅以必要的环境监测，以便及时调整环保监控力度。环保工程监理与其他工程的监理相似，工作方式主要以工程监理的方式进行。环保监理人员应在开工前熟悉环评中的相关的环保要求和措施内容。</w:t>
      </w:r>
    </w:p>
    <w:p>
      <w:pPr>
        <w:bidi w:val="0"/>
        <w:rPr>
          <w:rFonts w:hint="default"/>
          <w:color w:val="auto"/>
          <w:highlight w:val="none"/>
          <w:lang w:val="en-US" w:eastAsia="zh-CN"/>
        </w:rPr>
      </w:pPr>
      <w:r>
        <w:rPr>
          <w:rFonts w:hint="default"/>
          <w:color w:val="auto"/>
          <w:highlight w:val="none"/>
          <w:lang w:val="en-US" w:eastAsia="zh-CN"/>
        </w:rPr>
        <w:t>③环境监理范围</w:t>
      </w:r>
    </w:p>
    <w:p>
      <w:pPr>
        <w:bidi w:val="0"/>
        <w:rPr>
          <w:rFonts w:hint="default"/>
          <w:color w:val="auto"/>
          <w:highlight w:val="none"/>
          <w:lang w:val="en-US" w:eastAsia="zh-CN"/>
        </w:rPr>
      </w:pPr>
      <w:r>
        <w:rPr>
          <w:rFonts w:hint="default"/>
          <w:color w:val="auto"/>
          <w:highlight w:val="none"/>
          <w:lang w:val="en-US" w:eastAsia="zh-CN"/>
        </w:rPr>
        <w:t xml:space="preserve">环境监理范围：工程所在区域与工程影响区域 </w:t>
      </w:r>
    </w:p>
    <w:p>
      <w:pPr>
        <w:bidi w:val="0"/>
        <w:rPr>
          <w:rFonts w:hint="default"/>
          <w:color w:val="auto"/>
          <w:highlight w:val="none"/>
          <w:lang w:val="en-US" w:eastAsia="zh-CN"/>
        </w:rPr>
      </w:pPr>
      <w:r>
        <w:rPr>
          <w:rFonts w:hint="default"/>
          <w:color w:val="auto"/>
          <w:highlight w:val="none"/>
          <w:lang w:val="en-US" w:eastAsia="zh-CN"/>
        </w:rPr>
        <w:t>监理工作阶段：①施工准备阶段环境监理；②施工阶段环境监理；③工程保修阶段（交工及缺陷责任期）环境监理。</w:t>
      </w:r>
    </w:p>
    <w:p>
      <w:pPr>
        <w:bidi w:val="0"/>
        <w:rPr>
          <w:rFonts w:hint="default"/>
          <w:color w:val="auto"/>
          <w:highlight w:val="none"/>
          <w:lang w:val="en-US" w:eastAsia="zh-CN"/>
        </w:rPr>
      </w:pPr>
      <w:r>
        <w:rPr>
          <w:rFonts w:hint="default"/>
          <w:color w:val="auto"/>
          <w:highlight w:val="none"/>
          <w:lang w:val="en-US" w:eastAsia="zh-CN"/>
        </w:rPr>
        <w:t>④项目环境保护监理重点：</w:t>
      </w:r>
    </w:p>
    <w:p>
      <w:pPr>
        <w:bidi w:val="0"/>
        <w:rPr>
          <w:rFonts w:hint="default"/>
          <w:color w:val="auto"/>
          <w:highlight w:val="none"/>
          <w:lang w:val="en-US" w:eastAsia="zh-CN"/>
        </w:rPr>
      </w:pPr>
      <w:r>
        <w:rPr>
          <w:rFonts w:hint="default"/>
          <w:color w:val="auto"/>
          <w:highlight w:val="none"/>
          <w:lang w:val="en-US" w:eastAsia="zh-CN"/>
        </w:rPr>
        <w:t>环境保护监理的工作内容主要为：针对施工期环境保护措施，以及落实为项目生产</w:t>
      </w:r>
      <w:r>
        <w:rPr>
          <w:rFonts w:hint="eastAsia"/>
          <w:color w:val="auto"/>
          <w:highlight w:val="none"/>
          <w:lang w:val="en-US" w:eastAsia="zh-CN"/>
        </w:rPr>
        <w:t>运营</w:t>
      </w:r>
      <w:r>
        <w:rPr>
          <w:rFonts w:hint="default"/>
          <w:color w:val="auto"/>
          <w:highlight w:val="none"/>
          <w:lang w:val="en-US" w:eastAsia="zh-CN"/>
        </w:rPr>
        <w:t xml:space="preserve">配套的污染治理设施的“三同时”工作执行情况进行技术监督。 </w:t>
      </w:r>
    </w:p>
    <w:p>
      <w:pPr>
        <w:bidi w:val="0"/>
        <w:rPr>
          <w:rFonts w:hint="default"/>
          <w:color w:val="auto"/>
          <w:highlight w:val="none"/>
          <w:lang w:val="en-US" w:eastAsia="zh-CN"/>
        </w:rPr>
      </w:pPr>
      <w:r>
        <w:rPr>
          <w:rFonts w:hint="default"/>
          <w:color w:val="auto"/>
          <w:highlight w:val="none"/>
          <w:lang w:val="en-US" w:eastAsia="zh-CN"/>
        </w:rPr>
        <w:t>A、施工期环境监理主要内容</w:t>
      </w:r>
    </w:p>
    <w:p>
      <w:pPr>
        <w:bidi w:val="0"/>
        <w:rPr>
          <w:rFonts w:hint="default"/>
          <w:color w:val="auto"/>
          <w:highlight w:val="none"/>
          <w:lang w:val="en-US" w:eastAsia="zh-CN"/>
        </w:rPr>
      </w:pPr>
      <w:r>
        <w:rPr>
          <w:rFonts w:hint="default"/>
          <w:color w:val="auto"/>
          <w:highlight w:val="none"/>
          <w:lang w:val="en-US" w:eastAsia="zh-CN"/>
        </w:rPr>
        <w:t>迁建工程施工现场需配备专职的环境监理人员，根据环境影响报告书环保措施要求和施工设计文件，审查好施工单位制定的有关环境保护措施，并做好施工现场检查，发现问题应及时通知施工单位整改。</w:t>
      </w:r>
    </w:p>
    <w:p>
      <w:pPr>
        <w:bidi w:val="0"/>
        <w:rPr>
          <w:rFonts w:hint="default"/>
          <w:color w:val="auto"/>
          <w:highlight w:val="none"/>
          <w:lang w:val="en-US" w:eastAsia="zh-CN"/>
        </w:rPr>
      </w:pPr>
      <w:r>
        <w:rPr>
          <w:rFonts w:hint="default"/>
          <w:color w:val="auto"/>
          <w:highlight w:val="none"/>
          <w:lang w:val="en-US" w:eastAsia="zh-CN"/>
        </w:rPr>
        <w:t>依据建设单位与承包商签订的工程承包合同中有关环保条款，根据施工日程安排，定期检查监督施工过程的环境保护措施的实施和效果，重点检查监督见</w:t>
      </w:r>
      <w:r>
        <w:rPr>
          <w:rFonts w:hint="default"/>
          <w:color w:val="auto"/>
          <w:highlight w:val="none"/>
          <w:lang w:val="en-US" w:eastAsia="zh-CN"/>
        </w:rPr>
        <w:fldChar w:fldCharType="begin"/>
      </w:r>
      <w:r>
        <w:rPr>
          <w:rFonts w:hint="default"/>
          <w:color w:val="auto"/>
          <w:highlight w:val="none"/>
          <w:lang w:val="en-US" w:eastAsia="zh-CN"/>
        </w:rPr>
        <w:instrText xml:space="preserve"> REF _Ref8921 \r \h </w:instrText>
      </w:r>
      <w:r>
        <w:rPr>
          <w:rFonts w:hint="default"/>
          <w:color w:val="auto"/>
          <w:highlight w:val="none"/>
          <w:lang w:val="en-US" w:eastAsia="zh-CN"/>
        </w:rPr>
        <w:fldChar w:fldCharType="separate"/>
      </w:r>
      <w:r>
        <w:rPr>
          <w:rFonts w:hint="default"/>
          <w:color w:val="auto"/>
          <w:highlight w:val="none"/>
          <w:lang w:val="en-US" w:eastAsia="zh-CN"/>
        </w:rPr>
        <w:t>表8.1-1</w:t>
      </w:r>
      <w:r>
        <w:rPr>
          <w:rFonts w:hint="default"/>
          <w:color w:val="auto"/>
          <w:highlight w:val="none"/>
          <w:lang w:val="en-US" w:eastAsia="zh-CN"/>
        </w:rPr>
        <w:fldChar w:fldCharType="end"/>
      </w:r>
      <w:r>
        <w:rPr>
          <w:rFonts w:hint="default"/>
          <w:color w:val="auto"/>
          <w:highlight w:val="none"/>
          <w:lang w:val="en-US" w:eastAsia="zh-CN"/>
        </w:rPr>
        <w:t>。同时做好监理记录，并将检查结果通报建设单位和施工单位，发现问题及时处理。</w:t>
      </w:r>
    </w:p>
    <w:p>
      <w:pPr>
        <w:bidi w:val="0"/>
        <w:rPr>
          <w:rFonts w:hint="default"/>
          <w:color w:val="auto"/>
          <w:highlight w:val="none"/>
          <w:lang w:val="en-US" w:eastAsia="zh-CN"/>
        </w:rPr>
      </w:pPr>
      <w:r>
        <w:rPr>
          <w:rFonts w:hint="default"/>
          <w:color w:val="auto"/>
          <w:highlight w:val="none"/>
          <w:lang w:val="en-US" w:eastAsia="zh-CN"/>
        </w:rPr>
        <w:t>建议工程指挥部在工程实施前，根据环境影响报告书的要求编制环境保护手册。该手册将为整个工程期间环境保护措施的实施起指导作用。</w:t>
      </w:r>
    </w:p>
    <w:p>
      <w:pPr>
        <w:pStyle w:val="24"/>
        <w:numPr>
          <w:ilvl w:val="6"/>
          <w:numId w:val="11"/>
        </w:numPr>
        <w:tabs>
          <w:tab w:val="left" w:pos="420"/>
        </w:tabs>
        <w:bidi w:val="0"/>
        <w:rPr>
          <w:rFonts w:hint="default"/>
          <w:color w:val="auto"/>
          <w:highlight w:val="none"/>
          <w:lang w:val="en-US" w:eastAsia="zh-CN"/>
        </w:rPr>
      </w:pPr>
      <w:bookmarkStart w:id="674" w:name="_Ref8921"/>
      <w:r>
        <w:rPr>
          <w:rFonts w:hint="default"/>
          <w:color w:val="auto"/>
          <w:highlight w:val="none"/>
          <w:lang w:val="en-US" w:eastAsia="zh-CN"/>
        </w:rPr>
        <w:t>施工期环境监理内容</w:t>
      </w:r>
      <w:bookmarkEnd w:id="674"/>
    </w:p>
    <w:tbl>
      <w:tblPr>
        <w:tblStyle w:val="17"/>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5"/>
        <w:gridCol w:w="870"/>
        <w:gridCol w:w="80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5" w:type="dxa"/>
            <w:gridSpan w:val="2"/>
            <w:vAlign w:val="center"/>
          </w:tcPr>
          <w:p>
            <w:pPr>
              <w:pStyle w:val="21"/>
              <w:bidi w:val="0"/>
              <w:rPr>
                <w:rFonts w:hint="default"/>
                <w:color w:val="auto"/>
                <w:highlight w:val="none"/>
              </w:rPr>
            </w:pPr>
            <w:r>
              <w:rPr>
                <w:rFonts w:hint="default"/>
                <w:color w:val="auto"/>
                <w:highlight w:val="none"/>
              </w:rPr>
              <w:t>环境问题</w:t>
            </w:r>
          </w:p>
        </w:tc>
        <w:tc>
          <w:tcPr>
            <w:tcW w:w="8032" w:type="dxa"/>
            <w:vAlign w:val="center"/>
          </w:tcPr>
          <w:p>
            <w:pPr>
              <w:pStyle w:val="21"/>
              <w:bidi w:val="0"/>
              <w:rPr>
                <w:rFonts w:hint="default"/>
                <w:color w:val="auto"/>
                <w:highlight w:val="none"/>
              </w:rPr>
            </w:pPr>
            <w:r>
              <w:rPr>
                <w:rFonts w:hint="default"/>
                <w:color w:val="auto"/>
                <w:highlight w:val="none"/>
              </w:rPr>
              <w:t>监理内容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1</w:t>
            </w:r>
          </w:p>
        </w:tc>
        <w:tc>
          <w:tcPr>
            <w:tcW w:w="870" w:type="dxa"/>
            <w:vAlign w:val="center"/>
          </w:tcPr>
          <w:p>
            <w:pPr>
              <w:pStyle w:val="21"/>
              <w:bidi w:val="0"/>
              <w:rPr>
                <w:rFonts w:hint="default"/>
                <w:color w:val="auto"/>
                <w:highlight w:val="none"/>
              </w:rPr>
            </w:pPr>
            <w:r>
              <w:rPr>
                <w:rFonts w:hint="default"/>
                <w:color w:val="auto"/>
                <w:highlight w:val="none"/>
              </w:rPr>
              <w:t>扬尘</w:t>
            </w:r>
          </w:p>
          <w:p>
            <w:pPr>
              <w:pStyle w:val="21"/>
              <w:bidi w:val="0"/>
              <w:rPr>
                <w:rFonts w:hint="default"/>
                <w:color w:val="auto"/>
                <w:highlight w:val="none"/>
              </w:rPr>
            </w:pPr>
            <w:r>
              <w:rPr>
                <w:rFonts w:hint="default"/>
                <w:color w:val="auto"/>
                <w:highlight w:val="none"/>
              </w:rPr>
              <w:t>污染</w:t>
            </w:r>
          </w:p>
        </w:tc>
        <w:tc>
          <w:tcPr>
            <w:tcW w:w="8032" w:type="dxa"/>
            <w:vAlign w:val="center"/>
          </w:tcPr>
          <w:p>
            <w:pPr>
              <w:pStyle w:val="21"/>
              <w:bidi w:val="0"/>
              <w:rPr>
                <w:rFonts w:hint="default"/>
                <w:color w:val="auto"/>
                <w:highlight w:val="none"/>
              </w:rPr>
            </w:pPr>
            <w:r>
              <w:rPr>
                <w:rFonts w:hint="default"/>
                <w:color w:val="auto"/>
                <w:highlight w:val="none"/>
              </w:rPr>
              <w:t>(1) 施工场地应采取洒水等措施，以降低场地施工扬尘，减少大气污染。洒水次数视当地土质、天气情况决定。</w:t>
            </w:r>
          </w:p>
          <w:p>
            <w:pPr>
              <w:pStyle w:val="21"/>
              <w:bidi w:val="0"/>
              <w:rPr>
                <w:rFonts w:hint="default"/>
                <w:color w:val="auto"/>
                <w:highlight w:val="none"/>
              </w:rPr>
            </w:pPr>
            <w:r>
              <w:rPr>
                <w:rFonts w:hint="default"/>
                <w:color w:val="auto"/>
                <w:highlight w:val="none"/>
              </w:rPr>
              <w:t>(2) 运送材料的车辆采取帆布等遮盖措施，减少跑冒滴漏。</w:t>
            </w:r>
          </w:p>
          <w:p>
            <w:pPr>
              <w:pStyle w:val="21"/>
              <w:bidi w:val="0"/>
              <w:rPr>
                <w:rFonts w:hint="default"/>
                <w:color w:val="auto"/>
                <w:highlight w:val="none"/>
              </w:rPr>
            </w:pPr>
            <w:r>
              <w:rPr>
                <w:rFonts w:hint="default"/>
                <w:color w:val="auto"/>
                <w:highlight w:val="none"/>
              </w:rPr>
              <w:t>(3) 主要运料道路在无雨天气应定期洒水，防止尘土飞扬。</w:t>
            </w:r>
          </w:p>
          <w:p>
            <w:pPr>
              <w:pStyle w:val="21"/>
              <w:bidi w:val="0"/>
              <w:rPr>
                <w:rFonts w:hint="default"/>
                <w:color w:val="auto"/>
                <w:highlight w:val="none"/>
              </w:rPr>
            </w:pPr>
            <w:r>
              <w:rPr>
                <w:rFonts w:hint="default"/>
                <w:color w:val="auto"/>
                <w:highlight w:val="none"/>
              </w:rPr>
              <w:t>(4) 搅拌设备需良好密封并安装除尘装置，堆储料场须遮盖或洒水以防止扬尘污染。</w:t>
            </w:r>
          </w:p>
          <w:p>
            <w:pPr>
              <w:pStyle w:val="21"/>
              <w:bidi w:val="0"/>
              <w:rPr>
                <w:rFonts w:hint="default"/>
                <w:color w:val="auto"/>
                <w:highlight w:val="none"/>
              </w:rPr>
            </w:pPr>
            <w:r>
              <w:rPr>
                <w:rFonts w:hint="default"/>
                <w:color w:val="auto"/>
                <w:highlight w:val="none"/>
              </w:rPr>
              <w:t>(5) 监督运输车辆经过附近村庄时应减速慢行。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2</w:t>
            </w:r>
          </w:p>
        </w:tc>
        <w:tc>
          <w:tcPr>
            <w:tcW w:w="870" w:type="dxa"/>
            <w:vAlign w:val="center"/>
          </w:tcPr>
          <w:p>
            <w:pPr>
              <w:pStyle w:val="21"/>
              <w:bidi w:val="0"/>
              <w:rPr>
                <w:rFonts w:hint="default"/>
                <w:color w:val="auto"/>
                <w:highlight w:val="none"/>
              </w:rPr>
            </w:pPr>
            <w:r>
              <w:rPr>
                <w:rFonts w:hint="default"/>
                <w:color w:val="auto"/>
                <w:highlight w:val="none"/>
              </w:rPr>
              <w:t>水污染</w:t>
            </w:r>
          </w:p>
        </w:tc>
        <w:tc>
          <w:tcPr>
            <w:tcW w:w="8032" w:type="dxa"/>
            <w:vAlign w:val="center"/>
          </w:tcPr>
          <w:p>
            <w:pPr>
              <w:pStyle w:val="21"/>
              <w:bidi w:val="0"/>
              <w:rPr>
                <w:rFonts w:hint="default"/>
                <w:color w:val="auto"/>
                <w:highlight w:val="none"/>
              </w:rPr>
            </w:pPr>
            <w:r>
              <w:rPr>
                <w:rFonts w:hint="default"/>
                <w:color w:val="auto"/>
                <w:highlight w:val="none"/>
              </w:rPr>
              <w:t>施工生产、生活废水应按环评要求进入环保设施处理处置。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3</w:t>
            </w:r>
          </w:p>
        </w:tc>
        <w:tc>
          <w:tcPr>
            <w:tcW w:w="870" w:type="dxa"/>
            <w:vAlign w:val="center"/>
          </w:tcPr>
          <w:p>
            <w:pPr>
              <w:pStyle w:val="21"/>
              <w:bidi w:val="0"/>
              <w:rPr>
                <w:rFonts w:hint="default"/>
                <w:color w:val="auto"/>
                <w:highlight w:val="none"/>
              </w:rPr>
            </w:pPr>
            <w:r>
              <w:rPr>
                <w:rFonts w:hint="default"/>
                <w:color w:val="auto"/>
                <w:highlight w:val="none"/>
              </w:rPr>
              <w:t>噪声</w:t>
            </w:r>
          </w:p>
        </w:tc>
        <w:tc>
          <w:tcPr>
            <w:tcW w:w="8032" w:type="dxa"/>
            <w:vAlign w:val="center"/>
          </w:tcPr>
          <w:p>
            <w:pPr>
              <w:pStyle w:val="21"/>
              <w:bidi w:val="0"/>
              <w:rPr>
                <w:rFonts w:hint="default"/>
                <w:color w:val="auto"/>
                <w:highlight w:val="none"/>
              </w:rPr>
            </w:pPr>
            <w:r>
              <w:rPr>
                <w:rFonts w:hint="default"/>
                <w:color w:val="auto"/>
                <w:highlight w:val="none"/>
              </w:rPr>
              <w:t>(1)加强机械和车辆的维修和保养，保持设备的较低噪声水平。</w:t>
            </w:r>
          </w:p>
          <w:p>
            <w:pPr>
              <w:pStyle w:val="21"/>
              <w:bidi w:val="0"/>
              <w:rPr>
                <w:rFonts w:hint="default"/>
                <w:color w:val="auto"/>
                <w:highlight w:val="none"/>
              </w:rPr>
            </w:pPr>
            <w:r>
              <w:rPr>
                <w:rFonts w:hint="default"/>
                <w:color w:val="auto"/>
                <w:highlight w:val="none"/>
              </w:rPr>
              <w:t>(2)产噪设备使用时间的合理安排，检查施工噪声监测记录。</w:t>
            </w:r>
          </w:p>
          <w:p>
            <w:pPr>
              <w:pStyle w:val="21"/>
              <w:bidi w:val="0"/>
              <w:rPr>
                <w:rFonts w:hint="default"/>
                <w:color w:val="auto"/>
                <w:highlight w:val="none"/>
              </w:rPr>
            </w:pPr>
            <w:r>
              <w:rPr>
                <w:rFonts w:hint="default"/>
                <w:color w:val="auto"/>
                <w:highlight w:val="none"/>
              </w:rPr>
              <w:t>(3)合理安排产生高噪声的施工作业时间，避免夜间（22时至次日6时）施工，保证施工场界噪声不超过《建筑施工场界环境噪声排放标准》（GB12523-2011）。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4</w:t>
            </w:r>
          </w:p>
        </w:tc>
        <w:tc>
          <w:tcPr>
            <w:tcW w:w="870" w:type="dxa"/>
            <w:vAlign w:val="center"/>
          </w:tcPr>
          <w:p>
            <w:pPr>
              <w:pStyle w:val="21"/>
              <w:bidi w:val="0"/>
              <w:rPr>
                <w:rFonts w:hint="default"/>
                <w:color w:val="auto"/>
                <w:highlight w:val="none"/>
              </w:rPr>
            </w:pPr>
            <w:r>
              <w:rPr>
                <w:rFonts w:hint="default"/>
                <w:color w:val="auto"/>
                <w:highlight w:val="none"/>
              </w:rPr>
              <w:t>文明</w:t>
            </w:r>
          </w:p>
          <w:p>
            <w:pPr>
              <w:pStyle w:val="21"/>
              <w:bidi w:val="0"/>
              <w:rPr>
                <w:rFonts w:hint="default"/>
                <w:color w:val="auto"/>
                <w:highlight w:val="none"/>
              </w:rPr>
            </w:pPr>
            <w:r>
              <w:rPr>
                <w:rFonts w:hint="default"/>
                <w:color w:val="auto"/>
                <w:highlight w:val="none"/>
              </w:rPr>
              <w:t>施工</w:t>
            </w:r>
          </w:p>
        </w:tc>
        <w:tc>
          <w:tcPr>
            <w:tcW w:w="8032" w:type="dxa"/>
            <w:vAlign w:val="center"/>
          </w:tcPr>
          <w:p>
            <w:pPr>
              <w:pStyle w:val="21"/>
              <w:bidi w:val="0"/>
              <w:rPr>
                <w:rFonts w:hint="default"/>
                <w:color w:val="auto"/>
                <w:highlight w:val="none"/>
              </w:rPr>
            </w:pPr>
            <w:r>
              <w:rPr>
                <w:rFonts w:hint="default"/>
                <w:color w:val="auto"/>
                <w:highlight w:val="none"/>
              </w:rPr>
              <w:t>(1)加强对施工人员的环境教育。</w:t>
            </w:r>
          </w:p>
          <w:p>
            <w:pPr>
              <w:pStyle w:val="21"/>
              <w:bidi w:val="0"/>
              <w:rPr>
                <w:rFonts w:hint="default"/>
                <w:color w:val="auto"/>
                <w:highlight w:val="none"/>
              </w:rPr>
            </w:pPr>
            <w:r>
              <w:rPr>
                <w:rFonts w:hint="default"/>
                <w:color w:val="auto"/>
                <w:highlight w:val="none"/>
              </w:rPr>
              <w:t>(2)在施工场地应设置垃圾箱和卫生处理设施。</w:t>
            </w:r>
          </w:p>
          <w:p>
            <w:pPr>
              <w:pStyle w:val="21"/>
              <w:bidi w:val="0"/>
              <w:rPr>
                <w:rFonts w:hint="default"/>
                <w:color w:val="auto"/>
                <w:highlight w:val="none"/>
              </w:rPr>
            </w:pPr>
            <w:r>
              <w:rPr>
                <w:rFonts w:hint="default"/>
                <w:color w:val="auto"/>
                <w:highlight w:val="none"/>
              </w:rPr>
              <w:t>(3)防止施工场地生活污水和固体废弃物污染水体。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5</w:t>
            </w:r>
          </w:p>
        </w:tc>
        <w:tc>
          <w:tcPr>
            <w:tcW w:w="870" w:type="dxa"/>
            <w:vAlign w:val="center"/>
          </w:tcPr>
          <w:p>
            <w:pPr>
              <w:pStyle w:val="21"/>
              <w:bidi w:val="0"/>
              <w:rPr>
                <w:rFonts w:hint="default"/>
                <w:color w:val="auto"/>
                <w:highlight w:val="none"/>
              </w:rPr>
            </w:pPr>
            <w:r>
              <w:rPr>
                <w:rFonts w:hint="default"/>
                <w:color w:val="auto"/>
                <w:highlight w:val="none"/>
              </w:rPr>
              <w:t>施工</w:t>
            </w:r>
          </w:p>
          <w:p>
            <w:pPr>
              <w:pStyle w:val="21"/>
              <w:bidi w:val="0"/>
              <w:rPr>
                <w:rFonts w:hint="default"/>
                <w:color w:val="auto"/>
                <w:highlight w:val="none"/>
              </w:rPr>
            </w:pPr>
            <w:r>
              <w:rPr>
                <w:rFonts w:hint="default"/>
                <w:color w:val="auto"/>
                <w:highlight w:val="none"/>
              </w:rPr>
              <w:t>安全</w:t>
            </w:r>
          </w:p>
        </w:tc>
        <w:tc>
          <w:tcPr>
            <w:tcW w:w="8032" w:type="dxa"/>
            <w:vAlign w:val="center"/>
          </w:tcPr>
          <w:p>
            <w:pPr>
              <w:pStyle w:val="21"/>
              <w:bidi w:val="0"/>
              <w:rPr>
                <w:rFonts w:hint="default"/>
                <w:color w:val="auto"/>
                <w:highlight w:val="none"/>
              </w:rPr>
            </w:pPr>
            <w:r>
              <w:rPr>
                <w:rFonts w:hint="default"/>
                <w:color w:val="auto"/>
                <w:highlight w:val="none"/>
              </w:rPr>
              <w:t>注意施工协调和管理，保证施工安全。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6</w:t>
            </w:r>
          </w:p>
        </w:tc>
        <w:tc>
          <w:tcPr>
            <w:tcW w:w="870" w:type="dxa"/>
            <w:vAlign w:val="center"/>
          </w:tcPr>
          <w:p>
            <w:pPr>
              <w:pStyle w:val="21"/>
              <w:bidi w:val="0"/>
              <w:rPr>
                <w:rFonts w:hint="default"/>
                <w:color w:val="auto"/>
                <w:highlight w:val="none"/>
              </w:rPr>
            </w:pPr>
            <w:r>
              <w:rPr>
                <w:rFonts w:hint="default"/>
                <w:color w:val="auto"/>
                <w:highlight w:val="none"/>
              </w:rPr>
              <w:t>运输</w:t>
            </w:r>
          </w:p>
          <w:p>
            <w:pPr>
              <w:pStyle w:val="21"/>
              <w:bidi w:val="0"/>
              <w:rPr>
                <w:rFonts w:hint="default"/>
                <w:color w:val="auto"/>
                <w:highlight w:val="none"/>
              </w:rPr>
            </w:pPr>
            <w:r>
              <w:rPr>
                <w:rFonts w:hint="default"/>
                <w:color w:val="auto"/>
                <w:highlight w:val="none"/>
              </w:rPr>
              <w:t>管理</w:t>
            </w:r>
          </w:p>
        </w:tc>
        <w:tc>
          <w:tcPr>
            <w:tcW w:w="8032" w:type="dxa"/>
            <w:vAlign w:val="center"/>
          </w:tcPr>
          <w:p>
            <w:pPr>
              <w:pStyle w:val="21"/>
              <w:bidi w:val="0"/>
              <w:rPr>
                <w:rFonts w:hint="default"/>
                <w:color w:val="auto"/>
                <w:highlight w:val="none"/>
              </w:rPr>
            </w:pPr>
            <w:r>
              <w:rPr>
                <w:rFonts w:hint="default"/>
                <w:color w:val="auto"/>
                <w:highlight w:val="none"/>
              </w:rPr>
              <w:t>(1)建筑材料的运送路线应仔细选定，避免长途运输，应尽量避免影响现有的交通设施，减少粉尘和噪声污染。</w:t>
            </w:r>
          </w:p>
          <w:p>
            <w:pPr>
              <w:pStyle w:val="21"/>
              <w:bidi w:val="0"/>
              <w:rPr>
                <w:rFonts w:hint="default"/>
                <w:color w:val="auto"/>
                <w:highlight w:val="none"/>
              </w:rPr>
            </w:pPr>
            <w:r>
              <w:rPr>
                <w:rFonts w:hint="default"/>
                <w:color w:val="auto"/>
                <w:highlight w:val="none"/>
              </w:rPr>
              <w:t>(2)应咨询交通和公安部门，指导交通运行，施工期间防止交通阻塞和降低其运输效率。</w:t>
            </w:r>
          </w:p>
          <w:p>
            <w:pPr>
              <w:pStyle w:val="21"/>
              <w:bidi w:val="0"/>
              <w:rPr>
                <w:rFonts w:hint="default"/>
                <w:color w:val="auto"/>
                <w:highlight w:val="none"/>
              </w:rPr>
            </w:pPr>
            <w:r>
              <w:rPr>
                <w:rFonts w:hint="default"/>
                <w:color w:val="auto"/>
                <w:highlight w:val="none"/>
              </w:rPr>
              <w:t>(3)制订合适的建筑材料运输计划，避开现有道路交通高峰。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dxa"/>
            <w:vAlign w:val="center"/>
          </w:tcPr>
          <w:p>
            <w:pPr>
              <w:pStyle w:val="21"/>
              <w:bidi w:val="0"/>
              <w:rPr>
                <w:rFonts w:hint="default"/>
                <w:color w:val="auto"/>
                <w:highlight w:val="none"/>
              </w:rPr>
            </w:pPr>
            <w:r>
              <w:rPr>
                <w:rFonts w:hint="default"/>
                <w:color w:val="auto"/>
                <w:highlight w:val="none"/>
              </w:rPr>
              <w:t>7</w:t>
            </w:r>
          </w:p>
        </w:tc>
        <w:tc>
          <w:tcPr>
            <w:tcW w:w="870" w:type="dxa"/>
            <w:vAlign w:val="center"/>
          </w:tcPr>
          <w:p>
            <w:pPr>
              <w:pStyle w:val="21"/>
              <w:bidi w:val="0"/>
              <w:rPr>
                <w:rFonts w:hint="default"/>
                <w:color w:val="auto"/>
                <w:highlight w:val="none"/>
              </w:rPr>
            </w:pPr>
            <w:r>
              <w:rPr>
                <w:rFonts w:hint="default"/>
                <w:color w:val="auto"/>
                <w:highlight w:val="none"/>
              </w:rPr>
              <w:t>环保</w:t>
            </w:r>
          </w:p>
          <w:p>
            <w:pPr>
              <w:pStyle w:val="21"/>
              <w:bidi w:val="0"/>
              <w:rPr>
                <w:rFonts w:hint="default"/>
                <w:color w:val="auto"/>
                <w:highlight w:val="none"/>
              </w:rPr>
            </w:pPr>
            <w:r>
              <w:rPr>
                <w:rFonts w:hint="default"/>
                <w:color w:val="auto"/>
                <w:highlight w:val="none"/>
              </w:rPr>
              <w:t>设施</w:t>
            </w:r>
          </w:p>
        </w:tc>
        <w:tc>
          <w:tcPr>
            <w:tcW w:w="8032" w:type="dxa"/>
            <w:vAlign w:val="center"/>
          </w:tcPr>
          <w:p>
            <w:pPr>
              <w:pStyle w:val="21"/>
              <w:bidi w:val="0"/>
              <w:rPr>
                <w:rFonts w:hint="default"/>
                <w:color w:val="auto"/>
                <w:highlight w:val="none"/>
              </w:rPr>
            </w:pPr>
            <w:r>
              <w:rPr>
                <w:rFonts w:hint="default"/>
                <w:color w:val="auto"/>
                <w:highlight w:val="none"/>
              </w:rPr>
              <w:t>环评报告及环保部门批复的环保设施应与主体工程同时施工建设，</w:t>
            </w:r>
          </w:p>
        </w:tc>
      </w:tr>
    </w:tbl>
    <w:p>
      <w:pPr>
        <w:pStyle w:val="4"/>
        <w:numPr>
          <w:ilvl w:val="2"/>
          <w:numId w:val="11"/>
        </w:numPr>
        <w:tabs>
          <w:tab w:val="left" w:pos="420"/>
        </w:tabs>
        <w:bidi w:val="0"/>
        <w:rPr>
          <w:rFonts w:hint="default"/>
          <w:color w:val="auto"/>
          <w:highlight w:val="none"/>
          <w:lang w:val="en-US" w:eastAsia="zh-CN"/>
        </w:rPr>
      </w:pPr>
      <w:r>
        <w:rPr>
          <w:rFonts w:hint="eastAsia"/>
          <w:color w:val="auto"/>
          <w:highlight w:val="none"/>
          <w:lang w:val="en-US" w:eastAsia="zh-CN"/>
        </w:rPr>
        <w:t>扩建</w:t>
      </w:r>
      <w:r>
        <w:rPr>
          <w:rFonts w:hint="default"/>
          <w:color w:val="auto"/>
          <w:highlight w:val="none"/>
          <w:lang w:val="en-US" w:eastAsia="zh-CN"/>
        </w:rPr>
        <w:t>项目</w:t>
      </w:r>
      <w:r>
        <w:rPr>
          <w:rFonts w:hint="eastAsia"/>
          <w:color w:val="auto"/>
          <w:highlight w:val="none"/>
          <w:lang w:val="en-US" w:eastAsia="zh-CN"/>
        </w:rPr>
        <w:t>运营</w:t>
      </w:r>
      <w:r>
        <w:rPr>
          <w:rFonts w:hint="default"/>
          <w:color w:val="auto"/>
          <w:highlight w:val="none"/>
          <w:lang w:val="en-US" w:eastAsia="zh-CN"/>
        </w:rPr>
        <w:t>期</w:t>
      </w:r>
      <w:r>
        <w:rPr>
          <w:rStyle w:val="25"/>
          <w:rFonts w:hint="default"/>
          <w:b/>
          <w:color w:val="auto"/>
          <w:highlight w:val="none"/>
          <w:lang w:val="en-US" w:eastAsia="zh-CN"/>
        </w:rPr>
        <w:t>环</w:t>
      </w:r>
      <w:r>
        <w:rPr>
          <w:rFonts w:hint="default"/>
          <w:color w:val="auto"/>
          <w:highlight w:val="none"/>
          <w:lang w:val="en-US" w:eastAsia="zh-CN"/>
        </w:rPr>
        <w:t>境管理要求</w:t>
      </w:r>
    </w:p>
    <w:p>
      <w:pPr>
        <w:pStyle w:val="5"/>
        <w:numPr>
          <w:ilvl w:val="3"/>
          <w:numId w:val="11"/>
        </w:numPr>
        <w:tabs>
          <w:tab w:val="left" w:pos="420"/>
        </w:tabs>
        <w:bidi w:val="0"/>
        <w:rPr>
          <w:rFonts w:hint="default"/>
          <w:color w:val="auto"/>
          <w:highlight w:val="none"/>
          <w:lang w:val="en-US" w:eastAsia="zh-CN"/>
        </w:rPr>
      </w:pPr>
      <w:r>
        <w:rPr>
          <w:rFonts w:hint="default"/>
          <w:color w:val="auto"/>
          <w:highlight w:val="none"/>
          <w:lang w:val="en-US" w:eastAsia="zh-CN"/>
        </w:rPr>
        <w:t>生产中的环境管理</w:t>
      </w:r>
    </w:p>
    <w:p>
      <w:pPr>
        <w:bidi w:val="0"/>
        <w:rPr>
          <w:rFonts w:hint="default"/>
          <w:color w:val="auto"/>
          <w:highlight w:val="none"/>
          <w:lang w:val="en-US" w:eastAsia="zh-CN"/>
        </w:rPr>
      </w:pPr>
      <w:r>
        <w:rPr>
          <w:rFonts w:hint="default"/>
          <w:color w:val="auto"/>
          <w:highlight w:val="none"/>
          <w:lang w:val="en-US" w:eastAsia="zh-CN"/>
        </w:rPr>
        <w:t>(1)定期进行清洁生产审计，不断采用无污染和少污染的新工艺和新技术。</w:t>
      </w:r>
    </w:p>
    <w:p>
      <w:pPr>
        <w:bidi w:val="0"/>
        <w:rPr>
          <w:rFonts w:hint="default"/>
          <w:color w:val="auto"/>
          <w:highlight w:val="none"/>
          <w:lang w:val="en-US" w:eastAsia="zh-CN"/>
        </w:rPr>
      </w:pPr>
      <w:r>
        <w:rPr>
          <w:rFonts w:hint="default"/>
          <w:color w:val="auto"/>
          <w:highlight w:val="none"/>
          <w:lang w:val="en-US" w:eastAsia="zh-CN"/>
        </w:rPr>
        <w:t>(2)要进行ISO14000论证，建立环境管理体系，提高环境管理水平。</w:t>
      </w:r>
    </w:p>
    <w:p>
      <w:pPr>
        <w:bidi w:val="0"/>
        <w:rPr>
          <w:rFonts w:hint="default"/>
          <w:color w:val="auto"/>
          <w:highlight w:val="none"/>
          <w:lang w:val="en-US" w:eastAsia="zh-CN"/>
        </w:rPr>
      </w:pPr>
      <w:r>
        <w:rPr>
          <w:rFonts w:hint="default"/>
          <w:color w:val="auto"/>
          <w:highlight w:val="none"/>
          <w:lang w:val="en-US" w:eastAsia="zh-CN"/>
        </w:rPr>
        <w:t>(3)根据企业的环境保护目标考核计划，结合生产过程各环节的不同环境要求，把资源和能源消耗、资源回收利用、污染物排放量和反映环保工作水平的生产环境质量等环保指标，纳入各级生产作业计划，同其它生产指标一起组织实施和考核。</w:t>
      </w:r>
    </w:p>
    <w:p>
      <w:pPr>
        <w:bidi w:val="0"/>
        <w:rPr>
          <w:rFonts w:hint="default"/>
          <w:color w:val="auto"/>
          <w:highlight w:val="none"/>
          <w:lang w:val="en-US" w:eastAsia="zh-CN"/>
        </w:rPr>
      </w:pPr>
      <w:r>
        <w:rPr>
          <w:rFonts w:hint="default"/>
          <w:color w:val="auto"/>
          <w:highlight w:val="none"/>
          <w:lang w:val="en-US" w:eastAsia="zh-CN"/>
        </w:rPr>
        <w:t>(4)所有的员工都应受到相应的岗位培训，使能胜任该岗位的工作。所有的岗位都应有相应的操作规程，完整的运行记录，和畅通的信息交流通道。</w:t>
      </w:r>
    </w:p>
    <w:p>
      <w:pPr>
        <w:bidi w:val="0"/>
        <w:rPr>
          <w:rFonts w:hint="default"/>
          <w:color w:val="auto"/>
          <w:highlight w:val="none"/>
          <w:lang w:val="en-US" w:eastAsia="zh-CN"/>
        </w:rPr>
      </w:pPr>
      <w:r>
        <w:rPr>
          <w:rFonts w:hint="default"/>
          <w:color w:val="auto"/>
          <w:highlight w:val="none"/>
          <w:lang w:val="en-US" w:eastAsia="zh-CN"/>
        </w:rPr>
        <w:t>(5)要加强设备、管道、阀门、仪器、仪表的维护、检修，保证设备完好运行，防止滴、漏、跑、冒对环境的污染。</w:t>
      </w:r>
    </w:p>
    <w:p>
      <w:pPr>
        <w:pStyle w:val="5"/>
        <w:numPr>
          <w:ilvl w:val="3"/>
          <w:numId w:val="11"/>
        </w:numPr>
        <w:tabs>
          <w:tab w:val="left" w:pos="420"/>
        </w:tabs>
        <w:bidi w:val="0"/>
        <w:rPr>
          <w:rFonts w:hint="default"/>
          <w:color w:val="auto"/>
          <w:highlight w:val="none"/>
          <w:lang w:val="en-US" w:eastAsia="zh-CN"/>
        </w:rPr>
      </w:pPr>
      <w:r>
        <w:rPr>
          <w:rFonts w:hint="default"/>
          <w:color w:val="auto"/>
          <w:highlight w:val="none"/>
          <w:lang w:val="en-US" w:eastAsia="zh-CN"/>
        </w:rPr>
        <w:t>环保设施的管理</w:t>
      </w:r>
    </w:p>
    <w:p>
      <w:pPr>
        <w:bidi w:val="0"/>
        <w:rPr>
          <w:rFonts w:hint="default"/>
          <w:color w:val="auto"/>
          <w:highlight w:val="none"/>
          <w:lang w:val="en-US" w:eastAsia="zh-CN"/>
        </w:rPr>
      </w:pPr>
      <w:r>
        <w:rPr>
          <w:rFonts w:hint="default"/>
          <w:color w:val="auto"/>
          <w:highlight w:val="none"/>
          <w:lang w:val="en-US" w:eastAsia="zh-CN"/>
        </w:rPr>
        <w:t>(1)尽量采用先进、成熟的污染控制技术，选用先进、高效的环保设施。</w:t>
      </w:r>
    </w:p>
    <w:p>
      <w:pPr>
        <w:bidi w:val="0"/>
        <w:rPr>
          <w:rFonts w:hint="default"/>
          <w:color w:val="auto"/>
          <w:highlight w:val="none"/>
          <w:lang w:val="en-US" w:eastAsia="zh-CN"/>
        </w:rPr>
      </w:pPr>
      <w:r>
        <w:rPr>
          <w:rFonts w:hint="default"/>
          <w:color w:val="auto"/>
          <w:highlight w:val="none"/>
          <w:lang w:val="en-US" w:eastAsia="zh-CN"/>
        </w:rPr>
        <w:t>(2)环保设施应经试运行达标，并经竣工验收合格后，方可正式投入运行。建立运行纪录并制定考核指标。</w:t>
      </w:r>
    </w:p>
    <w:p>
      <w:pPr>
        <w:bidi w:val="0"/>
        <w:rPr>
          <w:rFonts w:hint="default"/>
          <w:color w:val="auto"/>
          <w:highlight w:val="none"/>
          <w:lang w:val="en-US" w:eastAsia="zh-CN"/>
        </w:rPr>
      </w:pPr>
      <w:r>
        <w:rPr>
          <w:rFonts w:hint="default"/>
          <w:color w:val="auto"/>
          <w:highlight w:val="none"/>
          <w:lang w:val="en-US" w:eastAsia="zh-CN"/>
        </w:rPr>
        <w:t>(3)每套环保设备都应有详细的操作规程，每个岗位的员工都应经过相应的培训，并应实行与经济效益挂钩的岗位责任制。</w:t>
      </w:r>
    </w:p>
    <w:p>
      <w:pPr>
        <w:bidi w:val="0"/>
        <w:rPr>
          <w:rFonts w:hint="default"/>
          <w:color w:val="auto"/>
          <w:highlight w:val="none"/>
          <w:lang w:val="en-US" w:eastAsia="zh-CN"/>
        </w:rPr>
      </w:pPr>
      <w:r>
        <w:rPr>
          <w:rFonts w:hint="default"/>
          <w:color w:val="auto"/>
          <w:highlight w:val="none"/>
          <w:lang w:val="en-US" w:eastAsia="zh-CN"/>
        </w:rPr>
        <w:t>(4)加强对环保设施的运行管理，制定定期维修制度，如环保设施出现故障，应立即停厂检修，严禁非正常排放。</w:t>
      </w:r>
    </w:p>
    <w:p>
      <w:pPr>
        <w:pStyle w:val="5"/>
        <w:numPr>
          <w:ilvl w:val="3"/>
          <w:numId w:val="11"/>
        </w:numPr>
        <w:tabs>
          <w:tab w:val="left" w:pos="420"/>
        </w:tabs>
        <w:bidi w:val="0"/>
        <w:rPr>
          <w:rFonts w:hint="default"/>
          <w:color w:val="auto"/>
          <w:highlight w:val="none"/>
          <w:lang w:val="en-US" w:eastAsia="zh-CN"/>
        </w:rPr>
      </w:pPr>
      <w:r>
        <w:rPr>
          <w:rFonts w:hint="default"/>
          <w:color w:val="auto"/>
          <w:highlight w:val="none"/>
          <w:lang w:val="en-US" w:eastAsia="zh-CN"/>
        </w:rPr>
        <w:t>污染事故的防范与应急处理</w:t>
      </w:r>
    </w:p>
    <w:p>
      <w:pPr>
        <w:bidi w:val="0"/>
        <w:rPr>
          <w:rFonts w:hint="default"/>
          <w:color w:val="auto"/>
          <w:highlight w:val="none"/>
          <w:lang w:val="en-US" w:eastAsia="zh-CN"/>
        </w:rPr>
      </w:pPr>
      <w:r>
        <w:rPr>
          <w:rFonts w:hint="default"/>
          <w:color w:val="auto"/>
          <w:highlight w:val="none"/>
          <w:lang w:val="en-US" w:eastAsia="zh-CN"/>
        </w:rPr>
        <w:t>(1)要建立起一个有效的污染事故防范体系。首先，要建立起一套严格的日常的检查制度。有当班人员的自查，班组长的日查，车间的月查和不定期的抽查，全公司的季度检查、半年度评估小结和年度评估总结。</w:t>
      </w:r>
    </w:p>
    <w:p>
      <w:pPr>
        <w:bidi w:val="0"/>
        <w:rPr>
          <w:rFonts w:hint="default"/>
          <w:color w:val="auto"/>
          <w:highlight w:val="none"/>
          <w:lang w:val="en-US" w:eastAsia="zh-CN"/>
        </w:rPr>
      </w:pPr>
      <w:r>
        <w:rPr>
          <w:rFonts w:hint="default"/>
          <w:color w:val="auto"/>
          <w:highlight w:val="none"/>
          <w:lang w:val="en-US" w:eastAsia="zh-CN"/>
        </w:rPr>
        <w:t>(2)为了保证与重要的环境因素有关的生产活动都能按规范运行，避免发生污染事故，也为了便于各部门、各环节、班组自查和检查，应建立一套有效的预防污染的运行控制程序。主要有《废气污染控制程序》，《废水污染控制程序》，《噪声污染控制程序》，《工业固体废物污染控制程序》，《运输车辆污染控制程序》等。各程序文件中应明确规定：运行控制的内容，各有关部门的职责，运行规程，控制参数，检查办法，纠正措施，出现异常和紧急情况时的处理程序。</w:t>
      </w:r>
    </w:p>
    <w:p>
      <w:pPr>
        <w:bidi w:val="0"/>
        <w:rPr>
          <w:rFonts w:hint="default"/>
          <w:color w:val="auto"/>
          <w:highlight w:val="none"/>
          <w:lang w:val="en-US" w:eastAsia="zh-CN"/>
        </w:rPr>
      </w:pPr>
      <w:r>
        <w:rPr>
          <w:rFonts w:hint="default"/>
          <w:color w:val="auto"/>
          <w:highlight w:val="none"/>
          <w:lang w:val="en-US" w:eastAsia="zh-CN"/>
        </w:rPr>
        <w:t>(3)对于容易发生污染事故的场所，应采取必要的污染预防措施。对于容易造成物料流失的堆场、固废堆场应建设挡墙、排水沟；污水处理站应建设事故调节池。</w:t>
      </w:r>
    </w:p>
    <w:p>
      <w:pPr>
        <w:bidi w:val="0"/>
        <w:rPr>
          <w:rFonts w:hint="default"/>
          <w:color w:val="auto"/>
          <w:highlight w:val="none"/>
          <w:lang w:val="en-US" w:eastAsia="zh-CN"/>
        </w:rPr>
      </w:pPr>
      <w:r>
        <w:rPr>
          <w:rFonts w:hint="default"/>
          <w:color w:val="auto"/>
          <w:highlight w:val="none"/>
          <w:lang w:val="en-US" w:eastAsia="zh-CN"/>
        </w:rPr>
        <w:t>(4)加强环境监测工作，重点是各污染源的监测，并注意做好记录，不得弄虚作假。监测中如发现异常情况应及时向有关部门通报，及时采取应急措施，防止事故排放。</w:t>
      </w:r>
    </w:p>
    <w:p>
      <w:pPr>
        <w:bidi w:val="0"/>
        <w:rPr>
          <w:rFonts w:hint="default"/>
          <w:color w:val="auto"/>
          <w:highlight w:val="none"/>
          <w:lang w:val="en-US" w:eastAsia="zh-CN"/>
        </w:rPr>
      </w:pPr>
      <w:r>
        <w:rPr>
          <w:rFonts w:hint="default"/>
          <w:color w:val="auto"/>
          <w:highlight w:val="none"/>
          <w:lang w:val="en-US" w:eastAsia="zh-CN"/>
        </w:rPr>
        <w:t>(5)定期向生态环境局汇报工作情况及污染治理设施运行情况和监视性监测结果。</w:t>
      </w:r>
    </w:p>
    <w:p>
      <w:pPr>
        <w:bidi w:val="0"/>
        <w:rPr>
          <w:rFonts w:hint="default"/>
          <w:color w:val="auto"/>
          <w:highlight w:val="none"/>
          <w:lang w:val="en-US" w:eastAsia="zh-CN"/>
        </w:rPr>
      </w:pPr>
      <w:r>
        <w:rPr>
          <w:rFonts w:hint="default"/>
          <w:color w:val="auto"/>
          <w:highlight w:val="none"/>
          <w:lang w:val="en-US" w:eastAsia="zh-CN"/>
        </w:rPr>
        <w:t>(6)建立污染事故报告制度。当污染事故发生时，必须在事故发生四十八小时内，向环保部门做出事故发生的时间、地点、类型和排放污染物的数量、经济损失等情况的初步报告，事故查清后，向环保部门书面报告事故的原因，采取的措施，处理结果，并附有关证明。若发生污染事故，则有责任排除危害，同时对直接受到损害的单位或个人赔偿损失。</w:t>
      </w:r>
    </w:p>
    <w:p>
      <w:pPr>
        <w:pStyle w:val="5"/>
        <w:numPr>
          <w:ilvl w:val="3"/>
          <w:numId w:val="11"/>
        </w:numPr>
        <w:tabs>
          <w:tab w:val="left" w:pos="420"/>
        </w:tabs>
        <w:bidi w:val="0"/>
        <w:rPr>
          <w:rFonts w:hint="default"/>
          <w:color w:val="auto"/>
          <w:highlight w:val="none"/>
          <w:lang w:val="en-US" w:eastAsia="zh-CN"/>
        </w:rPr>
      </w:pPr>
      <w:r>
        <w:rPr>
          <w:rFonts w:hint="default"/>
          <w:color w:val="auto"/>
          <w:highlight w:val="none"/>
          <w:lang w:val="en-US" w:eastAsia="zh-CN"/>
        </w:rPr>
        <w:t>企业排污许可管理要求</w:t>
      </w:r>
    </w:p>
    <w:p>
      <w:pPr>
        <w:bidi w:val="0"/>
        <w:rPr>
          <w:rFonts w:hint="default"/>
          <w:color w:val="auto"/>
          <w:highlight w:val="none"/>
          <w:lang w:val="en-US" w:eastAsia="zh-CN"/>
        </w:rPr>
      </w:pPr>
      <w:r>
        <w:rPr>
          <w:rFonts w:hint="default"/>
          <w:color w:val="auto"/>
          <w:highlight w:val="none"/>
          <w:lang w:val="en-US" w:eastAsia="zh-CN"/>
        </w:rPr>
        <w:t>根据《固定污染源排污许可分类管理名录（2019年版）》</w:t>
      </w:r>
      <w:r>
        <w:rPr>
          <w:rFonts w:hint="default" w:ascii="Times New Roman" w:hAnsi="Times New Roman" w:eastAsia="宋体" w:cs="Times New Roman"/>
          <w:color w:val="auto"/>
          <w:sz w:val="24"/>
          <w:szCs w:val="24"/>
          <w:highlight w:val="none"/>
          <w:lang w:val="en-US" w:eastAsia="zh-CN"/>
        </w:rPr>
        <w:t>、《排污许可证申请与核发技术规范 锅炉》(HJ953—2018)、《排污许可证申请与核发技术规范 石化工业》（</w:t>
      </w:r>
      <w:r>
        <w:rPr>
          <w:rFonts w:hint="default" w:ascii="Times New Roman" w:hAnsi="Times New Roman" w:eastAsia="宋体" w:cs="Times New Roman"/>
          <w:color w:val="auto"/>
          <w:sz w:val="24"/>
          <w:szCs w:val="24"/>
          <w:highlight w:val="none"/>
        </w:rPr>
        <w:t>HJ 853-2017</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、《排污许可证申请与核发技术规范 化学纤维制造业》（HJ1102-2020）</w:t>
      </w:r>
      <w:r>
        <w:rPr>
          <w:rFonts w:hint="default"/>
          <w:color w:val="auto"/>
          <w:highlight w:val="none"/>
          <w:lang w:val="en-US" w:eastAsia="zh-CN"/>
        </w:rPr>
        <w:t>和《关于做好环境影响评价制度与排污许可制衔接相关工作的通知》（环办环评[2017]84号），本项目应于202</w:t>
      </w:r>
      <w:r>
        <w:rPr>
          <w:rFonts w:hint="eastAsia"/>
          <w:color w:val="auto"/>
          <w:highlight w:val="none"/>
          <w:lang w:val="en-US" w:eastAsia="zh-CN"/>
        </w:rPr>
        <w:t>2</w:t>
      </w:r>
      <w:r>
        <w:rPr>
          <w:rFonts w:hint="default"/>
          <w:color w:val="auto"/>
          <w:highlight w:val="none"/>
          <w:lang w:val="en-US" w:eastAsia="zh-CN"/>
        </w:rPr>
        <w:t>年完成企业排污许可证申报工作，实行排污许可重点管理。</w:t>
      </w:r>
    </w:p>
    <w:p>
      <w:pPr>
        <w:bidi w:val="0"/>
        <w:rPr>
          <w:rFonts w:hint="default"/>
          <w:color w:val="auto"/>
          <w:highlight w:val="none"/>
          <w:lang w:val="en-US" w:eastAsia="zh-CN"/>
        </w:rPr>
      </w:pPr>
      <w:r>
        <w:rPr>
          <w:rFonts w:hint="default"/>
          <w:color w:val="auto"/>
          <w:highlight w:val="none"/>
          <w:lang w:val="en-US" w:eastAsia="zh-CN"/>
        </w:rPr>
        <w:t>建设单位在申请排污许可证前，应当将主要申请内容，包括排污单位基本信息、拟申请的许可事项、产排污环节、污染防治设施，通过国家排污许可证管理信息平台或者其他规定途径等便于公众知晓的方式向社会公开。公开时间不得少于5日。</w:t>
      </w:r>
    </w:p>
    <w:p>
      <w:pPr>
        <w:pStyle w:val="5"/>
        <w:numPr>
          <w:ilvl w:val="3"/>
          <w:numId w:val="11"/>
        </w:numPr>
        <w:tabs>
          <w:tab w:val="left" w:pos="420"/>
        </w:tabs>
        <w:bidi w:val="0"/>
        <w:rPr>
          <w:rFonts w:hint="default"/>
          <w:color w:val="auto"/>
          <w:highlight w:val="none"/>
          <w:lang w:val="en-US" w:eastAsia="zh-CN"/>
        </w:rPr>
      </w:pPr>
      <w:r>
        <w:rPr>
          <w:rFonts w:hint="default"/>
          <w:color w:val="auto"/>
          <w:highlight w:val="none"/>
          <w:lang w:val="en-US" w:eastAsia="zh-CN"/>
        </w:rPr>
        <w:t>环境保护事中事后监督管理</w:t>
      </w:r>
    </w:p>
    <w:p>
      <w:pPr>
        <w:bidi w:val="0"/>
        <w:rPr>
          <w:rFonts w:hint="default"/>
          <w:color w:val="auto"/>
          <w:highlight w:val="none"/>
        </w:rPr>
      </w:pPr>
      <w:r>
        <w:rPr>
          <w:rFonts w:hint="default"/>
          <w:color w:val="auto"/>
          <w:highlight w:val="none"/>
        </w:rPr>
        <w:t>根据“关于强化建设项目环境影响评价事中事后监管的实施意见”（环评[2018]11号）和《关于印发《建设项目环境保护事中事后监督管理办法（试行）》的通知》（环发[2015]163号）中的有关要求，建设单位应严格落实以下要求：</w:t>
      </w:r>
    </w:p>
    <w:p>
      <w:pPr>
        <w:bidi w:val="0"/>
        <w:rPr>
          <w:rFonts w:hint="default"/>
          <w:color w:val="auto"/>
          <w:highlight w:val="none"/>
        </w:rPr>
      </w:pPr>
      <w:r>
        <w:rPr>
          <w:rFonts w:hint="default"/>
          <w:color w:val="auto"/>
          <w:highlight w:val="none"/>
        </w:rPr>
        <w:t>（1）依法依规履行环评程序、开展公众参与情况。严格落实环评文件及批复要求，在项目设计、施工、验收、投入生产或使用中落实环境保护“三同时”及各项环境管理规定情况。</w:t>
      </w:r>
    </w:p>
    <w:p>
      <w:pPr>
        <w:bidi w:val="0"/>
        <w:rPr>
          <w:rFonts w:hint="default"/>
          <w:color w:val="auto"/>
          <w:highlight w:val="none"/>
        </w:rPr>
      </w:pPr>
      <w:r>
        <w:rPr>
          <w:rFonts w:hint="default"/>
          <w:color w:val="auto"/>
          <w:highlight w:val="none"/>
        </w:rPr>
        <w:t>（2）依法申请排污许可证，根据环境保护设施验收条件有关规定，开展自主验收工作。</w:t>
      </w:r>
    </w:p>
    <w:p>
      <w:pPr>
        <w:bidi w:val="0"/>
        <w:rPr>
          <w:rFonts w:hint="default"/>
          <w:color w:val="auto"/>
          <w:highlight w:val="none"/>
        </w:rPr>
      </w:pPr>
      <w:r>
        <w:rPr>
          <w:rFonts w:hint="default"/>
          <w:color w:val="auto"/>
          <w:highlight w:val="none"/>
        </w:rPr>
        <w:t>（3）建设单位在建设项目环境影响报告书报送审批前，应采取适当形式，遵循依法、有序、公开、便利的原则，公开征求公众意见并对公众参与的真实性和结果负责。在项目运行后，主动公开项目排污情况，接受公众监督。</w:t>
      </w:r>
    </w:p>
    <w:p>
      <w:pPr>
        <w:pStyle w:val="5"/>
        <w:numPr>
          <w:ilvl w:val="3"/>
          <w:numId w:val="11"/>
        </w:numPr>
        <w:tabs>
          <w:tab w:val="left" w:pos="420"/>
        </w:tabs>
        <w:bidi w:val="0"/>
        <w:rPr>
          <w:rFonts w:hint="default"/>
          <w:color w:val="auto"/>
          <w:highlight w:val="none"/>
        </w:rPr>
      </w:pPr>
      <w:r>
        <w:rPr>
          <w:rFonts w:hint="default"/>
          <w:color w:val="auto"/>
          <w:highlight w:val="none"/>
        </w:rPr>
        <w:t>排污许可管理要求</w:t>
      </w:r>
    </w:p>
    <w:p>
      <w:pPr>
        <w:rPr>
          <w:rFonts w:hint="default"/>
          <w:color w:val="auto"/>
          <w:highlight w:val="none"/>
        </w:rPr>
      </w:pPr>
      <w:r>
        <w:rPr>
          <w:rFonts w:hint="default"/>
          <w:color w:val="auto"/>
          <w:highlight w:val="none"/>
        </w:rPr>
        <w:t>根据《固定污染源排污许可分类管理名录》（2019年版），项目属于目录中“二十</w:t>
      </w:r>
      <w:r>
        <w:rPr>
          <w:rFonts w:hint="eastAsia"/>
          <w:color w:val="auto"/>
          <w:highlight w:val="none"/>
          <w:lang w:val="en-US" w:eastAsia="zh-CN"/>
        </w:rPr>
        <w:t>三</w:t>
      </w:r>
      <w:r>
        <w:rPr>
          <w:rFonts w:hint="default"/>
          <w:color w:val="auto"/>
          <w:highlight w:val="none"/>
        </w:rPr>
        <w:t>、</w:t>
      </w:r>
      <w:r>
        <w:rPr>
          <w:rFonts w:hint="eastAsia"/>
          <w:color w:val="auto"/>
          <w:highlight w:val="none"/>
          <w:lang w:val="en-US" w:eastAsia="zh-CN"/>
        </w:rPr>
        <w:t>化学纤维制造业28</w:t>
      </w:r>
      <w:r>
        <w:rPr>
          <w:rFonts w:hint="default"/>
          <w:color w:val="auto"/>
          <w:highlight w:val="none"/>
        </w:rPr>
        <w:t>-</w:t>
      </w:r>
      <w:r>
        <w:rPr>
          <w:rFonts w:hint="eastAsia"/>
          <w:color w:val="auto"/>
          <w:highlight w:val="none"/>
          <w:lang w:val="en-US" w:eastAsia="zh-CN"/>
        </w:rPr>
        <w:t>60合成纤维制造282：涤纶纤维制造2822</w:t>
      </w:r>
      <w:r>
        <w:rPr>
          <w:rFonts w:hint="default"/>
          <w:color w:val="auto"/>
          <w:highlight w:val="none"/>
        </w:rPr>
        <w:t>”，应按重点管理。</w:t>
      </w:r>
    </w:p>
    <w:p>
      <w:pPr>
        <w:rPr>
          <w:rFonts w:hint="default"/>
          <w:color w:val="auto"/>
          <w:highlight w:val="none"/>
        </w:rPr>
      </w:pPr>
      <w:r>
        <w:rPr>
          <w:rFonts w:hint="default"/>
          <w:color w:val="auto"/>
          <w:highlight w:val="none"/>
        </w:rPr>
        <w:t>排污许可是指环境保护主管部门依排污单位的申请和承诺，通过发放排污许可证法律文书形式，依法依规规范和限制排污单位排污行为并明确环境管理要求，依据排污许可证对排污单位实施监管执法的环境管理制度。</w:t>
      </w:r>
    </w:p>
    <w:p>
      <w:pPr>
        <w:rPr>
          <w:rFonts w:hint="default"/>
          <w:color w:val="auto"/>
          <w:highlight w:val="none"/>
        </w:rPr>
      </w:pPr>
      <w:r>
        <w:rPr>
          <w:rFonts w:hint="default"/>
          <w:color w:val="auto"/>
          <w:highlight w:val="none"/>
        </w:rPr>
        <w:t>按照国务院《控制污染物排放许可制实施方案》（国办发[2016]81号）和环保部《排污许可证管理暂行规定》（环水体[2016]186号）等要求，“对排污单位排放水污染物、大气污染物的各类排污行为实行综合许可管理。排污单位申请并领取一个排污许可证，同一法人单位或其他组织所有，位于不同地点的排污单位，应当分别申请和领取排污许可证。”</w:t>
      </w:r>
    </w:p>
    <w:p>
      <w:pPr>
        <w:rPr>
          <w:rFonts w:hint="default"/>
          <w:color w:val="auto"/>
          <w:highlight w:val="none"/>
        </w:rPr>
      </w:pPr>
      <w:r>
        <w:rPr>
          <w:rFonts w:hint="default"/>
          <w:color w:val="auto"/>
          <w:highlight w:val="none"/>
        </w:rPr>
        <w:t>企事业单位应建立健全污染物排放总量控制制度，“新建项目必须在发生实际排污行为之前申领排污许可证，环境影响评价文件及批复中与污染物排放相关的主要内容应当纳入排污许可证，其排污许可证执行情况应作为环境影响后评价的重要依据。”</w:t>
      </w:r>
    </w:p>
    <w:p>
      <w:pPr>
        <w:rPr>
          <w:rFonts w:hint="default"/>
          <w:color w:val="auto"/>
          <w:highlight w:val="none"/>
        </w:rPr>
      </w:pPr>
      <w:r>
        <w:rPr>
          <w:rFonts w:hint="default"/>
          <w:color w:val="auto"/>
          <w:highlight w:val="none"/>
        </w:rPr>
        <w:t>排污单位应依法按照排污许可证申请与核发技术规范提交排污许可申请，申报排放污染物种类、排放浓度等，测算并申报污染物排放量。排污单位在申请排污许可证前，应当将主要申请内容，包括排污单位基本信息、拟申请的许可事项、产排污环节、污染防治设施，通过国家排污许可证管理信息平台或者其他规定途径等便于公众知晓的方式向社会公开。公开时间不得少于5日。</w:t>
      </w:r>
    </w:p>
    <w:p>
      <w:pPr>
        <w:rPr>
          <w:rFonts w:hint="default"/>
          <w:color w:val="auto"/>
          <w:highlight w:val="none"/>
        </w:rPr>
      </w:pPr>
      <w:r>
        <w:rPr>
          <w:rFonts w:hint="default"/>
          <w:color w:val="auto"/>
          <w:highlight w:val="none"/>
        </w:rPr>
        <w:t>排污单位应当在国家排污许可证管理信息平台上填报并提交排污许可证申请，同时向有核发权限的环境保护主管部门提交通过平台印制的书面申请材料。排污单位对申请材料的真实性、合法性、完整性负法律责任。</w:t>
      </w:r>
    </w:p>
    <w:p>
      <w:pPr>
        <w:rPr>
          <w:rFonts w:hint="default"/>
          <w:color w:val="auto"/>
          <w:highlight w:val="none"/>
        </w:rPr>
      </w:pPr>
      <w:r>
        <w:rPr>
          <w:rFonts w:hint="default"/>
          <w:color w:val="auto"/>
          <w:highlight w:val="none"/>
        </w:rPr>
        <w:t>纳入排污许可管理的所有企事业单位必须按期持证排污、按证排污，不得无证排污。企事业单位应及时申领排污许可证，对申请材料的真实性、准确性和完整性承担法律责任，承诺按照排污许可证的规定排污并严格执行；落实污染物排放控制措施和其他各项环境管理要求，确保污染物排放种类、浓度和排放量等达到许可要求；明确单位负责人和相关人员环境保护责任，不断提高污染治理和环境管理水平，自觉接受监督检查。”排污单位应当严格执行排污许可证的规定，遵守下列要求：</w:t>
      </w:r>
    </w:p>
    <w:p>
      <w:pPr>
        <w:rPr>
          <w:rFonts w:hint="default"/>
          <w:color w:val="auto"/>
          <w:highlight w:val="none"/>
        </w:rPr>
      </w:pPr>
      <w:r>
        <w:rPr>
          <w:rFonts w:hint="default"/>
          <w:color w:val="auto"/>
          <w:highlight w:val="none"/>
        </w:rPr>
        <w:t>（一）排污口位置和数量、排放方式、排放去向、排放污染物种类、排放浓度和排放量、执行的排放标准等符合排污许可证的规定，不得私设暗管或以其他方式逃避监管。</w:t>
      </w:r>
    </w:p>
    <w:p>
      <w:pPr>
        <w:rPr>
          <w:rFonts w:hint="default"/>
          <w:color w:val="auto"/>
          <w:highlight w:val="none"/>
        </w:rPr>
      </w:pPr>
      <w:r>
        <w:rPr>
          <w:rFonts w:hint="default"/>
          <w:color w:val="auto"/>
          <w:highlight w:val="none"/>
        </w:rPr>
        <w:t>（二）落实重污染天气应急管控措施、遵守法律规定的最新环境保护要求等。</w:t>
      </w:r>
    </w:p>
    <w:p>
      <w:pPr>
        <w:rPr>
          <w:rFonts w:hint="default"/>
          <w:color w:val="auto"/>
          <w:highlight w:val="none"/>
        </w:rPr>
      </w:pPr>
      <w:r>
        <w:rPr>
          <w:rFonts w:hint="default"/>
          <w:color w:val="auto"/>
          <w:highlight w:val="none"/>
        </w:rPr>
        <w:t>（三）按排污许可证规定的监测点位、监测因子、监测频次和相关监测技术规范开展自行监测并公开。</w:t>
      </w:r>
    </w:p>
    <w:p>
      <w:pPr>
        <w:rPr>
          <w:rFonts w:hint="default"/>
          <w:color w:val="auto"/>
          <w:highlight w:val="none"/>
        </w:rPr>
      </w:pPr>
      <w:r>
        <w:rPr>
          <w:rFonts w:hint="default"/>
          <w:color w:val="auto"/>
          <w:highlight w:val="none"/>
        </w:rPr>
        <w:t>（四）按规范进行台账记录，主要内容包括生产信息、燃料、原辅材料使用情况、污染防治设施运行记录、监测数据等。</w:t>
      </w:r>
    </w:p>
    <w:p>
      <w:pPr>
        <w:rPr>
          <w:rFonts w:hint="default"/>
          <w:color w:val="auto"/>
          <w:highlight w:val="none"/>
        </w:rPr>
      </w:pPr>
      <w:r>
        <w:rPr>
          <w:rFonts w:hint="default"/>
          <w:color w:val="auto"/>
          <w:highlight w:val="none"/>
        </w:rPr>
        <w:t>（五）按排污许可证规定，定期在国家排污许可证管理信息平台填报信息，编制排污许可证执行报告，及时报送有核发权的环境保护主管部门并公开，执行报告主要内容包括生产信息、污染防治设施运行情况、污染物按证排放情况等。</w:t>
      </w:r>
    </w:p>
    <w:p>
      <w:pPr>
        <w:rPr>
          <w:rFonts w:hint="default"/>
          <w:color w:val="auto"/>
          <w:highlight w:val="none"/>
        </w:rPr>
      </w:pPr>
      <w:r>
        <w:rPr>
          <w:rFonts w:hint="default"/>
          <w:color w:val="auto"/>
          <w:highlight w:val="none"/>
        </w:rPr>
        <w:t>根据上述要求，本新建项目应在发生实际排污行为之前申领排污许可证，本环境影响评价文件及批复中与污染物排放相关的主要内容应纳入排污许可证，建设单位应依法按照排污许可证申请与核发技术规范提交排污许可申请，申报排放污染物种类、排放浓度等，测算并申报污染物排放量等。</w:t>
      </w:r>
    </w:p>
    <w:p>
      <w:pPr>
        <w:rPr>
          <w:rFonts w:hint="default"/>
          <w:color w:val="auto"/>
          <w:highlight w:val="none"/>
        </w:rPr>
      </w:pPr>
      <w:r>
        <w:rPr>
          <w:rFonts w:hint="default"/>
          <w:color w:val="auto"/>
          <w:highlight w:val="none"/>
        </w:rPr>
        <w:t>排污许可与环评在污染物排放上进行衔接。在时间节点上，新建污染源必须在产生实际排污行为之前申领排污许可证；在内容要求上，环境影响评价审批文件中与污染物排放相关内容要纳入排污许可证；在环境监管上，对需要开展环境影响后评价的，排污单位排污许可证执行情况应作为环境影响后评价的主要依据。排污许可申报涉及的排污单位基本信息、生产装置和设施、原料名称、产品名称、生产能力及计算单位、年生产时间、主要原辅材料及燃料名称、年使用量、产排污环节、污染物及污染治理设施、是否属于可行技术、排放口规范化设置、排放口类型、排放口基本情况详见表</w:t>
      </w:r>
      <w:r>
        <w:rPr>
          <w:rFonts w:hint="eastAsia"/>
          <w:color w:val="auto"/>
          <w:highlight w:val="none"/>
          <w:lang w:val="en-US" w:eastAsia="zh-CN"/>
        </w:rPr>
        <w:t>8</w:t>
      </w:r>
      <w:r>
        <w:rPr>
          <w:rFonts w:hint="default"/>
          <w:color w:val="auto"/>
          <w:highlight w:val="none"/>
        </w:rPr>
        <w:t>.2-1 污染物排放清单及管理要求一览表。</w:t>
      </w:r>
    </w:p>
    <w:p>
      <w:pPr>
        <w:pStyle w:val="5"/>
        <w:numPr>
          <w:ilvl w:val="3"/>
          <w:numId w:val="11"/>
        </w:numPr>
        <w:tabs>
          <w:tab w:val="left" w:pos="420"/>
        </w:tabs>
        <w:bidi w:val="0"/>
        <w:rPr>
          <w:rFonts w:hint="default"/>
          <w:color w:val="auto"/>
          <w:highlight w:val="none"/>
        </w:rPr>
      </w:pPr>
      <w:r>
        <w:rPr>
          <w:rFonts w:hint="default"/>
          <w:color w:val="auto"/>
          <w:highlight w:val="none"/>
        </w:rPr>
        <w:t>排污申报</w:t>
      </w:r>
    </w:p>
    <w:p>
      <w:pPr>
        <w:rPr>
          <w:rFonts w:hint="default"/>
          <w:color w:val="auto"/>
          <w:highlight w:val="none"/>
        </w:rPr>
      </w:pPr>
      <w:r>
        <w:rPr>
          <w:rFonts w:hint="default"/>
          <w:color w:val="auto"/>
          <w:highlight w:val="none"/>
        </w:rPr>
        <w:t>（1）建设单位应根据《固定污染源排污许可分类管理名录（2019年版）》在产生实际排污行为之前依法申领排污许可证，必须按批准的排放总量和浓度进行排放。</w:t>
      </w:r>
    </w:p>
    <w:p>
      <w:pPr>
        <w:rPr>
          <w:rFonts w:hint="default"/>
          <w:color w:val="auto"/>
          <w:highlight w:val="none"/>
        </w:rPr>
      </w:pPr>
      <w:r>
        <w:rPr>
          <w:rFonts w:hint="default"/>
          <w:color w:val="auto"/>
          <w:highlight w:val="none"/>
        </w:rPr>
        <w:t>（2）排污单位在申请排污许可证前，应当将主要申请内容，通过国家排污许可证管理信息平台或者其他规定途径等便于公众知晓的方式向社会公开。</w:t>
      </w:r>
    </w:p>
    <w:p>
      <w:pPr>
        <w:rPr>
          <w:rFonts w:hint="default"/>
          <w:color w:val="auto"/>
          <w:highlight w:val="none"/>
        </w:rPr>
      </w:pPr>
      <w:r>
        <w:rPr>
          <w:rFonts w:hint="default"/>
          <w:color w:val="auto"/>
          <w:highlight w:val="none"/>
        </w:rPr>
        <w:t>（3）排污单位应当在国家排污许可证管理信息平台上填报并提交排污许可证申请，同事向有核发权限的环境保护主管部门提交通过平台印制的书面申请材料。</w:t>
      </w:r>
    </w:p>
    <w:p>
      <w:pPr>
        <w:rPr>
          <w:rFonts w:hint="default"/>
          <w:color w:val="auto"/>
          <w:highlight w:val="none"/>
        </w:rPr>
      </w:pPr>
      <w:r>
        <w:rPr>
          <w:rFonts w:hint="default"/>
          <w:color w:val="auto"/>
          <w:highlight w:val="none"/>
        </w:rPr>
        <w:t>（4）排污单位于每年年底申报下一年度正常作业条件下排放污染物种类、数量、浓度等情况，并提供与污染物排放有关的资料。</w:t>
      </w:r>
    </w:p>
    <w:p>
      <w:pPr>
        <w:pStyle w:val="5"/>
        <w:numPr>
          <w:ilvl w:val="3"/>
          <w:numId w:val="11"/>
        </w:numPr>
        <w:tabs>
          <w:tab w:val="left" w:pos="420"/>
        </w:tabs>
        <w:bidi w:val="0"/>
        <w:rPr>
          <w:rFonts w:hint="default"/>
          <w:color w:val="auto"/>
          <w:highlight w:val="none"/>
        </w:rPr>
      </w:pPr>
      <w:r>
        <w:rPr>
          <w:rFonts w:hint="default"/>
          <w:color w:val="auto"/>
          <w:highlight w:val="none"/>
        </w:rPr>
        <w:t>竣工验收</w:t>
      </w:r>
    </w:p>
    <w:p>
      <w:pPr>
        <w:rPr>
          <w:rFonts w:hint="default"/>
          <w:color w:val="auto"/>
          <w:highlight w:val="none"/>
        </w:rPr>
      </w:pPr>
      <w:r>
        <w:rPr>
          <w:rFonts w:hint="default"/>
          <w:color w:val="auto"/>
          <w:highlight w:val="none"/>
        </w:rPr>
        <w:t>新修改的《建设项目环境保护管理条例》取消了建设项目竣工环境保护验收行政许可，改为建设单位自主验收，进一步强化了建设单位的环境保护“三同时”主体责任。为贯彻落实新修改的《建设项目环境保护管理条例》，强化建设单位环境保护主体责任，落实建设项目环境保护“三同时”制度，规范建设项目竣工后建设单位自主开展环境保护验收的程序和标准：要求编制环境影响报告书（表）的建设项目竣工后，建设单位或者其委托的技术机构应当依照国家有关法律法规、建设项目竣工环境保护验收技术规范、建设项目环境影响报告书（表）和审批决定等要求，如实查验、监测、记载建设项目环境保护设施的建设和调试情况，同时还应如实记载其他环境保护对策措施“三同时”落实情况，编制竣工环境保护验收报告。</w:t>
      </w:r>
    </w:p>
    <w:p>
      <w:pPr>
        <w:rPr>
          <w:rFonts w:hint="default"/>
          <w:color w:val="auto"/>
          <w:highlight w:val="none"/>
        </w:rPr>
      </w:pPr>
      <w:r>
        <w:rPr>
          <w:rFonts w:hint="default"/>
          <w:color w:val="auto"/>
          <w:highlight w:val="none"/>
        </w:rPr>
        <w:t>建设单位应严格按照正式发布的《关于规范建设单位自主开展建设项目竣工环境保护验收的通知》的要求，在本项目竣工后，及时开展自主环保验收。</w:t>
      </w:r>
    </w:p>
    <w:p>
      <w:pPr>
        <w:pStyle w:val="5"/>
        <w:numPr>
          <w:ilvl w:val="3"/>
          <w:numId w:val="11"/>
        </w:numPr>
        <w:tabs>
          <w:tab w:val="left" w:pos="420"/>
        </w:tabs>
        <w:bidi w:val="0"/>
        <w:rPr>
          <w:rFonts w:hint="default"/>
          <w:color w:val="auto"/>
          <w:highlight w:val="none"/>
        </w:rPr>
      </w:pPr>
      <w:r>
        <w:rPr>
          <w:rFonts w:hint="default"/>
          <w:color w:val="auto"/>
          <w:highlight w:val="none"/>
        </w:rPr>
        <w:t>执行三同时制度</w:t>
      </w:r>
    </w:p>
    <w:p>
      <w:pPr>
        <w:rPr>
          <w:rFonts w:hint="default"/>
          <w:color w:val="auto"/>
          <w:highlight w:val="none"/>
        </w:rPr>
      </w:pPr>
      <w:r>
        <w:rPr>
          <w:rFonts w:hint="default"/>
          <w:color w:val="auto"/>
          <w:highlight w:val="none"/>
        </w:rPr>
        <w:t>根据《建设项目竣工环境保护验收暂行办法》(国环规环评[2017]4号)，建设项目竣工后建设单位自主开展环境保护验收，全国建设项目竣工环境保护验收信息平台已于2017年12月1日上线试运行。建设单位是建设项目竣工环境保护验收的责任主体。组织对配套建设的环境保护设施与主体工程同时投产或者使用，并对验收内容、结论和所公开信息的真实性、准确性和完整性负责，不得在验收过程中弄虚作假。</w:t>
      </w:r>
    </w:p>
    <w:p>
      <w:pPr>
        <w:pStyle w:val="5"/>
        <w:numPr>
          <w:ilvl w:val="3"/>
          <w:numId w:val="11"/>
        </w:numPr>
        <w:tabs>
          <w:tab w:val="left" w:pos="420"/>
        </w:tabs>
        <w:bidi w:val="0"/>
        <w:rPr>
          <w:rFonts w:hint="default"/>
          <w:color w:val="auto"/>
          <w:highlight w:val="none"/>
        </w:rPr>
      </w:pPr>
      <w:r>
        <w:rPr>
          <w:rFonts w:hint="default"/>
          <w:color w:val="auto"/>
          <w:highlight w:val="none"/>
        </w:rPr>
        <w:t>退役期环境管理要求</w:t>
      </w:r>
    </w:p>
    <w:p>
      <w:pPr>
        <w:rPr>
          <w:rFonts w:hint="default"/>
          <w:color w:val="auto"/>
          <w:highlight w:val="none"/>
        </w:rPr>
      </w:pPr>
      <w:r>
        <w:rPr>
          <w:rFonts w:hint="default"/>
          <w:color w:val="auto"/>
          <w:highlight w:val="none"/>
        </w:rPr>
        <w:t>本工程退役期应结合《企业拆除活动污染防治技术规定(试行)》（环保部公告 2017年第78号）实施，建设单位应委托有资质的单位编制退役期环境影响报告，退役期环境影响报告应包括场地污染评价，若受污染、建设单位应负责修复，对残存的危险化学品、固体废物、废水等应编制无害化处理方案，并责成原建设单位负责处理等内容，经报环境保护主管部门审查后实施。特别是应重视环境安全的措施、杜绝二次污染和土壤修复等措施；环保设施拆除应执行相应的环保管理制度。</w:t>
      </w:r>
    </w:p>
    <w:p>
      <w:pPr>
        <w:pStyle w:val="3"/>
        <w:numPr>
          <w:ilvl w:val="1"/>
          <w:numId w:val="11"/>
        </w:numPr>
        <w:bidi w:val="0"/>
        <w:rPr>
          <w:rFonts w:hint="default"/>
          <w:color w:val="auto"/>
          <w:highlight w:val="none"/>
        </w:rPr>
      </w:pPr>
      <w:bookmarkStart w:id="675" w:name="_Toc17181"/>
      <w:bookmarkStart w:id="676" w:name="_Toc11182"/>
      <w:bookmarkStart w:id="677" w:name="_Toc25153"/>
      <w:bookmarkStart w:id="678" w:name="_Toc15361"/>
      <w:r>
        <w:rPr>
          <w:rFonts w:hint="default"/>
          <w:color w:val="auto"/>
          <w:highlight w:val="none"/>
        </w:rPr>
        <w:t>污染物排放清单</w:t>
      </w:r>
      <w:bookmarkEnd w:id="675"/>
      <w:bookmarkEnd w:id="676"/>
      <w:bookmarkEnd w:id="677"/>
      <w:bookmarkEnd w:id="678"/>
    </w:p>
    <w:p>
      <w:pPr>
        <w:bidi w:val="0"/>
        <w:rPr>
          <w:rFonts w:hint="default"/>
          <w:color w:val="auto"/>
          <w:highlight w:val="none"/>
        </w:rPr>
      </w:pPr>
      <w:r>
        <w:rPr>
          <w:rFonts w:hint="default"/>
          <w:color w:val="auto"/>
          <w:highlight w:val="none"/>
        </w:rPr>
        <w:t>本项目污染物排放清单见表</w:t>
      </w:r>
      <w:r>
        <w:rPr>
          <w:rFonts w:hint="eastAsia"/>
          <w:color w:val="auto"/>
          <w:highlight w:val="none"/>
          <w:lang w:val="en-US" w:eastAsia="zh-CN"/>
        </w:rPr>
        <w:t>8</w:t>
      </w:r>
      <w:r>
        <w:rPr>
          <w:rFonts w:hint="default"/>
          <w:color w:val="auto"/>
          <w:highlight w:val="none"/>
        </w:rPr>
        <w:t>.2-1。建设单位应严格按照污染物排放清单及其管理要求，进行项目的污染物排放的管理，确保各项污染物达标排放和总量控制要求。同时应向社会公开信息内容。</w:t>
      </w:r>
    </w:p>
    <w:p>
      <w:pPr>
        <w:pStyle w:val="24"/>
        <w:bidi w:val="0"/>
        <w:rPr>
          <w:rFonts w:hint="default"/>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numPr>
          <w:ilvl w:val="6"/>
          <w:numId w:val="11"/>
        </w:numPr>
        <w:tabs>
          <w:tab w:val="left" w:pos="420"/>
        </w:tabs>
        <w:bidi w:val="0"/>
        <w:rPr>
          <w:rFonts w:hint="default"/>
          <w:color w:val="auto"/>
          <w:highlight w:val="none"/>
          <w:lang w:val="en-US" w:eastAsia="zh-CN"/>
        </w:rPr>
      </w:pPr>
      <w:r>
        <w:rPr>
          <w:rFonts w:hint="default"/>
          <w:color w:val="auto"/>
          <w:highlight w:val="none"/>
          <w:lang w:val="en-US" w:eastAsia="zh-CN"/>
        </w:rPr>
        <w:t>污染物排放清单及管理要求</w:t>
      </w:r>
    </w:p>
    <w:p>
      <w:pPr>
        <w:rPr>
          <w:rFonts w:hint="default"/>
          <w:color w:val="auto"/>
          <w:highlight w:val="none"/>
          <w:lang w:val="en-US" w:eastAsia="zh-CN"/>
        </w:rPr>
        <w:sectPr>
          <w:pgSz w:w="23757" w:h="16783"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default"/>
          <w:color w:val="auto"/>
          <w:lang w:val="en-US" w:eastAsia="zh-CN"/>
        </w:rPr>
      </w:pPr>
      <w:bookmarkStart w:id="679" w:name="_Toc18534"/>
      <w:bookmarkStart w:id="680" w:name="_Toc21799"/>
      <w:bookmarkStart w:id="681" w:name="_Toc5273"/>
      <w:bookmarkStart w:id="682" w:name="_Toc5267"/>
      <w:r>
        <w:rPr>
          <w:rFonts w:hint="default"/>
          <w:color w:val="auto"/>
          <w:lang w:val="en-US" w:eastAsia="zh-CN"/>
        </w:rPr>
        <w:t>环境监测计划</w:t>
      </w:r>
      <w:bookmarkEnd w:id="679"/>
      <w:bookmarkEnd w:id="680"/>
      <w:bookmarkEnd w:id="681"/>
      <w:bookmarkEnd w:id="682"/>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（1）环境监测计划</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根据《排污单位自行监测技术指南总则》（GB819-2017）、《固定污染源排污许可分类管理名录（2</w:t>
      </w:r>
      <w:r>
        <w:rPr>
          <w:rFonts w:hint="default" w:ascii="Times New Roman" w:hAnsi="Times New Roman" w:eastAsia="宋体" w:cs="Times New Roman"/>
          <w:color w:val="auto"/>
          <w:sz w:val="24"/>
          <w:szCs w:val="24"/>
          <w:highlight w:val="none"/>
          <w:lang w:val="en-US" w:eastAsia="zh-CN"/>
        </w:rPr>
        <w:t>017年版）》、《排污许可证申请与核发技术规范 锅炉》(HJ953—2018)、《排污许可证申请与核发技术规范 石化工业》（</w:t>
      </w:r>
      <w:r>
        <w:rPr>
          <w:rFonts w:hint="default" w:ascii="Times New Roman" w:hAnsi="Times New Roman" w:eastAsia="宋体" w:cs="Times New Roman"/>
          <w:color w:val="auto"/>
          <w:sz w:val="24"/>
          <w:szCs w:val="24"/>
          <w:highlight w:val="none"/>
        </w:rPr>
        <w:t>HJ 853-2017</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、《排污许可证申请与核发技术规范 化学纤维制造业》（HJ1102-2020）</w:t>
      </w:r>
      <w:r>
        <w:rPr>
          <w:rFonts w:hint="default" w:ascii="Times New Roman" w:hAnsi="Times New Roman" w:cs="Times New Roman"/>
          <w:color w:val="auto"/>
          <w:highlight w:val="none"/>
          <w:lang w:val="en-US" w:eastAsia="zh-CN"/>
        </w:rPr>
        <w:t>等技术材料制定本监测计划</w:t>
      </w:r>
      <w:r>
        <w:rPr>
          <w:rFonts w:hint="default" w:ascii="Times New Roman" w:hAnsi="Times New Roman" w:cs="Times New Roman"/>
          <w:color w:val="auto"/>
          <w:highlight w:val="none"/>
          <w:lang w:val="en-US" w:eastAsia="zh-CN"/>
        </w:rPr>
        <w:t>，详见下表。</w:t>
      </w:r>
    </w:p>
    <w:p>
      <w:pPr>
        <w:pStyle w:val="24"/>
        <w:numPr>
          <w:ilvl w:val="6"/>
          <w:numId w:val="11"/>
        </w:numPr>
        <w:tabs>
          <w:tab w:val="left" w:pos="420"/>
        </w:tabs>
        <w:bidi w:val="0"/>
        <w:rPr>
          <w:rFonts w:hint="default"/>
          <w:color w:val="auto"/>
          <w:highlight w:val="none"/>
        </w:rPr>
      </w:pPr>
      <w:r>
        <w:rPr>
          <w:rFonts w:hint="default"/>
          <w:color w:val="auto"/>
          <w:highlight w:val="none"/>
        </w:rPr>
        <w:t>污染源监测计划一览表</w:t>
      </w:r>
    </w:p>
    <w:tbl>
      <w:tblPr>
        <w:tblStyle w:val="17"/>
        <w:tblW w:w="91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110"/>
        <w:gridCol w:w="2839"/>
        <w:gridCol w:w="2937"/>
        <w:gridCol w:w="13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tcBorders>
              <w:tl2br w:val="nil"/>
              <w:tr2bl w:val="nil"/>
            </w:tcBorders>
            <w:tcMar>
              <w:left w:w="28" w:type="dxa"/>
              <w:right w:w="28" w:type="dxa"/>
            </w:tcMar>
            <w:vAlign w:val="center"/>
          </w:tcPr>
          <w:p>
            <w:pPr>
              <w:pStyle w:val="21"/>
              <w:bidi w:val="0"/>
              <w:rPr>
                <w:rFonts w:hint="default"/>
                <w:color w:val="auto"/>
                <w:highlight w:val="none"/>
              </w:rPr>
            </w:pPr>
            <w:bookmarkStart w:id="740" w:name="_GoBack" w:colFirst="0" w:colLast="4"/>
            <w:r>
              <w:rPr>
                <w:rFonts w:hint="default"/>
                <w:color w:val="auto"/>
                <w:highlight w:val="none"/>
              </w:rPr>
              <w:t>监测</w:t>
            </w:r>
          </w:p>
          <w:p>
            <w:pPr>
              <w:pStyle w:val="21"/>
              <w:bidi w:val="0"/>
              <w:rPr>
                <w:rFonts w:hint="default"/>
                <w:color w:val="auto"/>
                <w:highlight w:val="none"/>
              </w:rPr>
            </w:pPr>
            <w:r>
              <w:rPr>
                <w:rFonts w:hint="default"/>
                <w:color w:val="auto"/>
                <w:highlight w:val="none"/>
              </w:rPr>
              <w:t>对象</w:t>
            </w:r>
          </w:p>
        </w:tc>
        <w:tc>
          <w:tcPr>
            <w:tcW w:w="3949" w:type="dxa"/>
            <w:gridSpan w:val="2"/>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监测点</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监测因子</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restart"/>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废水</w:t>
            </w:r>
          </w:p>
        </w:tc>
        <w:tc>
          <w:tcPr>
            <w:tcW w:w="3949" w:type="dxa"/>
            <w:gridSpan w:val="2"/>
            <w:vMerge w:val="restart"/>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生产废水排放口</w:t>
            </w:r>
          </w:p>
        </w:tc>
        <w:tc>
          <w:tcPr>
            <w:tcW w:w="2937"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olor w:val="auto"/>
                <w:highlight w:val="none"/>
                <w:lang w:val="en-US" w:eastAsia="zh-CN"/>
              </w:rPr>
              <w:t>流量、化学需氧量、氨氮</w:t>
            </w:r>
          </w:p>
        </w:tc>
        <w:tc>
          <w:tcPr>
            <w:tcW w:w="1345"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olor w:val="auto"/>
                <w:highlight w:val="none"/>
                <w:lang w:val="en-US" w:eastAsia="zh-CN"/>
              </w:rPr>
              <w:t>自动监测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3949" w:type="dxa"/>
            <w:gridSpan w:val="2"/>
            <w:vMerge w:val="continue"/>
            <w:tcBorders>
              <w:tl2br w:val="nil"/>
              <w:tr2bl w:val="nil"/>
            </w:tcBorders>
            <w:tcMar>
              <w:left w:w="28" w:type="dxa"/>
              <w:right w:w="28" w:type="dxa"/>
            </w:tcMar>
            <w:vAlign w:val="center"/>
          </w:tcPr>
          <w:p>
            <w:pPr>
              <w:pStyle w:val="21"/>
              <w:bidi w:val="0"/>
              <w:rPr>
                <w:rFonts w:hint="eastAsia"/>
                <w:color w:val="auto"/>
                <w:highlight w:val="none"/>
                <w:lang w:val="en-US" w:eastAsia="zh-CN"/>
              </w:rPr>
            </w:pPr>
          </w:p>
        </w:tc>
        <w:tc>
          <w:tcPr>
            <w:tcW w:w="2937"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rPr>
            </w:pPr>
            <w:r>
              <w:rPr>
                <w:rFonts w:hint="default"/>
                <w:color w:val="auto"/>
                <w:highlight w:val="none"/>
              </w:rPr>
              <w:t>pH、</w:t>
            </w:r>
            <w:r>
              <w:rPr>
                <w:rFonts w:hint="eastAsia"/>
                <w:color w:val="auto"/>
                <w:highlight w:val="none"/>
                <w:lang w:val="en-US" w:eastAsia="zh-CN"/>
              </w:rPr>
              <w:t>总磷、总氮、</w:t>
            </w:r>
            <w:r>
              <w:rPr>
                <w:rFonts w:hint="default"/>
                <w:color w:val="auto"/>
                <w:highlight w:val="none"/>
                <w:lang w:val="en-US" w:eastAsia="zh-CN"/>
              </w:rPr>
              <w:t>BOD</w:t>
            </w:r>
            <w:r>
              <w:rPr>
                <w:rFonts w:hint="eastAsia"/>
                <w:color w:val="auto"/>
                <w:highlight w:val="none"/>
                <w:vertAlign w:val="subscript"/>
                <w:lang w:val="en-US" w:eastAsia="zh-CN"/>
              </w:rPr>
              <w:t>5</w:t>
            </w:r>
            <w:r>
              <w:rPr>
                <w:rFonts w:hint="default"/>
                <w:color w:val="auto"/>
                <w:highlight w:val="none"/>
              </w:rPr>
              <w:t>、SS、</w:t>
            </w:r>
            <w:r>
              <w:rPr>
                <w:rFonts w:hint="eastAsia"/>
                <w:color w:val="auto"/>
                <w:highlight w:val="none"/>
                <w:lang w:val="en-US" w:eastAsia="zh-CN"/>
              </w:rPr>
              <w:t>石油类</w:t>
            </w:r>
          </w:p>
        </w:tc>
        <w:tc>
          <w:tcPr>
            <w:tcW w:w="1345"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color w:val="auto"/>
                <w:highlight w:val="none"/>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restart"/>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废气</w:t>
            </w:r>
          </w:p>
        </w:tc>
        <w:tc>
          <w:tcPr>
            <w:tcW w:w="1110"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lang w:eastAsia="zh-CN"/>
              </w:rPr>
              <w:t>生产车间</w:t>
            </w:r>
          </w:p>
        </w:tc>
        <w:tc>
          <w:tcPr>
            <w:tcW w:w="2839"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排气筒</w:t>
            </w:r>
            <w:r>
              <w:rPr>
                <w:rFonts w:hint="eastAsia"/>
                <w:color w:val="auto"/>
                <w:highlight w:val="none"/>
                <w:lang w:val="en-US" w:eastAsia="zh-CN"/>
              </w:rPr>
              <w:t>DA007</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eastAsia"/>
                <w:color w:val="auto"/>
                <w:highlight w:val="none"/>
                <w:lang w:val="en-US" w:eastAsia="zh-CN"/>
              </w:rPr>
              <w:t>颗粒物、</w:t>
            </w:r>
            <w:r>
              <w:rPr>
                <w:rFonts w:hint="default"/>
                <w:color w:val="auto"/>
                <w:highlight w:val="none"/>
              </w:rPr>
              <w:t>NMHC</w:t>
            </w:r>
          </w:p>
        </w:tc>
        <w:tc>
          <w:tcPr>
            <w:tcW w:w="1345" w:type="dxa"/>
            <w:tcBorders>
              <w:tl2br w:val="nil"/>
              <w:tr2bl w:val="nil"/>
            </w:tcBorders>
            <w:tcMar>
              <w:left w:w="28" w:type="dxa"/>
              <w:right w:w="28" w:type="dxa"/>
            </w:tcMar>
            <w:vAlign w:val="center"/>
          </w:tcPr>
          <w:p>
            <w:pPr>
              <w:pStyle w:val="21"/>
              <w:bidi w:val="0"/>
              <w:rPr>
                <w:rFonts w:hint="eastAsia" w:eastAsia="宋体"/>
                <w:color w:val="auto"/>
                <w:highlight w:val="none"/>
                <w:lang w:eastAsia="zh-CN"/>
              </w:rPr>
            </w:pPr>
            <w:r>
              <w:rPr>
                <w:rFonts w:hint="default"/>
                <w:color w:val="auto"/>
                <w:highlight w:val="none"/>
              </w:rPr>
              <w:t>1次/</w:t>
            </w:r>
            <w:r>
              <w:rPr>
                <w:rFonts w:hint="eastAsia"/>
                <w:color w:val="auto"/>
                <w:highlight w:val="none"/>
                <w:lang w:val="en-US"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restart"/>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lang w:eastAsia="zh-CN"/>
              </w:rPr>
              <w:t>生产车间</w:t>
            </w:r>
          </w:p>
        </w:tc>
        <w:tc>
          <w:tcPr>
            <w:tcW w:w="2839" w:type="dxa"/>
            <w:vMerge w:val="restart"/>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排气筒</w:t>
            </w:r>
            <w:r>
              <w:rPr>
                <w:rFonts w:hint="eastAsia"/>
                <w:color w:val="auto"/>
                <w:highlight w:val="none"/>
                <w:lang w:val="en-US" w:eastAsia="zh-CN"/>
              </w:rPr>
              <w:t>DA008</w:t>
            </w:r>
          </w:p>
        </w:tc>
        <w:tc>
          <w:tcPr>
            <w:tcW w:w="2937"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NMHC</w:t>
            </w:r>
          </w:p>
        </w:tc>
        <w:tc>
          <w:tcPr>
            <w:tcW w:w="1345" w:type="dxa"/>
            <w:tcBorders>
              <w:tl2br w:val="nil"/>
              <w:tr2bl w:val="nil"/>
            </w:tcBorders>
            <w:tcMar>
              <w:left w:w="28" w:type="dxa"/>
              <w:right w:w="28" w:type="dxa"/>
            </w:tcMar>
            <w:vAlign w:val="center"/>
          </w:tcPr>
          <w:p>
            <w:pPr>
              <w:pStyle w:val="21"/>
              <w:bidi w:val="0"/>
              <w:rPr>
                <w:rFonts w:hint="eastAsia" w:eastAsia="宋体"/>
                <w:color w:val="auto"/>
                <w:highlight w:val="none"/>
                <w:lang w:val="en-US" w:eastAsia="zh-CN"/>
              </w:rPr>
            </w:pPr>
            <w:r>
              <w:rPr>
                <w:rFonts w:hint="default"/>
                <w:color w:val="auto"/>
                <w:highlight w:val="none"/>
              </w:rPr>
              <w:t>1次/</w:t>
            </w:r>
            <w:r>
              <w:rPr>
                <w:rFonts w:hint="eastAsia"/>
                <w:color w:val="auto"/>
                <w:highlight w:val="none"/>
                <w:lang w:val="en-US"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lang w:eastAsia="zh-CN"/>
              </w:rPr>
            </w:pPr>
          </w:p>
        </w:tc>
        <w:tc>
          <w:tcPr>
            <w:tcW w:w="2839"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937" w:type="dxa"/>
            <w:tcBorders>
              <w:tl2br w:val="nil"/>
              <w:tr2bl w:val="nil"/>
            </w:tcBorders>
            <w:tcMar>
              <w:left w:w="28" w:type="dxa"/>
              <w:right w:w="28" w:type="dxa"/>
            </w:tcMar>
            <w:vAlign w:val="center"/>
          </w:tcPr>
          <w:p>
            <w:pPr>
              <w:pStyle w:val="21"/>
              <w:bidi w:val="0"/>
              <w:rPr>
                <w:rFonts w:hint="eastAsia" w:eastAsia="宋体"/>
                <w:color w:val="auto"/>
                <w:highlight w:val="none"/>
                <w:lang w:val="en-US" w:eastAsia="zh-CN"/>
              </w:rPr>
            </w:pPr>
            <w:r>
              <w:rPr>
                <w:rFonts w:hint="eastAsia"/>
                <w:color w:val="auto"/>
                <w:highlight w:val="none"/>
                <w:lang w:val="en-US" w:eastAsia="zh-CN"/>
              </w:rPr>
              <w:t>乙醛</w:t>
            </w:r>
          </w:p>
        </w:tc>
        <w:tc>
          <w:tcPr>
            <w:tcW w:w="1345"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restart"/>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lang w:eastAsia="zh-CN"/>
              </w:rPr>
              <w:t>锅炉房</w:t>
            </w:r>
          </w:p>
        </w:tc>
        <w:tc>
          <w:tcPr>
            <w:tcW w:w="2839" w:type="dxa"/>
            <w:vMerge w:val="restart"/>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排气筒</w:t>
            </w:r>
            <w:r>
              <w:rPr>
                <w:rFonts w:hint="eastAsia"/>
                <w:color w:val="auto"/>
                <w:highlight w:val="none"/>
                <w:lang w:val="en-US" w:eastAsia="zh-CN"/>
              </w:rPr>
              <w:t>DA009</w:t>
            </w:r>
          </w:p>
        </w:tc>
        <w:tc>
          <w:tcPr>
            <w:tcW w:w="2937"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NO</w:t>
            </w:r>
            <w:r>
              <w:rPr>
                <w:rFonts w:hint="eastAsia"/>
                <w:i/>
                <w:iCs/>
                <w:color w:val="auto"/>
                <w:highlight w:val="none"/>
                <w:vertAlign w:val="subscript"/>
                <w:lang w:val="en-US" w:eastAsia="zh-CN"/>
              </w:rPr>
              <w:t>X</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1次/</w:t>
            </w:r>
            <w:r>
              <w:rPr>
                <w:rFonts w:hint="default"/>
                <w:color w:val="auto"/>
                <w:highlight w:val="none"/>
                <w:lang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lang w:eastAsia="zh-CN"/>
              </w:rPr>
            </w:pPr>
          </w:p>
        </w:tc>
        <w:tc>
          <w:tcPr>
            <w:tcW w:w="2839"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937" w:type="dxa"/>
            <w:tcBorders>
              <w:tl2br w:val="nil"/>
              <w:tr2bl w:val="nil"/>
            </w:tcBorders>
            <w:tcMar>
              <w:left w:w="28" w:type="dxa"/>
              <w:right w:w="28" w:type="dxa"/>
            </w:tcMar>
            <w:vAlign w:val="center"/>
          </w:tcPr>
          <w:p>
            <w:pPr>
              <w:pStyle w:val="21"/>
              <w:bidi w:val="0"/>
              <w:rPr>
                <w:rFonts w:hint="eastAsia" w:eastAsia="宋体"/>
                <w:color w:val="auto"/>
                <w:highlight w:val="none"/>
                <w:lang w:eastAsia="zh-CN"/>
              </w:rPr>
            </w:pPr>
            <w:r>
              <w:rPr>
                <w:rFonts w:hint="default"/>
                <w:color w:val="auto"/>
                <w:highlight w:val="none"/>
              </w:rPr>
              <w:t>SO</w:t>
            </w:r>
            <w:r>
              <w:rPr>
                <w:rFonts w:hint="default"/>
                <w:color w:val="auto"/>
                <w:highlight w:val="none"/>
                <w:vertAlign w:val="subscript"/>
              </w:rPr>
              <w:t>2</w:t>
            </w:r>
            <w:r>
              <w:rPr>
                <w:rFonts w:hint="default"/>
                <w:color w:val="auto"/>
                <w:highlight w:val="none"/>
              </w:rPr>
              <w:t>、颗粒物</w:t>
            </w:r>
            <w:r>
              <w:rPr>
                <w:rFonts w:hint="eastAsia"/>
                <w:color w:val="auto"/>
                <w:highlight w:val="none"/>
                <w:lang w:eastAsia="zh-CN"/>
              </w:rPr>
              <w:t>、</w:t>
            </w:r>
            <w:r>
              <w:rPr>
                <w:rFonts w:hint="default" w:ascii="Times New Roman" w:hAnsi="Times New Roman" w:cs="Times New Roman"/>
                <w:color w:val="auto"/>
                <w:sz w:val="21"/>
                <w:szCs w:val="21"/>
                <w:lang w:bidi="ar"/>
              </w:rPr>
              <w:t>林格曼黑度</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w:t>
            </w:r>
            <w:r>
              <w:rPr>
                <w:rFonts w:hint="default"/>
                <w:color w:val="auto"/>
                <w:highlight w:val="none"/>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危废间废气</w:t>
            </w:r>
          </w:p>
        </w:tc>
        <w:tc>
          <w:tcPr>
            <w:tcW w:w="2839" w:type="dxa"/>
            <w:tcBorders>
              <w:tl2br w:val="nil"/>
              <w:tr2bl w:val="nil"/>
            </w:tcBorders>
            <w:tcMar>
              <w:left w:w="28" w:type="dxa"/>
              <w:right w:w="28" w:type="dxa"/>
            </w:tcMar>
            <w:vAlign w:val="center"/>
          </w:tcPr>
          <w:p>
            <w:pPr>
              <w:pStyle w:val="21"/>
              <w:bidi w:val="0"/>
              <w:rPr>
                <w:rFonts w:hint="default"/>
                <w:color w:val="auto"/>
                <w:highlight w:val="none"/>
                <w:lang w:val="en-US"/>
              </w:rPr>
            </w:pPr>
            <w:r>
              <w:rPr>
                <w:rFonts w:hint="default"/>
                <w:color w:val="auto"/>
                <w:highlight w:val="none"/>
              </w:rPr>
              <w:t>排气筒</w:t>
            </w:r>
            <w:r>
              <w:rPr>
                <w:rFonts w:hint="eastAsia"/>
                <w:color w:val="auto"/>
                <w:highlight w:val="none"/>
                <w:lang w:val="en-US" w:eastAsia="zh-CN"/>
              </w:rPr>
              <w:t>DA010</w:t>
            </w:r>
          </w:p>
        </w:tc>
        <w:tc>
          <w:tcPr>
            <w:tcW w:w="2937"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非甲烷总烃</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w:t>
            </w:r>
            <w:r>
              <w:rPr>
                <w:rFonts w:hint="default"/>
                <w:color w:val="auto"/>
                <w:highlight w:val="none"/>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restart"/>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无组织</w:t>
            </w:r>
          </w:p>
        </w:tc>
        <w:tc>
          <w:tcPr>
            <w:tcW w:w="2839" w:type="dxa"/>
            <w:vMerge w:val="restart"/>
            <w:tcBorders>
              <w:tl2br w:val="nil"/>
              <w:tr2bl w:val="nil"/>
            </w:tcBorders>
            <w:tcMar>
              <w:left w:w="28" w:type="dxa"/>
              <w:right w:w="28" w:type="dxa"/>
            </w:tcMar>
            <w:vAlign w:val="center"/>
          </w:tcPr>
          <w:p>
            <w:pPr>
              <w:pStyle w:val="21"/>
              <w:bidi w:val="0"/>
              <w:rPr>
                <w:rFonts w:hint="eastAsia" w:eastAsia="宋体"/>
                <w:color w:val="auto"/>
                <w:highlight w:val="none"/>
                <w:lang w:eastAsia="zh-CN"/>
              </w:rPr>
            </w:pPr>
            <w:r>
              <w:rPr>
                <w:rFonts w:hint="default"/>
                <w:color w:val="auto"/>
                <w:highlight w:val="none"/>
              </w:rPr>
              <w:t>厂界</w:t>
            </w:r>
            <w:r>
              <w:rPr>
                <w:rFonts w:hint="eastAsia"/>
                <w:color w:val="auto"/>
                <w:highlight w:val="none"/>
                <w:lang w:eastAsia="zh-CN"/>
              </w:rPr>
              <w:t>（</w:t>
            </w:r>
            <w:r>
              <w:rPr>
                <w:rFonts w:hint="eastAsia"/>
                <w:color w:val="auto"/>
                <w:highlight w:val="none"/>
                <w:lang w:val="en-US" w:eastAsia="zh-CN"/>
              </w:rPr>
              <w:t>上风向1个，下风向3个</w:t>
            </w:r>
            <w:r>
              <w:rPr>
                <w:rFonts w:hint="eastAsia"/>
                <w:color w:val="auto"/>
                <w:highlight w:val="none"/>
                <w:lang w:eastAsia="zh-CN"/>
              </w:rPr>
              <w:t>）</w:t>
            </w:r>
          </w:p>
        </w:tc>
        <w:tc>
          <w:tcPr>
            <w:tcW w:w="2937"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NH</w:t>
            </w:r>
            <w:r>
              <w:rPr>
                <w:rFonts w:hint="default"/>
                <w:color w:val="auto"/>
                <w:highlight w:val="none"/>
                <w:vertAlign w:val="subscript"/>
              </w:rPr>
              <w:t>3</w:t>
            </w:r>
            <w:r>
              <w:rPr>
                <w:rFonts w:hint="default"/>
                <w:color w:val="auto"/>
                <w:highlight w:val="none"/>
              </w:rPr>
              <w:t>、</w:t>
            </w:r>
            <w:r>
              <w:rPr>
                <w:rFonts w:hint="default"/>
                <w:color w:val="auto"/>
                <w:highlight w:val="none"/>
                <w:lang w:val="en-US" w:eastAsia="zh-CN"/>
              </w:rPr>
              <w:t>H</w:t>
            </w:r>
            <w:r>
              <w:rPr>
                <w:rFonts w:hint="default"/>
                <w:color w:val="auto"/>
                <w:highlight w:val="none"/>
                <w:vertAlign w:val="subscript"/>
                <w:lang w:val="en-US" w:eastAsia="zh-CN"/>
              </w:rPr>
              <w:t>2</w:t>
            </w:r>
            <w:r>
              <w:rPr>
                <w:rFonts w:hint="default"/>
                <w:color w:val="auto"/>
                <w:highlight w:val="none"/>
                <w:lang w:val="en-US" w:eastAsia="zh-CN"/>
              </w:rPr>
              <w:t>S</w:t>
            </w:r>
            <w:r>
              <w:rPr>
                <w:rFonts w:hint="default"/>
                <w:color w:val="auto"/>
                <w:highlight w:val="none"/>
              </w:rPr>
              <w:t>、</w:t>
            </w:r>
            <w:r>
              <w:rPr>
                <w:rFonts w:hint="eastAsia"/>
                <w:color w:val="auto"/>
                <w:highlight w:val="none"/>
                <w:lang w:val="en-US" w:eastAsia="zh-CN"/>
              </w:rPr>
              <w:t>臭气浓度</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1次/</w:t>
            </w:r>
            <w:r>
              <w:rPr>
                <w:rFonts w:hint="default"/>
                <w:color w:val="auto"/>
                <w:highlight w:val="none"/>
                <w:lang w:eastAsia="zh-CN"/>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839"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eastAsia"/>
                <w:color w:val="auto"/>
                <w:highlight w:val="none"/>
                <w:lang w:val="en-US" w:eastAsia="zh-CN"/>
              </w:rPr>
              <w:t>颗粒物、</w:t>
            </w:r>
            <w:r>
              <w:rPr>
                <w:rFonts w:hint="default"/>
                <w:color w:val="auto"/>
                <w:highlight w:val="none"/>
              </w:rPr>
              <w:t>NMHC</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w:t>
            </w:r>
            <w:r>
              <w:rPr>
                <w:rFonts w:hint="default"/>
                <w:color w:val="auto"/>
                <w:highlight w:val="none"/>
                <w:lang w:eastAsia="zh-CN"/>
              </w:rPr>
              <w:t>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839"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厂区内</w:t>
            </w:r>
            <w:r>
              <w:rPr>
                <w:rFonts w:hint="eastAsia"/>
                <w:color w:val="auto"/>
                <w:highlight w:val="none"/>
                <w:lang w:val="en-US" w:eastAsia="zh-CN"/>
              </w:rPr>
              <w:t>厂房门窗或通风口。若厂房不完整（如有顶无围墙），则在操作工位下风向1 m。不少于3个点</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非甲烷总烃</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1次/</w:t>
            </w:r>
            <w:r>
              <w:rPr>
                <w:rFonts w:hint="default"/>
                <w:color w:val="auto"/>
                <w:highlight w:val="none"/>
                <w:lang w:eastAsia="zh-CN"/>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噪声</w:t>
            </w:r>
          </w:p>
        </w:tc>
        <w:tc>
          <w:tcPr>
            <w:tcW w:w="3949" w:type="dxa"/>
            <w:gridSpan w:val="2"/>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厂界外1米</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等效连续A声级</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1次/</w:t>
            </w:r>
            <w:r>
              <w:rPr>
                <w:rFonts w:hint="default"/>
                <w:color w:val="auto"/>
                <w:highlight w:val="none"/>
                <w:lang w:eastAsia="zh-CN"/>
              </w:rPr>
              <w:t>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地下水</w:t>
            </w:r>
          </w:p>
        </w:tc>
        <w:tc>
          <w:tcPr>
            <w:tcW w:w="3949" w:type="dxa"/>
            <w:gridSpan w:val="2"/>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厂内地下水监控井</w:t>
            </w:r>
            <w:r>
              <w:rPr>
                <w:rFonts w:hint="eastAsia"/>
                <w:color w:val="auto"/>
                <w:highlight w:val="none"/>
                <w:lang w:val="en-US" w:eastAsia="zh-CN"/>
              </w:rPr>
              <w:t>1</w:t>
            </w:r>
            <w:r>
              <w:rPr>
                <w:rFonts w:hint="default"/>
                <w:color w:val="auto"/>
                <w:highlight w:val="none"/>
              </w:rPr>
              <w:t>个</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pH、耗氧量、氨氮、砷、汞、镉、铬（六价）、</w:t>
            </w:r>
            <w:r>
              <w:rPr>
                <w:rFonts w:hint="default"/>
                <w:color w:val="auto"/>
                <w:highlight w:val="none"/>
                <w:lang w:val="en-US" w:eastAsia="zh-CN"/>
              </w:rPr>
              <w:t>铅、锰、铁</w:t>
            </w:r>
            <w:r>
              <w:rPr>
                <w:rFonts w:hint="default"/>
                <w:color w:val="auto"/>
                <w:highlight w:val="none"/>
              </w:rPr>
              <w:t>、硫酸盐、氯化物、</w:t>
            </w:r>
            <w:r>
              <w:rPr>
                <w:rFonts w:hint="default"/>
                <w:color w:val="auto"/>
                <w:highlight w:val="none"/>
                <w:lang w:val="en-US" w:eastAsia="zh-CN"/>
              </w:rPr>
              <w:t>氰化物、菌落总数、</w:t>
            </w:r>
            <w:r>
              <w:rPr>
                <w:rFonts w:hint="default"/>
                <w:color w:val="auto"/>
                <w:highlight w:val="none"/>
              </w:rPr>
              <w:t>硝酸盐、亚硝酸盐、总硬度、挥发性酚、总大肠菌群、</w:t>
            </w:r>
            <w:r>
              <w:rPr>
                <w:rFonts w:hint="default"/>
                <w:color w:val="auto"/>
                <w:highlight w:val="none"/>
                <w:lang w:val="en-US" w:eastAsia="zh-CN"/>
              </w:rPr>
              <w:t>溶解性总固体等</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45" w:type="dxa"/>
            <w:gridSpan w:val="3"/>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雨水排放口</w:t>
            </w:r>
          </w:p>
        </w:tc>
        <w:tc>
          <w:tcPr>
            <w:tcW w:w="2937"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pH、化学需氧量、氨氮</w:t>
            </w:r>
          </w:p>
        </w:tc>
        <w:tc>
          <w:tcPr>
            <w:tcW w:w="1345"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月</w:t>
            </w:r>
            <w:r>
              <w:rPr>
                <w:rFonts w:hint="eastAsia"/>
                <w:color w:val="auto"/>
                <w:highlight w:val="none"/>
                <w:vertAlign w:val="superscript"/>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27" w:type="dxa"/>
            <w:gridSpan w:val="5"/>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注：雨水排放口有流动水排放时按月监测。若监测一年无异常情况，可放宽至每季度开展一次监测。</w:t>
            </w:r>
          </w:p>
        </w:tc>
      </w:tr>
      <w:bookmarkEnd w:id="740"/>
    </w:tbl>
    <w:p>
      <w:pPr>
        <w:pStyle w:val="24"/>
        <w:numPr>
          <w:ilvl w:val="6"/>
          <w:numId w:val="0"/>
        </w:numPr>
        <w:tabs>
          <w:tab w:val="left" w:pos="420"/>
        </w:tabs>
        <w:bidi w:val="0"/>
        <w:ind w:leftChars="0"/>
        <w:jc w:val="both"/>
        <w:rPr>
          <w:rFonts w:hint="default" w:ascii="Times New Roman" w:hAnsi="Times New Roman" w:eastAsia="宋体" w:cs="Times New Roman"/>
          <w:b/>
          <w:bCs/>
          <w:color w:val="auto"/>
          <w:sz w:val="24"/>
          <w:szCs w:val="24"/>
          <w:highlight w:val="none"/>
          <w:u w:val="none" w:color="auto"/>
        </w:rPr>
      </w:pPr>
    </w:p>
    <w:p>
      <w:pPr>
        <w:rPr>
          <w:rFonts w:hint="default"/>
          <w:color w:val="auto"/>
        </w:rPr>
      </w:pPr>
    </w:p>
    <w:p>
      <w:pPr>
        <w:pStyle w:val="24"/>
        <w:bidi w:val="0"/>
        <w:rPr>
          <w:rFonts w:hint="default"/>
          <w:color w:val="auto"/>
        </w:rPr>
      </w:pPr>
      <w:r>
        <w:rPr>
          <w:rFonts w:hint="default"/>
          <w:color w:val="auto"/>
        </w:rPr>
        <w:t>环境质量现状监测计划表</w:t>
      </w:r>
    </w:p>
    <w:tbl>
      <w:tblPr>
        <w:tblStyle w:val="17"/>
        <w:tblW w:w="924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1240"/>
        <w:gridCol w:w="2205"/>
        <w:gridCol w:w="4565"/>
        <w:gridCol w:w="123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49" w:hRule="atLeast"/>
          <w:tblHeader/>
          <w:jc w:val="center"/>
        </w:trPr>
        <w:tc>
          <w:tcPr>
            <w:tcW w:w="1240"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监测要素</w:t>
            </w:r>
          </w:p>
        </w:tc>
        <w:tc>
          <w:tcPr>
            <w:tcW w:w="2205" w:type="dxa"/>
            <w:tcBorders>
              <w:left w:val="single" w:color="auto" w:sz="4" w:space="0"/>
            </w:tcBorders>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4565"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231"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50" w:hRule="atLeast"/>
          <w:jc w:val="center"/>
        </w:trPr>
        <w:tc>
          <w:tcPr>
            <w:tcW w:w="1240"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2205" w:type="dxa"/>
            <w:tcBorders>
              <w:left w:val="single" w:color="auto" w:sz="4" w:space="0"/>
            </w:tcBorders>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一层村</w:t>
            </w:r>
          </w:p>
        </w:tc>
        <w:tc>
          <w:tcPr>
            <w:tcW w:w="4565" w:type="dxa"/>
            <w:tcMar>
              <w:left w:w="85" w:type="dxa"/>
              <w:right w:w="85" w:type="dxa"/>
            </w:tcMar>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TSP</w:t>
            </w:r>
            <w:r>
              <w:rPr>
                <w:rFonts w:hint="default" w:ascii="Times New Roman" w:hAnsi="Times New Roman" w:cs="Times New Roman"/>
                <w:color w:val="auto"/>
                <w:highlight w:val="none"/>
              </w:rPr>
              <w:t>、NMHC、</w:t>
            </w:r>
            <w:r>
              <w:rPr>
                <w:rFonts w:hint="default" w:ascii="Times New Roman" w:hAnsi="Times New Roman" w:cs="Times New Roman"/>
                <w:color w:val="auto"/>
                <w:highlight w:val="none"/>
                <w:lang w:eastAsia="zh-CN"/>
              </w:rPr>
              <w:t>NH</w:t>
            </w:r>
            <w:r>
              <w:rPr>
                <w:rFonts w:hint="default" w:ascii="Times New Roman" w:hAnsi="Times New Roman" w:cs="Times New Roman"/>
                <w:color w:val="auto"/>
                <w:highlight w:val="none"/>
                <w:vertAlign w:val="subscript"/>
                <w:lang w:eastAsia="zh-CN"/>
              </w:rPr>
              <w:t>3</w:t>
            </w:r>
            <w:r>
              <w:rPr>
                <w:rFonts w:hint="eastAsia" w:cs="Times New Roman"/>
                <w:color w:val="auto"/>
                <w:highlight w:val="none"/>
                <w:lang w:val="en-US" w:eastAsia="zh-CN"/>
              </w:rPr>
              <w:t>、H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w:t>
            </w:r>
          </w:p>
        </w:tc>
        <w:tc>
          <w:tcPr>
            <w:tcW w:w="1231"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50" w:hRule="atLeast"/>
          <w:jc w:val="center"/>
        </w:trPr>
        <w:tc>
          <w:tcPr>
            <w:tcW w:w="9241" w:type="dxa"/>
            <w:gridSpan w:val="4"/>
            <w:tcMar>
              <w:left w:w="85" w:type="dxa"/>
              <w:right w:w="85" w:type="dxa"/>
            </w:tcMar>
            <w:vAlign w:val="center"/>
          </w:tcPr>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备注：①监测点位按照《环境影响评价技术导则 大气环境》（HJ2.2-2018）9.3.2环境质量监测点位一般在项目厂界外或大气环境防护距离(如有)外侧设置1-2个监测点。本项目选择在</w:t>
            </w:r>
            <w:r>
              <w:rPr>
                <w:rFonts w:hint="eastAsia" w:cs="Times New Roman"/>
                <w:color w:val="auto"/>
                <w:highlight w:val="none"/>
                <w:lang w:val="en-US" w:eastAsia="zh-CN"/>
              </w:rPr>
              <w:t>距厂界最近的敏感目标一层村</w:t>
            </w:r>
            <w:r>
              <w:rPr>
                <w:rFonts w:hint="default" w:ascii="Times New Roman" w:hAnsi="Times New Roman" w:cs="Times New Roman"/>
                <w:color w:val="auto"/>
                <w:highlight w:val="none"/>
              </w:rPr>
              <w:t>设置1个监测点。</w:t>
            </w:r>
          </w:p>
          <w:p>
            <w:pPr>
              <w:pStyle w:val="21"/>
              <w:keepNext w:val="0"/>
              <w:keepLines w:val="0"/>
              <w:pageBreakBefore w:val="0"/>
              <w:widowControl/>
              <w:kinsoku/>
              <w:wordWrap/>
              <w:overflowPunct/>
              <w:topLinePunct w:val="0"/>
              <w:autoSpaceDE/>
              <w:autoSpaceDN/>
              <w:bidi w:val="0"/>
              <w:adjustRightInd/>
              <w:snapToGrid/>
              <w:ind w:firstLine="630" w:firstLineChars="30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②监测因子按照《环境影响评价技术导则 大气环境》（HJ2.2-2018）9.3.1筛选项目排放污染物Pi≥1.0%的其他污染物作为环境质量监测因子。</w:t>
            </w:r>
            <w:r>
              <w:rPr>
                <w:rFonts w:hint="eastAsia" w:cs="Times New Roman"/>
                <w:color w:val="auto"/>
                <w:highlight w:val="none"/>
                <w:lang w:val="en-US" w:eastAsia="zh-CN"/>
              </w:rPr>
              <w:t>Pi（H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S）虽然＜1.0%，但根据本项目生产工艺及产污情况，本次评价建议将H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S也作为环境空气现状监测因子。</w:t>
            </w:r>
          </w:p>
        </w:tc>
      </w:tr>
    </w:tbl>
    <w:p>
      <w:pPr>
        <w:bidi w:val="0"/>
        <w:rPr>
          <w:rFonts w:hint="default"/>
          <w:color w:val="auto"/>
          <w:highlight w:val="none"/>
        </w:rPr>
      </w:pPr>
      <w:r>
        <w:rPr>
          <w:rFonts w:hint="default"/>
          <w:color w:val="auto"/>
          <w:highlight w:val="none"/>
        </w:rPr>
        <w:t>每次监测都应有完整的记录，监测数据应及时整理、统计，按时向管理部门、调度部门报告，做好监测资料的归档工作。</w:t>
      </w:r>
    </w:p>
    <w:p>
      <w:pPr>
        <w:bidi w:val="0"/>
        <w:rPr>
          <w:rFonts w:hint="default"/>
          <w:color w:val="auto"/>
          <w:highlight w:val="none"/>
          <w:lang w:val="en-US" w:eastAsia="zh-CN"/>
        </w:rPr>
      </w:pPr>
      <w:r>
        <w:rPr>
          <w:rFonts w:hint="default"/>
          <w:color w:val="auto"/>
          <w:highlight w:val="none"/>
          <w:lang w:val="en-US" w:eastAsia="zh-CN"/>
        </w:rPr>
        <w:t>（2）事故监测计划</w:t>
      </w:r>
    </w:p>
    <w:p>
      <w:pPr>
        <w:bidi w:val="0"/>
        <w:rPr>
          <w:rFonts w:hint="default"/>
          <w:color w:val="auto"/>
          <w:highlight w:val="none"/>
          <w:lang w:val="en-US" w:eastAsia="zh-CN"/>
        </w:rPr>
      </w:pPr>
      <w:r>
        <w:rPr>
          <w:rFonts w:hint="default"/>
          <w:color w:val="auto"/>
          <w:highlight w:val="none"/>
          <w:lang w:val="en-US" w:eastAsia="zh-CN"/>
        </w:rPr>
        <w:t>在项目运营期间，如发现环境保护处理设施发生故障或运行不正常，应采取紧急处理措施，并及时向上级报告、进行取样监测，分析污染物排放量及排放浓度，对事故产生的原因、事故造成的后果和损失等进行统计，必要时提出停产措施，直到环境保护设施正常运转，坚决杜绝事故性排放。</w:t>
      </w:r>
    </w:p>
    <w:p>
      <w:pPr>
        <w:pStyle w:val="3"/>
        <w:numPr>
          <w:ilvl w:val="1"/>
          <w:numId w:val="11"/>
        </w:numPr>
        <w:bidi w:val="0"/>
        <w:rPr>
          <w:rFonts w:hint="default"/>
          <w:color w:val="auto"/>
          <w:highlight w:val="none"/>
          <w:lang w:val="en-US" w:eastAsia="zh-CN"/>
        </w:rPr>
      </w:pPr>
      <w:bookmarkStart w:id="683" w:name="_Toc8840"/>
      <w:bookmarkStart w:id="684" w:name="_Toc21691"/>
      <w:bookmarkStart w:id="685" w:name="_Toc24770"/>
      <w:bookmarkStart w:id="686" w:name="_Toc15946"/>
      <w:r>
        <w:rPr>
          <w:rFonts w:hint="default"/>
          <w:color w:val="auto"/>
          <w:highlight w:val="none"/>
          <w:lang w:val="en-US" w:eastAsia="zh-CN"/>
        </w:rPr>
        <w:t>总量控制</w:t>
      </w:r>
      <w:bookmarkEnd w:id="683"/>
      <w:bookmarkEnd w:id="684"/>
      <w:bookmarkEnd w:id="685"/>
      <w:bookmarkEnd w:id="686"/>
    </w:p>
    <w:p>
      <w:pPr>
        <w:pStyle w:val="4"/>
        <w:numPr>
          <w:ilvl w:val="2"/>
          <w:numId w:val="11"/>
        </w:numPr>
        <w:tabs>
          <w:tab w:val="left" w:pos="420"/>
        </w:tabs>
        <w:bidi w:val="0"/>
        <w:rPr>
          <w:rFonts w:hint="default"/>
          <w:color w:val="auto"/>
          <w:highlight w:val="none"/>
          <w:lang w:val="en-US" w:eastAsia="zh-CN"/>
        </w:rPr>
      </w:pPr>
      <w:r>
        <w:rPr>
          <w:rFonts w:hint="default"/>
          <w:color w:val="auto"/>
          <w:highlight w:val="none"/>
          <w:lang w:val="en-US" w:eastAsia="zh-CN"/>
        </w:rPr>
        <w:t>总量控制方案</w:t>
      </w:r>
    </w:p>
    <w:p>
      <w:pPr>
        <w:bidi w:val="0"/>
        <w:rPr>
          <w:rFonts w:hint="default"/>
          <w:color w:val="auto"/>
          <w:highlight w:val="none"/>
        </w:rPr>
      </w:pPr>
      <w:r>
        <w:rPr>
          <w:rFonts w:hint="default"/>
          <w:color w:val="auto"/>
          <w:highlight w:val="none"/>
        </w:rPr>
        <w:t>根据国家“十三五”对污染物总量控制的要求，继续实施全国二氧化硫、氮氧化物、化学需氧量、氨氮排放总量控制。根据本项目所处地区及污染物排放特点，确定本项目的总量控制项目为：废水污染物：COD、NH</w:t>
      </w:r>
      <w:r>
        <w:rPr>
          <w:rFonts w:hint="default"/>
          <w:color w:val="auto"/>
          <w:highlight w:val="none"/>
          <w:vertAlign w:val="subscript"/>
        </w:rPr>
        <w:t>3</w:t>
      </w:r>
      <w:r>
        <w:rPr>
          <w:rFonts w:hint="default"/>
          <w:color w:val="auto"/>
          <w:highlight w:val="none"/>
        </w:rPr>
        <w:t>-N；大气污染物：SO</w:t>
      </w:r>
      <w:r>
        <w:rPr>
          <w:rFonts w:hint="default"/>
          <w:color w:val="auto"/>
          <w:highlight w:val="none"/>
          <w:vertAlign w:val="subscript"/>
        </w:rPr>
        <w:t>2</w:t>
      </w:r>
      <w:r>
        <w:rPr>
          <w:rFonts w:hint="default"/>
          <w:color w:val="auto"/>
          <w:highlight w:val="none"/>
        </w:rPr>
        <w:t>、NO</w:t>
      </w:r>
      <w:r>
        <w:rPr>
          <w:rFonts w:hint="default"/>
          <w:color w:val="auto"/>
          <w:highlight w:val="none"/>
          <w:vertAlign w:val="subscript"/>
        </w:rPr>
        <w:t>X</w:t>
      </w:r>
      <w:r>
        <w:rPr>
          <w:rFonts w:hint="default"/>
          <w:color w:val="auto"/>
          <w:highlight w:val="none"/>
        </w:rPr>
        <w:t>。</w:t>
      </w:r>
    </w:p>
    <w:p>
      <w:pPr>
        <w:bidi w:val="0"/>
        <w:rPr>
          <w:rFonts w:hint="default"/>
          <w:color w:val="auto"/>
          <w:highlight w:val="none"/>
        </w:rPr>
      </w:pPr>
      <w:r>
        <w:rPr>
          <w:rFonts w:hint="default"/>
          <w:color w:val="auto"/>
          <w:highlight w:val="none"/>
        </w:rPr>
        <w:t>根据工程分析，本项目污染物排放总量见</w:t>
      </w:r>
      <w:r>
        <w:rPr>
          <w:rFonts w:hint="default"/>
          <w:color w:val="auto"/>
          <w:highlight w:val="none"/>
          <w:lang w:val="en-US"/>
        </w:rPr>
        <w:fldChar w:fldCharType="begin"/>
      </w:r>
      <w:r>
        <w:rPr>
          <w:rFonts w:hint="default"/>
          <w:color w:val="auto"/>
          <w:highlight w:val="none"/>
          <w:lang w:val="en-US"/>
        </w:rPr>
        <w:instrText xml:space="preserve"> REF _Ref26904 \r \h </w:instrText>
      </w:r>
      <w:r>
        <w:rPr>
          <w:rFonts w:hint="default"/>
          <w:color w:val="auto"/>
          <w:highlight w:val="none"/>
          <w:lang w:val="en-US"/>
        </w:rPr>
        <w:fldChar w:fldCharType="separate"/>
      </w:r>
      <w:r>
        <w:rPr>
          <w:rFonts w:hint="default"/>
          <w:color w:val="auto"/>
          <w:highlight w:val="none"/>
          <w:lang w:val="en-US"/>
        </w:rPr>
        <w:t>表8.4-1</w:t>
      </w:r>
      <w:r>
        <w:rPr>
          <w:rFonts w:hint="default"/>
          <w:color w:val="auto"/>
          <w:highlight w:val="none"/>
          <w:lang w:val="en-US"/>
        </w:rPr>
        <w:fldChar w:fldCharType="end"/>
      </w:r>
      <w:r>
        <w:rPr>
          <w:rFonts w:hint="default"/>
          <w:color w:val="auto"/>
          <w:highlight w:val="none"/>
        </w:rPr>
        <w:t>。</w:t>
      </w:r>
    </w:p>
    <w:p>
      <w:pPr>
        <w:pStyle w:val="24"/>
        <w:numPr>
          <w:ilvl w:val="6"/>
          <w:numId w:val="11"/>
        </w:numPr>
        <w:tabs>
          <w:tab w:val="left" w:pos="420"/>
        </w:tabs>
        <w:bidi w:val="0"/>
        <w:rPr>
          <w:rFonts w:hint="default"/>
          <w:color w:val="auto"/>
          <w:highlight w:val="none"/>
        </w:rPr>
      </w:pPr>
      <w:bookmarkStart w:id="687" w:name="_Ref26904"/>
      <w:r>
        <w:rPr>
          <w:rFonts w:hint="default"/>
          <w:color w:val="auto"/>
          <w:highlight w:val="none"/>
        </w:rPr>
        <w:t>总量控制指标值</w:t>
      </w:r>
      <w:bookmarkEnd w:id="687"/>
    </w:p>
    <w:tbl>
      <w:tblPr>
        <w:tblStyle w:val="17"/>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2"/>
        <w:gridCol w:w="1849"/>
        <w:gridCol w:w="1635"/>
        <w:gridCol w:w="1805"/>
        <w:gridCol w:w="1330"/>
        <w:gridCol w:w="1110"/>
        <w:gridCol w:w="9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Merge w:val="restart"/>
            <w:vAlign w:val="center"/>
          </w:tcPr>
          <w:p>
            <w:pPr>
              <w:pStyle w:val="21"/>
              <w:bidi w:val="0"/>
              <w:rPr>
                <w:rFonts w:hint="default"/>
                <w:color w:val="auto"/>
                <w:highlight w:val="none"/>
              </w:rPr>
            </w:pPr>
            <w:r>
              <w:rPr>
                <w:rFonts w:hint="default"/>
                <w:color w:val="auto"/>
                <w:highlight w:val="none"/>
              </w:rPr>
              <w:t>序号</w:t>
            </w:r>
          </w:p>
        </w:tc>
        <w:tc>
          <w:tcPr>
            <w:tcW w:w="1849" w:type="dxa"/>
            <w:vMerge w:val="restart"/>
            <w:vAlign w:val="center"/>
          </w:tcPr>
          <w:p>
            <w:pPr>
              <w:pStyle w:val="21"/>
              <w:bidi w:val="0"/>
              <w:rPr>
                <w:rFonts w:hint="default"/>
                <w:color w:val="auto"/>
                <w:highlight w:val="none"/>
              </w:rPr>
            </w:pPr>
            <w:r>
              <w:rPr>
                <w:rFonts w:hint="default"/>
                <w:color w:val="auto"/>
                <w:highlight w:val="none"/>
              </w:rPr>
              <w:t>项目</w:t>
            </w:r>
          </w:p>
        </w:tc>
        <w:tc>
          <w:tcPr>
            <w:tcW w:w="4770" w:type="dxa"/>
            <w:gridSpan w:val="3"/>
            <w:vAlign w:val="center"/>
          </w:tcPr>
          <w:p>
            <w:pPr>
              <w:pStyle w:val="21"/>
              <w:bidi w:val="0"/>
              <w:rPr>
                <w:rFonts w:hint="default"/>
                <w:color w:val="auto"/>
                <w:highlight w:val="none"/>
              </w:rPr>
            </w:pPr>
            <w:r>
              <w:rPr>
                <w:rFonts w:hint="default"/>
                <w:color w:val="auto"/>
                <w:highlight w:val="none"/>
              </w:rPr>
              <w:t>总量控制指标（t/a）</w:t>
            </w:r>
          </w:p>
        </w:tc>
        <w:tc>
          <w:tcPr>
            <w:tcW w:w="1110"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olor w:val="auto"/>
                <w:highlight w:val="none"/>
                <w:lang w:val="en-US" w:eastAsia="zh-CN"/>
              </w:rPr>
              <w:t>已获得总量</w:t>
            </w:r>
          </w:p>
        </w:tc>
        <w:tc>
          <w:tcPr>
            <w:tcW w:w="957" w:type="dxa"/>
            <w:vMerge w:val="restart"/>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olor w:val="auto"/>
                <w:highlight w:val="none"/>
                <w:lang w:val="en-US" w:eastAsia="zh-CN"/>
              </w:rPr>
              <w:t>应购买总量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Merge w:val="continue"/>
            <w:vAlign w:val="center"/>
          </w:tcPr>
          <w:p>
            <w:pPr>
              <w:pStyle w:val="21"/>
              <w:bidi w:val="0"/>
              <w:rPr>
                <w:rFonts w:hint="default"/>
                <w:color w:val="auto"/>
                <w:highlight w:val="none"/>
              </w:rPr>
            </w:pPr>
          </w:p>
        </w:tc>
        <w:tc>
          <w:tcPr>
            <w:tcW w:w="1849" w:type="dxa"/>
            <w:vMerge w:val="continue"/>
            <w:vAlign w:val="center"/>
          </w:tcPr>
          <w:p>
            <w:pPr>
              <w:pStyle w:val="21"/>
              <w:bidi w:val="0"/>
              <w:rPr>
                <w:rFonts w:hint="default"/>
                <w:color w:val="auto"/>
                <w:highlight w:val="none"/>
              </w:rPr>
            </w:pPr>
          </w:p>
        </w:tc>
        <w:tc>
          <w:tcPr>
            <w:tcW w:w="1635" w:type="dxa"/>
            <w:vAlign w:val="center"/>
          </w:tcPr>
          <w:p>
            <w:pPr>
              <w:pStyle w:val="21"/>
              <w:bidi w:val="0"/>
              <w:rPr>
                <w:rFonts w:hint="default" w:eastAsia="宋体"/>
                <w:color w:val="auto"/>
                <w:highlight w:val="none"/>
                <w:lang w:val="en-US" w:eastAsia="zh-CN"/>
              </w:rPr>
            </w:pPr>
            <w:r>
              <w:rPr>
                <w:rFonts w:hint="default"/>
                <w:color w:val="auto"/>
                <w:highlight w:val="none"/>
              </w:rPr>
              <w:t>现有</w:t>
            </w:r>
            <w:r>
              <w:rPr>
                <w:rFonts w:hint="eastAsia"/>
                <w:color w:val="auto"/>
                <w:highlight w:val="none"/>
                <w:lang w:val="en-US" w:eastAsia="zh-CN"/>
              </w:rPr>
              <w:t>工程排放总量</w:t>
            </w:r>
          </w:p>
        </w:tc>
        <w:tc>
          <w:tcPr>
            <w:tcW w:w="180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扩建工程新增排放总量</w:t>
            </w:r>
          </w:p>
        </w:tc>
        <w:tc>
          <w:tcPr>
            <w:tcW w:w="1330" w:type="dxa"/>
            <w:vAlign w:val="center"/>
          </w:tcPr>
          <w:p>
            <w:pPr>
              <w:pStyle w:val="21"/>
              <w:bidi w:val="0"/>
              <w:rPr>
                <w:rFonts w:hint="default"/>
                <w:color w:val="auto"/>
                <w:highlight w:val="none"/>
              </w:rPr>
            </w:pPr>
            <w:r>
              <w:rPr>
                <w:rFonts w:hint="eastAsia"/>
                <w:color w:val="auto"/>
                <w:highlight w:val="none"/>
                <w:lang w:val="en-US" w:eastAsia="zh-CN"/>
              </w:rPr>
              <w:t>全厂</w:t>
            </w:r>
            <w:r>
              <w:rPr>
                <w:rFonts w:hint="default"/>
                <w:color w:val="auto"/>
                <w:highlight w:val="none"/>
              </w:rPr>
              <w:t>排放总量</w:t>
            </w:r>
          </w:p>
        </w:tc>
        <w:tc>
          <w:tcPr>
            <w:tcW w:w="1110" w:type="dxa"/>
            <w:vMerge w:val="continue"/>
            <w:vAlign w:val="center"/>
          </w:tcPr>
          <w:p>
            <w:pPr>
              <w:pStyle w:val="21"/>
              <w:bidi w:val="0"/>
              <w:rPr>
                <w:rFonts w:hint="default"/>
                <w:color w:val="auto"/>
                <w:highlight w:val="none"/>
                <w:lang w:val="en-US" w:eastAsia="zh-CN"/>
              </w:rPr>
            </w:pPr>
          </w:p>
        </w:tc>
        <w:tc>
          <w:tcPr>
            <w:tcW w:w="957" w:type="dxa"/>
            <w:vMerge w:val="continue"/>
            <w:vAlign w:val="center"/>
          </w:tcPr>
          <w:p>
            <w:pPr>
              <w:pStyle w:val="21"/>
              <w:bidi w:val="0"/>
              <w:rPr>
                <w:rFonts w:hint="default"/>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Align w:val="center"/>
          </w:tcPr>
          <w:p>
            <w:pPr>
              <w:pStyle w:val="21"/>
              <w:bidi w:val="0"/>
              <w:rPr>
                <w:rFonts w:hint="default"/>
                <w:color w:val="auto"/>
                <w:highlight w:val="none"/>
              </w:rPr>
            </w:pPr>
            <w:r>
              <w:rPr>
                <w:rFonts w:hint="default"/>
                <w:color w:val="auto"/>
                <w:highlight w:val="none"/>
              </w:rPr>
              <w:t>一</w:t>
            </w:r>
          </w:p>
        </w:tc>
        <w:tc>
          <w:tcPr>
            <w:tcW w:w="1849" w:type="dxa"/>
            <w:vAlign w:val="center"/>
          </w:tcPr>
          <w:p>
            <w:pPr>
              <w:pStyle w:val="21"/>
              <w:bidi w:val="0"/>
              <w:rPr>
                <w:rFonts w:hint="default"/>
                <w:color w:val="auto"/>
                <w:highlight w:val="none"/>
              </w:rPr>
            </w:pPr>
            <w:r>
              <w:rPr>
                <w:rFonts w:hint="eastAsia"/>
                <w:color w:val="auto"/>
                <w:highlight w:val="none"/>
                <w:lang w:val="en-US" w:eastAsia="zh-CN"/>
              </w:rPr>
              <w:t>生产废水</w:t>
            </w:r>
            <w:r>
              <w:rPr>
                <w:rFonts w:hint="default"/>
                <w:color w:val="auto"/>
                <w:highlight w:val="none"/>
              </w:rPr>
              <w:t>废水量</w:t>
            </w:r>
          </w:p>
          <w:p>
            <w:pPr>
              <w:pStyle w:val="21"/>
              <w:bidi w:val="0"/>
              <w:rPr>
                <w:rFonts w:hint="default"/>
                <w:color w:val="auto"/>
                <w:highlight w:val="none"/>
              </w:rPr>
            </w:pPr>
            <w:r>
              <w:rPr>
                <w:rFonts w:hint="default"/>
                <w:color w:val="auto"/>
                <w:highlight w:val="none"/>
              </w:rPr>
              <w:t>(万m</w:t>
            </w:r>
            <w:r>
              <w:rPr>
                <w:rFonts w:hint="default"/>
                <w:color w:val="auto"/>
                <w:highlight w:val="none"/>
                <w:vertAlign w:val="superscript"/>
              </w:rPr>
              <w:t>3</w:t>
            </w:r>
            <w:r>
              <w:rPr>
                <w:rFonts w:hint="default"/>
                <w:color w:val="auto"/>
                <w:highlight w:val="none"/>
              </w:rPr>
              <w:t>/a)</w:t>
            </w:r>
          </w:p>
        </w:tc>
        <w:tc>
          <w:tcPr>
            <w:tcW w:w="1635" w:type="dxa"/>
            <w:vAlign w:val="center"/>
          </w:tcPr>
          <w:p>
            <w:pPr>
              <w:pStyle w:val="21"/>
              <w:bidi w:val="0"/>
              <w:rPr>
                <w:rFonts w:hint="default"/>
                <w:color w:val="auto"/>
                <w:highlight w:val="none"/>
                <w:lang w:val="en-US"/>
              </w:rPr>
            </w:pPr>
            <w:r>
              <w:rPr>
                <w:rFonts w:hint="eastAsia"/>
                <w:color w:val="auto"/>
                <w:szCs w:val="20"/>
                <w:highlight w:val="none"/>
                <w:lang w:val="en-US" w:eastAsia="zh-CN"/>
              </w:rPr>
              <w:t>0</w:t>
            </w:r>
          </w:p>
        </w:tc>
        <w:tc>
          <w:tcPr>
            <w:tcW w:w="1805" w:type="dxa"/>
            <w:vAlign w:val="center"/>
          </w:tcPr>
          <w:p>
            <w:pPr>
              <w:pStyle w:val="21"/>
              <w:bidi w:val="0"/>
              <w:rPr>
                <w:rFonts w:hint="default"/>
                <w:color w:val="auto"/>
                <w:highlight w:val="none"/>
                <w:lang w:val="en-US" w:eastAsia="zh-CN"/>
              </w:rPr>
            </w:pPr>
            <w:r>
              <w:rPr>
                <w:rFonts w:hint="eastAsia"/>
                <w:color w:val="auto"/>
                <w:szCs w:val="20"/>
                <w:highlight w:val="none"/>
                <w:lang w:val="en-US" w:eastAsia="zh-CN"/>
              </w:rPr>
              <w:t>0.1905</w:t>
            </w:r>
          </w:p>
        </w:tc>
        <w:tc>
          <w:tcPr>
            <w:tcW w:w="1330" w:type="dxa"/>
            <w:vAlign w:val="center"/>
          </w:tcPr>
          <w:p>
            <w:pPr>
              <w:pStyle w:val="21"/>
              <w:bidi w:val="0"/>
              <w:ind w:left="0" w:leftChars="0" w:firstLine="0" w:firstLineChars="0"/>
              <w:rPr>
                <w:rFonts w:hint="default"/>
                <w:color w:val="auto"/>
                <w:highlight w:val="none"/>
                <w:lang w:val="en-US"/>
              </w:rPr>
            </w:pPr>
            <w:r>
              <w:rPr>
                <w:rFonts w:hint="eastAsia"/>
                <w:color w:val="auto"/>
                <w:szCs w:val="20"/>
                <w:highlight w:val="none"/>
                <w:lang w:val="en-US" w:eastAsia="zh-CN"/>
              </w:rPr>
              <w:t>0.1905</w:t>
            </w:r>
          </w:p>
        </w:tc>
        <w:tc>
          <w:tcPr>
            <w:tcW w:w="1110" w:type="dxa"/>
            <w:vAlign w:val="center"/>
          </w:tcPr>
          <w:p>
            <w:pPr>
              <w:pStyle w:val="21"/>
              <w:bidi w:val="0"/>
              <w:rPr>
                <w:rFonts w:hint="default"/>
                <w:color w:val="auto"/>
                <w:highlight w:val="none"/>
                <w:lang w:val="en-US" w:eastAsia="zh-CN"/>
              </w:rPr>
            </w:pPr>
            <w:r>
              <w:rPr>
                <w:rFonts w:hint="eastAsia"/>
                <w:color w:val="auto"/>
                <w:highlight w:val="none"/>
                <w:lang w:val="en-US" w:eastAsia="zh-CN"/>
              </w:rPr>
              <w:t>/</w:t>
            </w:r>
          </w:p>
        </w:tc>
        <w:tc>
          <w:tcPr>
            <w:tcW w:w="957" w:type="dxa"/>
            <w:vAlign w:val="center"/>
          </w:tcPr>
          <w:p>
            <w:pPr>
              <w:pStyle w:val="21"/>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Align w:val="center"/>
          </w:tcPr>
          <w:p>
            <w:pPr>
              <w:pStyle w:val="21"/>
              <w:bidi w:val="0"/>
              <w:rPr>
                <w:rFonts w:hint="default"/>
                <w:color w:val="auto"/>
                <w:highlight w:val="none"/>
              </w:rPr>
            </w:pPr>
            <w:r>
              <w:rPr>
                <w:rFonts w:hint="default"/>
                <w:color w:val="auto"/>
                <w:highlight w:val="none"/>
              </w:rPr>
              <w:t>1</w:t>
            </w:r>
          </w:p>
        </w:tc>
        <w:tc>
          <w:tcPr>
            <w:tcW w:w="1849" w:type="dxa"/>
            <w:vAlign w:val="center"/>
          </w:tcPr>
          <w:p>
            <w:pPr>
              <w:pStyle w:val="21"/>
              <w:bidi w:val="0"/>
              <w:rPr>
                <w:rFonts w:hint="default"/>
                <w:color w:val="auto"/>
                <w:highlight w:val="none"/>
              </w:rPr>
            </w:pPr>
            <w:r>
              <w:rPr>
                <w:rFonts w:hint="default"/>
                <w:color w:val="auto"/>
                <w:highlight w:val="none"/>
              </w:rPr>
              <w:t>COD</w:t>
            </w:r>
          </w:p>
        </w:tc>
        <w:tc>
          <w:tcPr>
            <w:tcW w:w="1635" w:type="dxa"/>
            <w:vAlign w:val="center"/>
          </w:tcPr>
          <w:p>
            <w:pPr>
              <w:pStyle w:val="21"/>
              <w:bidi w:val="0"/>
              <w:rPr>
                <w:rFonts w:hint="default"/>
                <w:color w:val="auto"/>
                <w:highlight w:val="none"/>
                <w:lang w:val="en-US"/>
              </w:rPr>
            </w:pPr>
            <w:r>
              <w:rPr>
                <w:rFonts w:hint="eastAsia"/>
                <w:color w:val="auto"/>
                <w:szCs w:val="20"/>
                <w:lang w:val="en-US" w:eastAsia="zh-CN"/>
              </w:rPr>
              <w:t>0</w:t>
            </w:r>
          </w:p>
        </w:tc>
        <w:tc>
          <w:tcPr>
            <w:tcW w:w="1805" w:type="dxa"/>
            <w:vAlign w:val="center"/>
          </w:tcPr>
          <w:p>
            <w:pPr>
              <w:pStyle w:val="21"/>
              <w:bidi w:val="0"/>
              <w:rPr>
                <w:rFonts w:hint="default"/>
                <w:color w:val="auto"/>
                <w:highlight w:val="none"/>
                <w:lang w:val="en-US" w:eastAsia="zh-CN"/>
              </w:rPr>
            </w:pPr>
            <w:r>
              <w:rPr>
                <w:rFonts w:hint="default"/>
                <w:color w:val="auto"/>
                <w:szCs w:val="20"/>
                <w:lang w:val="en-US" w:eastAsia="zh-CN"/>
              </w:rPr>
              <w:t>0.</w:t>
            </w:r>
            <w:r>
              <w:rPr>
                <w:rFonts w:hint="eastAsia"/>
                <w:color w:val="auto"/>
                <w:szCs w:val="20"/>
                <w:lang w:val="en-US" w:eastAsia="zh-CN"/>
              </w:rPr>
              <w:t>1008</w:t>
            </w:r>
          </w:p>
        </w:tc>
        <w:tc>
          <w:tcPr>
            <w:tcW w:w="1330" w:type="dxa"/>
            <w:vAlign w:val="center"/>
          </w:tcPr>
          <w:p>
            <w:pPr>
              <w:pStyle w:val="21"/>
              <w:bidi w:val="0"/>
              <w:ind w:left="0" w:leftChars="0" w:firstLine="0" w:firstLineChars="0"/>
              <w:rPr>
                <w:rFonts w:hint="default"/>
                <w:color w:val="auto"/>
                <w:highlight w:val="none"/>
                <w:lang w:val="en-US"/>
              </w:rPr>
            </w:pPr>
            <w:r>
              <w:rPr>
                <w:rFonts w:hint="default"/>
                <w:color w:val="auto"/>
                <w:szCs w:val="20"/>
                <w:lang w:val="en-US" w:eastAsia="zh-CN"/>
              </w:rPr>
              <w:t>0.</w:t>
            </w:r>
            <w:r>
              <w:rPr>
                <w:rFonts w:hint="eastAsia"/>
                <w:color w:val="auto"/>
                <w:szCs w:val="20"/>
                <w:lang w:val="en-US" w:eastAsia="zh-CN"/>
              </w:rPr>
              <w:t>1008</w:t>
            </w:r>
          </w:p>
        </w:tc>
        <w:tc>
          <w:tcPr>
            <w:tcW w:w="1110" w:type="dxa"/>
            <w:vAlign w:val="center"/>
          </w:tcPr>
          <w:p>
            <w:pPr>
              <w:pStyle w:val="21"/>
              <w:bidi w:val="0"/>
              <w:rPr>
                <w:rFonts w:hint="default"/>
                <w:color w:val="auto"/>
                <w:highlight w:val="none"/>
                <w:lang w:val="en-US" w:eastAsia="zh-CN"/>
              </w:rPr>
            </w:pPr>
            <w:r>
              <w:rPr>
                <w:rFonts w:hint="eastAsia"/>
                <w:color w:val="auto"/>
                <w:highlight w:val="none"/>
                <w:lang w:val="en-US" w:eastAsia="zh-CN"/>
              </w:rPr>
              <w:t>0.6044</w:t>
            </w:r>
          </w:p>
        </w:tc>
        <w:tc>
          <w:tcPr>
            <w:tcW w:w="957" w:type="dxa"/>
            <w:vAlign w:val="center"/>
          </w:tcPr>
          <w:p>
            <w:pPr>
              <w:pStyle w:val="21"/>
              <w:bidi w:val="0"/>
              <w:rPr>
                <w:rFonts w:hint="default"/>
                <w:color w:val="auto"/>
                <w:highlight w:val="none"/>
                <w:lang w:val="en-US" w:eastAsia="zh-CN"/>
              </w:rPr>
            </w:pPr>
            <w:r>
              <w:rPr>
                <w:rFonts w:hint="eastAsia"/>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Align w:val="center"/>
          </w:tcPr>
          <w:p>
            <w:pPr>
              <w:pStyle w:val="21"/>
              <w:bidi w:val="0"/>
              <w:rPr>
                <w:rFonts w:hint="default"/>
                <w:color w:val="auto"/>
                <w:highlight w:val="none"/>
              </w:rPr>
            </w:pPr>
            <w:r>
              <w:rPr>
                <w:rFonts w:hint="default"/>
                <w:color w:val="auto"/>
                <w:highlight w:val="none"/>
              </w:rPr>
              <w:t>2</w:t>
            </w:r>
          </w:p>
        </w:tc>
        <w:tc>
          <w:tcPr>
            <w:tcW w:w="1849" w:type="dxa"/>
            <w:vAlign w:val="center"/>
          </w:tcPr>
          <w:p>
            <w:pPr>
              <w:pStyle w:val="21"/>
              <w:bidi w:val="0"/>
              <w:rPr>
                <w:rFonts w:hint="default"/>
                <w:color w:val="auto"/>
                <w:highlight w:val="none"/>
              </w:rPr>
            </w:pPr>
            <w:r>
              <w:rPr>
                <w:rFonts w:hint="default"/>
                <w:color w:val="auto"/>
                <w:highlight w:val="none"/>
              </w:rPr>
              <w:t>氨氮</w:t>
            </w:r>
          </w:p>
        </w:tc>
        <w:tc>
          <w:tcPr>
            <w:tcW w:w="1635" w:type="dxa"/>
            <w:vAlign w:val="center"/>
          </w:tcPr>
          <w:p>
            <w:pPr>
              <w:pStyle w:val="21"/>
              <w:bidi w:val="0"/>
              <w:rPr>
                <w:rFonts w:hint="default"/>
                <w:color w:val="auto"/>
                <w:highlight w:val="none"/>
                <w:lang w:val="en-US"/>
              </w:rPr>
            </w:pPr>
            <w:r>
              <w:rPr>
                <w:rFonts w:hint="eastAsia"/>
                <w:color w:val="auto"/>
                <w:szCs w:val="20"/>
                <w:lang w:val="en-US" w:eastAsia="zh-CN"/>
              </w:rPr>
              <w:t>0</w:t>
            </w:r>
          </w:p>
        </w:tc>
        <w:tc>
          <w:tcPr>
            <w:tcW w:w="1805" w:type="dxa"/>
            <w:vAlign w:val="center"/>
          </w:tcPr>
          <w:p>
            <w:pPr>
              <w:pStyle w:val="21"/>
              <w:bidi w:val="0"/>
              <w:rPr>
                <w:rFonts w:hint="default"/>
                <w:color w:val="auto"/>
                <w:highlight w:val="none"/>
                <w:lang w:val="en-US" w:eastAsia="zh-CN"/>
              </w:rPr>
            </w:pPr>
            <w:r>
              <w:rPr>
                <w:rFonts w:hint="default"/>
                <w:color w:val="auto"/>
                <w:szCs w:val="20"/>
                <w:lang w:val="en-US" w:eastAsia="zh-CN"/>
              </w:rPr>
              <w:t>0.0</w:t>
            </w:r>
            <w:r>
              <w:rPr>
                <w:rFonts w:hint="eastAsia"/>
                <w:color w:val="auto"/>
                <w:szCs w:val="20"/>
                <w:lang w:val="en-US" w:eastAsia="zh-CN"/>
              </w:rPr>
              <w:t>021</w:t>
            </w:r>
          </w:p>
        </w:tc>
        <w:tc>
          <w:tcPr>
            <w:tcW w:w="1330" w:type="dxa"/>
            <w:vAlign w:val="center"/>
          </w:tcPr>
          <w:p>
            <w:pPr>
              <w:pStyle w:val="21"/>
              <w:bidi w:val="0"/>
              <w:ind w:left="0" w:leftChars="0" w:firstLine="0" w:firstLineChars="0"/>
              <w:rPr>
                <w:rFonts w:hint="default"/>
                <w:color w:val="auto"/>
                <w:highlight w:val="none"/>
                <w:lang w:val="en-US"/>
              </w:rPr>
            </w:pPr>
            <w:r>
              <w:rPr>
                <w:rFonts w:hint="default"/>
                <w:color w:val="auto"/>
                <w:szCs w:val="20"/>
                <w:lang w:val="en-US" w:eastAsia="zh-CN"/>
              </w:rPr>
              <w:t>0.0</w:t>
            </w:r>
            <w:r>
              <w:rPr>
                <w:rFonts w:hint="eastAsia"/>
                <w:color w:val="auto"/>
                <w:szCs w:val="20"/>
                <w:lang w:val="en-US" w:eastAsia="zh-CN"/>
              </w:rPr>
              <w:t>021</w:t>
            </w:r>
          </w:p>
        </w:tc>
        <w:tc>
          <w:tcPr>
            <w:tcW w:w="1110" w:type="dxa"/>
            <w:vAlign w:val="center"/>
          </w:tcPr>
          <w:p>
            <w:pPr>
              <w:pStyle w:val="21"/>
              <w:bidi w:val="0"/>
              <w:rPr>
                <w:rFonts w:hint="default"/>
                <w:color w:val="auto"/>
                <w:highlight w:val="none"/>
                <w:lang w:val="en-US" w:eastAsia="zh-CN"/>
              </w:rPr>
            </w:pPr>
            <w:r>
              <w:rPr>
                <w:rFonts w:hint="eastAsia"/>
                <w:color w:val="auto"/>
                <w:highlight w:val="none"/>
                <w:lang w:val="en-US" w:eastAsia="zh-CN"/>
              </w:rPr>
              <w:t>0.0806</w:t>
            </w:r>
          </w:p>
        </w:tc>
        <w:tc>
          <w:tcPr>
            <w:tcW w:w="957" w:type="dxa"/>
            <w:vAlign w:val="center"/>
          </w:tcPr>
          <w:p>
            <w:pPr>
              <w:pStyle w:val="21"/>
              <w:bidi w:val="0"/>
              <w:rPr>
                <w:rFonts w:hint="default"/>
                <w:color w:val="auto"/>
                <w:highlight w:val="none"/>
                <w:lang w:val="en-US" w:eastAsia="zh-CN"/>
              </w:rPr>
            </w:pPr>
            <w:r>
              <w:rPr>
                <w:rFonts w:hint="eastAsia"/>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gridSpan w:val="7"/>
            <w:vAlign w:val="center"/>
          </w:tcPr>
          <w:p>
            <w:pPr>
              <w:pStyle w:val="21"/>
              <w:bidi w:val="0"/>
              <w:jc w:val="left"/>
              <w:rPr>
                <w:rFonts w:hint="default"/>
                <w:color w:val="auto"/>
                <w:highlight w:val="none"/>
                <w:lang w:val="en-US" w:eastAsia="zh-CN"/>
              </w:rPr>
            </w:pPr>
            <w:r>
              <w:rPr>
                <w:rFonts w:hint="default"/>
                <w:color w:val="auto"/>
                <w:highlight w:val="none"/>
              </w:rPr>
              <w:t>二</w:t>
            </w:r>
            <w:r>
              <w:rPr>
                <w:rFonts w:hint="eastAsia"/>
                <w:color w:val="auto"/>
                <w:highlight w:val="none"/>
                <w:lang w:eastAsia="zh-CN"/>
              </w:rPr>
              <w:t>、</w:t>
            </w:r>
            <w:r>
              <w:rPr>
                <w:rFonts w:hint="default"/>
                <w:color w:val="auto"/>
                <w:highlight w:val="none"/>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Align w:val="center"/>
          </w:tcPr>
          <w:p>
            <w:pPr>
              <w:pStyle w:val="21"/>
              <w:bidi w:val="0"/>
              <w:rPr>
                <w:rFonts w:hint="default"/>
                <w:color w:val="auto"/>
                <w:highlight w:val="none"/>
              </w:rPr>
            </w:pPr>
            <w:r>
              <w:rPr>
                <w:rFonts w:hint="default"/>
                <w:color w:val="auto"/>
                <w:highlight w:val="none"/>
              </w:rPr>
              <w:t>1</w:t>
            </w:r>
          </w:p>
        </w:tc>
        <w:tc>
          <w:tcPr>
            <w:tcW w:w="1849" w:type="dxa"/>
            <w:vAlign w:val="center"/>
          </w:tcPr>
          <w:p>
            <w:pPr>
              <w:pStyle w:val="21"/>
              <w:bidi w:val="0"/>
              <w:rPr>
                <w:rFonts w:hint="default"/>
                <w:color w:val="auto"/>
                <w:highlight w:val="none"/>
              </w:rPr>
            </w:pPr>
            <w:r>
              <w:rPr>
                <w:rFonts w:hint="default"/>
                <w:color w:val="auto"/>
                <w:highlight w:val="none"/>
              </w:rPr>
              <w:t>SO</w:t>
            </w:r>
            <w:r>
              <w:rPr>
                <w:rFonts w:hint="default"/>
                <w:color w:val="auto"/>
                <w:highlight w:val="none"/>
                <w:vertAlign w:val="subscript"/>
              </w:rPr>
              <w:t>2</w:t>
            </w:r>
          </w:p>
        </w:tc>
        <w:tc>
          <w:tcPr>
            <w:tcW w:w="1635" w:type="dxa"/>
            <w:vAlign w:val="center"/>
          </w:tcPr>
          <w:p>
            <w:pPr>
              <w:pStyle w:val="21"/>
              <w:bidi w:val="0"/>
              <w:rPr>
                <w:rFonts w:hint="default"/>
                <w:color w:val="auto"/>
                <w:highlight w:val="none"/>
                <w:lang w:val="en-US"/>
              </w:rPr>
            </w:pPr>
            <w:r>
              <w:rPr>
                <w:rFonts w:hint="eastAsia"/>
                <w:color w:val="auto"/>
                <w:szCs w:val="20"/>
                <w:lang w:val="en-US" w:eastAsia="zh-CN"/>
              </w:rPr>
              <w:t>0.5392</w:t>
            </w:r>
          </w:p>
        </w:tc>
        <w:tc>
          <w:tcPr>
            <w:tcW w:w="1805"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0.9631</w:t>
            </w:r>
          </w:p>
        </w:tc>
        <w:tc>
          <w:tcPr>
            <w:tcW w:w="1330"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highlight w:val="none"/>
                <w:lang w:val="en-US"/>
              </w:rPr>
            </w:pPr>
            <w:r>
              <w:rPr>
                <w:rFonts w:hint="eastAsia"/>
                <w:color w:val="auto"/>
                <w:szCs w:val="20"/>
                <w:lang w:val="en-US" w:eastAsia="zh-CN"/>
              </w:rPr>
              <w:t>1.5023</w:t>
            </w:r>
          </w:p>
        </w:tc>
        <w:tc>
          <w:tcPr>
            <w:tcW w:w="1110"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2.7250</w:t>
            </w:r>
          </w:p>
        </w:tc>
        <w:tc>
          <w:tcPr>
            <w:tcW w:w="957"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Align w:val="center"/>
          </w:tcPr>
          <w:p>
            <w:pPr>
              <w:pStyle w:val="21"/>
              <w:bidi w:val="0"/>
              <w:rPr>
                <w:rFonts w:hint="default"/>
                <w:color w:val="auto"/>
                <w:highlight w:val="none"/>
                <w:lang w:val="en-US" w:eastAsia="zh-CN"/>
              </w:rPr>
            </w:pPr>
            <w:r>
              <w:rPr>
                <w:rFonts w:hint="default"/>
                <w:color w:val="auto"/>
                <w:highlight w:val="none"/>
                <w:lang w:val="en-US" w:eastAsia="zh-CN"/>
              </w:rPr>
              <w:t>2</w:t>
            </w:r>
          </w:p>
        </w:tc>
        <w:tc>
          <w:tcPr>
            <w:tcW w:w="1849" w:type="dxa"/>
            <w:vAlign w:val="center"/>
          </w:tcPr>
          <w:p>
            <w:pPr>
              <w:pStyle w:val="21"/>
              <w:bidi w:val="0"/>
              <w:rPr>
                <w:rFonts w:hint="default"/>
                <w:color w:val="auto"/>
                <w:highlight w:val="none"/>
              </w:rPr>
            </w:pPr>
            <w:r>
              <w:rPr>
                <w:rFonts w:hint="default"/>
                <w:color w:val="auto"/>
                <w:highlight w:val="none"/>
              </w:rPr>
              <w:t>NOx</w:t>
            </w:r>
          </w:p>
        </w:tc>
        <w:tc>
          <w:tcPr>
            <w:tcW w:w="1635" w:type="dxa"/>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5.6474</w:t>
            </w:r>
          </w:p>
        </w:tc>
        <w:tc>
          <w:tcPr>
            <w:tcW w:w="1805"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3.3563</w:t>
            </w:r>
          </w:p>
        </w:tc>
        <w:tc>
          <w:tcPr>
            <w:tcW w:w="1330"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9.0037</w:t>
            </w:r>
          </w:p>
        </w:tc>
        <w:tc>
          <w:tcPr>
            <w:tcW w:w="1110"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11.9744</w:t>
            </w:r>
          </w:p>
        </w:tc>
        <w:tc>
          <w:tcPr>
            <w:tcW w:w="957" w:type="dxa"/>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color w:val="auto"/>
                <w:szCs w:val="20"/>
                <w:highlight w:val="none"/>
                <w:lang w:val="en-US" w:eastAsia="zh-CN"/>
              </w:rPr>
            </w:pPr>
            <w:r>
              <w:rPr>
                <w:rFonts w:hint="eastAsia"/>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dxa"/>
            <w:vAlign w:val="center"/>
          </w:tcPr>
          <w:p>
            <w:pPr>
              <w:pStyle w:val="21"/>
              <w:bidi w:val="0"/>
              <w:rPr>
                <w:rFonts w:hint="default"/>
                <w:color w:val="auto"/>
                <w:highlight w:val="none"/>
                <w:lang w:val="en-US" w:eastAsia="zh-CN"/>
              </w:rPr>
            </w:pPr>
            <w:r>
              <w:rPr>
                <w:rFonts w:hint="default"/>
                <w:color w:val="auto"/>
                <w:highlight w:val="none"/>
                <w:lang w:val="en-US" w:eastAsia="zh-CN"/>
              </w:rPr>
              <w:t>3</w:t>
            </w:r>
          </w:p>
        </w:tc>
        <w:tc>
          <w:tcPr>
            <w:tcW w:w="1849" w:type="dxa"/>
            <w:vAlign w:val="center"/>
          </w:tcPr>
          <w:p>
            <w:pPr>
              <w:pStyle w:val="21"/>
              <w:bidi w:val="0"/>
              <w:rPr>
                <w:rFonts w:hint="default"/>
                <w:color w:val="auto"/>
                <w:highlight w:val="none"/>
                <w:lang w:val="en-US" w:eastAsia="zh-CN"/>
              </w:rPr>
            </w:pPr>
            <w:r>
              <w:rPr>
                <w:rFonts w:hint="default"/>
                <w:color w:val="auto"/>
                <w:highlight w:val="none"/>
                <w:lang w:val="en-US" w:eastAsia="zh-CN"/>
              </w:rPr>
              <w:t>非甲烷总烃</w:t>
            </w:r>
          </w:p>
        </w:tc>
        <w:tc>
          <w:tcPr>
            <w:tcW w:w="1635" w:type="dxa"/>
            <w:vAlign w:val="center"/>
          </w:tcPr>
          <w:p>
            <w:pPr>
              <w:pStyle w:val="21"/>
              <w:bidi w:val="0"/>
              <w:rPr>
                <w:rFonts w:hint="default"/>
                <w:color w:val="auto"/>
                <w:highlight w:val="none"/>
                <w:lang w:val="en-US" w:eastAsia="zh-CN"/>
              </w:rPr>
            </w:pPr>
            <w:r>
              <w:rPr>
                <w:rFonts w:hint="eastAsia" w:cs="Times New Roman"/>
                <w:color w:val="auto"/>
                <w:szCs w:val="20"/>
                <w:highlight w:val="none"/>
                <w:lang w:val="en-US" w:eastAsia="zh-CN"/>
              </w:rPr>
              <w:t>3.2448</w:t>
            </w:r>
          </w:p>
        </w:tc>
        <w:tc>
          <w:tcPr>
            <w:tcW w:w="1805" w:type="dxa"/>
            <w:vAlign w:val="center"/>
          </w:tcPr>
          <w:p>
            <w:pPr>
              <w:pStyle w:val="21"/>
              <w:bidi w:val="0"/>
              <w:rPr>
                <w:rFonts w:hint="default"/>
                <w:color w:val="auto"/>
                <w:highlight w:val="none"/>
                <w:lang w:val="en-US" w:eastAsia="zh-CN"/>
              </w:rPr>
            </w:pPr>
            <w:r>
              <w:rPr>
                <w:rFonts w:hint="eastAsia"/>
                <w:color w:val="auto"/>
                <w:highlight w:val="none"/>
                <w:lang w:val="en-US" w:eastAsia="zh-CN"/>
              </w:rPr>
              <w:t>8.0955</w:t>
            </w:r>
          </w:p>
        </w:tc>
        <w:tc>
          <w:tcPr>
            <w:tcW w:w="1330" w:type="dxa"/>
            <w:vAlign w:val="center"/>
          </w:tcPr>
          <w:p>
            <w:pPr>
              <w:pStyle w:val="21"/>
              <w:bidi w:val="0"/>
              <w:rPr>
                <w:rFonts w:hint="default"/>
                <w:color w:val="auto"/>
                <w:highlight w:val="none"/>
                <w:lang w:val="en-US" w:eastAsia="zh-CN"/>
              </w:rPr>
            </w:pPr>
            <w:r>
              <w:rPr>
                <w:rFonts w:hint="eastAsia" w:cs="Times New Roman"/>
                <w:color w:val="auto"/>
                <w:szCs w:val="20"/>
                <w:highlight w:val="none"/>
                <w:lang w:val="en-US" w:eastAsia="zh-CN"/>
              </w:rPr>
              <w:t>11.3027</w:t>
            </w:r>
          </w:p>
        </w:tc>
        <w:tc>
          <w:tcPr>
            <w:tcW w:w="1110" w:type="dxa"/>
            <w:vAlign w:val="center"/>
          </w:tcPr>
          <w:p>
            <w:pPr>
              <w:pStyle w:val="21"/>
              <w:bidi w:val="0"/>
              <w:rPr>
                <w:rFonts w:hint="default"/>
                <w:color w:val="auto"/>
                <w:szCs w:val="20"/>
                <w:highlight w:val="none"/>
                <w:lang w:val="en-US" w:eastAsia="zh-CN"/>
              </w:rPr>
            </w:pPr>
            <w:r>
              <w:rPr>
                <w:rFonts w:hint="eastAsia"/>
                <w:color w:val="auto"/>
                <w:szCs w:val="20"/>
                <w:highlight w:val="none"/>
                <w:lang w:val="en-US" w:eastAsia="zh-CN"/>
              </w:rPr>
              <w:t>/</w:t>
            </w:r>
          </w:p>
        </w:tc>
        <w:tc>
          <w:tcPr>
            <w:tcW w:w="957" w:type="dxa"/>
            <w:vAlign w:val="center"/>
          </w:tcPr>
          <w:p>
            <w:pPr>
              <w:pStyle w:val="21"/>
              <w:bidi w:val="0"/>
              <w:rPr>
                <w:rFonts w:hint="default"/>
                <w:color w:val="auto"/>
                <w:szCs w:val="20"/>
                <w:highlight w:val="none"/>
                <w:lang w:val="en-US" w:eastAsia="zh-CN"/>
              </w:rPr>
            </w:pPr>
            <w:r>
              <w:rPr>
                <w:rFonts w:hint="eastAsia"/>
                <w:color w:val="auto"/>
                <w:szCs w:val="20"/>
                <w:highlight w:val="none"/>
                <w:lang w:val="en-US" w:eastAsia="zh-CN"/>
              </w:rPr>
              <w:t>/</w:t>
            </w:r>
          </w:p>
        </w:tc>
      </w:tr>
    </w:tbl>
    <w:p>
      <w:pPr>
        <w:pStyle w:val="4"/>
        <w:numPr>
          <w:ilvl w:val="2"/>
          <w:numId w:val="11"/>
        </w:numPr>
        <w:tabs>
          <w:tab w:val="left" w:pos="420"/>
        </w:tabs>
        <w:bidi w:val="0"/>
        <w:rPr>
          <w:rFonts w:hint="default"/>
          <w:color w:val="auto"/>
          <w:highlight w:val="none"/>
          <w:lang w:val="en-US" w:eastAsia="zh-CN"/>
        </w:rPr>
      </w:pPr>
      <w:r>
        <w:rPr>
          <w:rFonts w:hint="default"/>
          <w:color w:val="auto"/>
          <w:highlight w:val="none"/>
          <w:lang w:val="en-US" w:eastAsia="zh-CN"/>
        </w:rPr>
        <w:t xml:space="preserve"> 区域调配方案 </w:t>
      </w:r>
    </w:p>
    <w:p>
      <w:pPr>
        <w:bidi w:val="0"/>
        <w:rPr>
          <w:rFonts w:hint="default"/>
          <w:color w:val="auto"/>
          <w:highlight w:val="none"/>
          <w:lang w:val="en-US" w:eastAsia="zh-CN"/>
        </w:rPr>
      </w:pPr>
      <w:r>
        <w:rPr>
          <w:rFonts w:hint="default"/>
          <w:color w:val="auto"/>
          <w:highlight w:val="none"/>
          <w:lang w:val="en-US" w:eastAsia="zh-CN"/>
        </w:rPr>
        <w:t>本项目</w:t>
      </w:r>
      <w:r>
        <w:rPr>
          <w:rFonts w:hint="eastAsia"/>
          <w:color w:val="auto"/>
          <w:highlight w:val="none"/>
          <w:lang w:val="en-US" w:eastAsia="zh-CN"/>
        </w:rPr>
        <w:t>已通过</w:t>
      </w:r>
      <w:r>
        <w:rPr>
          <w:rFonts w:hint="default"/>
          <w:color w:val="auto"/>
          <w:highlight w:val="none"/>
          <w:lang w:val="en-US" w:eastAsia="zh-CN"/>
        </w:rPr>
        <w:t>福建海峡股权交易中心申请购买</w:t>
      </w:r>
      <w:r>
        <w:rPr>
          <w:rFonts w:hint="default" w:ascii="Times New Roman" w:hAnsi="Times New Roman" w:cs="Times New Roman"/>
          <w:color w:val="auto"/>
          <w:highlight w:val="none"/>
          <w:lang w:val="en-US" w:eastAsia="zh-CN"/>
        </w:rPr>
        <w:t>的控制指标可满足扩建后全厂排放要求</w:t>
      </w:r>
      <w:r>
        <w:rPr>
          <w:rFonts w:hint="default"/>
          <w:color w:val="auto"/>
          <w:highlight w:val="none"/>
          <w:lang w:val="en-US" w:eastAsia="zh-CN"/>
        </w:rPr>
        <w:t>。</w:t>
      </w:r>
      <w:r>
        <w:rPr>
          <w:rFonts w:hint="default" w:ascii="Times New Roman" w:hAnsi="Times New Roman" w:cs="Times New Roman"/>
          <w:color w:val="auto"/>
          <w:sz w:val="24"/>
          <w:szCs w:val="24"/>
          <w:highlight w:val="none"/>
          <w:lang w:val="en-US" w:eastAsia="zh-CN"/>
        </w:rPr>
        <w:t>非甲烷总烃应通过宁德市霞浦生态环境局进行总量调剂</w:t>
      </w:r>
      <w:r>
        <w:rPr>
          <w:rFonts w:hint="eastAsia" w:cs="Times New Roman"/>
          <w:color w:val="auto"/>
          <w:sz w:val="24"/>
          <w:szCs w:val="24"/>
          <w:highlight w:val="none"/>
          <w:lang w:val="en-US" w:eastAsia="zh-CN"/>
        </w:rPr>
        <w:t>。</w:t>
      </w:r>
    </w:p>
    <w:p>
      <w:pPr>
        <w:pStyle w:val="3"/>
        <w:numPr>
          <w:ilvl w:val="1"/>
          <w:numId w:val="11"/>
        </w:numPr>
        <w:bidi w:val="0"/>
        <w:rPr>
          <w:rFonts w:hint="default"/>
          <w:color w:val="auto"/>
          <w:highlight w:val="none"/>
          <w:lang w:val="en-US" w:eastAsia="zh-CN"/>
        </w:rPr>
      </w:pPr>
      <w:bookmarkStart w:id="688" w:name="_Toc28639"/>
      <w:bookmarkStart w:id="689" w:name="_Toc11288"/>
      <w:bookmarkStart w:id="690" w:name="_Toc26253"/>
      <w:bookmarkStart w:id="691" w:name="_Toc30713"/>
      <w:r>
        <w:rPr>
          <w:rFonts w:hint="default"/>
          <w:color w:val="auto"/>
          <w:highlight w:val="none"/>
          <w:lang w:val="en-US" w:eastAsia="zh-CN"/>
        </w:rPr>
        <w:t>排污口规范化管理</w:t>
      </w:r>
      <w:bookmarkEnd w:id="688"/>
      <w:bookmarkEnd w:id="689"/>
      <w:bookmarkEnd w:id="690"/>
      <w:bookmarkEnd w:id="691"/>
    </w:p>
    <w:p>
      <w:pPr>
        <w:bidi w:val="0"/>
        <w:rPr>
          <w:rFonts w:hint="default"/>
          <w:color w:val="auto"/>
          <w:highlight w:val="none"/>
          <w:lang w:val="en-US" w:eastAsia="zh-CN"/>
        </w:rPr>
      </w:pPr>
      <w:r>
        <w:rPr>
          <w:rFonts w:hint="default"/>
          <w:color w:val="auto"/>
          <w:highlight w:val="none"/>
          <w:lang w:val="en-US" w:eastAsia="zh-CN"/>
        </w:rPr>
        <w:t>排污口规范化管理体制是实施污染物排放总量控制的基础性工作，也是总量控制不可缺少的一部分内容。此项工作对强化污染源的现场监督检查，促进排污单位加强管理和污染源治理，实现主要污染物排放的科学化、定量化管理都有极大的现实意义。</w:t>
      </w:r>
    </w:p>
    <w:p>
      <w:pPr>
        <w:pStyle w:val="4"/>
        <w:numPr>
          <w:ilvl w:val="2"/>
          <w:numId w:val="11"/>
        </w:numPr>
        <w:tabs>
          <w:tab w:val="left" w:pos="420"/>
        </w:tabs>
        <w:bidi w:val="0"/>
        <w:rPr>
          <w:rFonts w:hint="default"/>
          <w:color w:val="auto"/>
          <w:highlight w:val="none"/>
          <w:lang w:val="en-US" w:eastAsia="zh-CN"/>
        </w:rPr>
      </w:pPr>
      <w:r>
        <w:rPr>
          <w:rFonts w:hint="default"/>
          <w:color w:val="auto"/>
          <w:highlight w:val="none"/>
          <w:lang w:val="en-US" w:eastAsia="zh-CN"/>
        </w:rPr>
        <w:t>排污口规范化要求的依据</w:t>
      </w:r>
    </w:p>
    <w:p>
      <w:pPr>
        <w:bidi w:val="0"/>
        <w:rPr>
          <w:rFonts w:hint="default"/>
          <w:color w:val="auto"/>
          <w:highlight w:val="none"/>
          <w:lang w:val="en-US" w:eastAsia="zh-CN"/>
        </w:rPr>
      </w:pPr>
      <w:r>
        <w:rPr>
          <w:rFonts w:hint="default"/>
          <w:color w:val="auto"/>
          <w:highlight w:val="none"/>
          <w:lang w:val="en-US" w:eastAsia="zh-CN"/>
        </w:rPr>
        <w:t>（1）《关于开展排污口规范化整治工作的通知》 国家环境保护总局 环发[1999]24号</w:t>
      </w:r>
      <w:r>
        <w:rPr>
          <w:rFonts w:hint="eastAsia"/>
          <w:color w:val="auto"/>
          <w:highlight w:val="none"/>
          <w:lang w:val="en-US" w:eastAsia="zh-CN"/>
        </w:rPr>
        <w:t>；</w:t>
      </w:r>
    </w:p>
    <w:p>
      <w:pPr>
        <w:bidi w:val="0"/>
        <w:rPr>
          <w:rFonts w:hint="default"/>
          <w:color w:val="auto"/>
          <w:highlight w:val="none"/>
          <w:lang w:val="en-US" w:eastAsia="zh-CN"/>
        </w:rPr>
      </w:pPr>
      <w:r>
        <w:rPr>
          <w:rFonts w:hint="default"/>
          <w:color w:val="auto"/>
          <w:highlight w:val="none"/>
          <w:lang w:val="en-US" w:eastAsia="zh-CN"/>
        </w:rPr>
        <w:t>（2）《排污口规范化整治技术》 国家环境保护总局 环发[1999]24号附件二</w:t>
      </w:r>
      <w:r>
        <w:rPr>
          <w:rFonts w:hint="eastAsia"/>
          <w:color w:val="auto"/>
          <w:highlight w:val="none"/>
          <w:lang w:val="en-US" w:eastAsia="zh-CN"/>
        </w:rPr>
        <w:t>；</w:t>
      </w:r>
    </w:p>
    <w:p>
      <w:pPr>
        <w:bidi w:val="0"/>
        <w:rPr>
          <w:rFonts w:hint="default"/>
          <w:color w:val="auto"/>
          <w:highlight w:val="none"/>
          <w:lang w:val="en-US" w:eastAsia="zh-CN"/>
        </w:rPr>
      </w:pPr>
      <w:r>
        <w:rPr>
          <w:rFonts w:hint="default"/>
          <w:color w:val="auto"/>
          <w:highlight w:val="none"/>
          <w:lang w:val="en-US" w:eastAsia="zh-CN"/>
        </w:rPr>
        <w:t>（3）“关于转发《关于开展排污口规范化整治工作的通知》的通知”福建省环境保护局 闽环保[1999]理3号</w:t>
      </w:r>
      <w:r>
        <w:rPr>
          <w:rFonts w:hint="eastAsia"/>
          <w:color w:val="auto"/>
          <w:highlight w:val="none"/>
          <w:lang w:val="en-US" w:eastAsia="zh-CN"/>
        </w:rPr>
        <w:t>；</w:t>
      </w:r>
    </w:p>
    <w:p>
      <w:pPr>
        <w:bidi w:val="0"/>
        <w:rPr>
          <w:rFonts w:hint="default"/>
          <w:color w:val="auto"/>
          <w:highlight w:val="none"/>
          <w:lang w:val="en-US" w:eastAsia="zh-CN"/>
        </w:rPr>
      </w:pPr>
      <w:r>
        <w:rPr>
          <w:rFonts w:hint="default"/>
          <w:color w:val="auto"/>
          <w:highlight w:val="none"/>
          <w:lang w:val="en-US" w:eastAsia="zh-CN"/>
        </w:rPr>
        <w:t>（4）“关于印发《福建省污染物排放口规范化整治补充技术要求》的通知”福建省环境保护局闽环保[1999]理8号</w:t>
      </w:r>
      <w:r>
        <w:rPr>
          <w:rFonts w:hint="eastAsia"/>
          <w:color w:val="auto"/>
          <w:highlight w:val="none"/>
          <w:lang w:val="en-US" w:eastAsia="zh-CN"/>
        </w:rPr>
        <w:t>；</w:t>
      </w:r>
    </w:p>
    <w:p>
      <w:pPr>
        <w:bidi w:val="0"/>
        <w:rPr>
          <w:rFonts w:hint="eastAsia"/>
          <w:color w:val="auto"/>
          <w:highlight w:val="none"/>
          <w:lang w:val="en-US" w:eastAsia="zh-CN"/>
        </w:rPr>
      </w:pPr>
      <w:r>
        <w:rPr>
          <w:rFonts w:hint="default"/>
          <w:color w:val="auto"/>
          <w:highlight w:val="none"/>
          <w:lang w:val="en-US" w:eastAsia="zh-CN"/>
        </w:rPr>
        <w:t>（5）“关于印发《福建省工业污染源排放口管理办法》的通知”福建省环境保护局 闽环保[1999]理9号</w:t>
      </w:r>
      <w:r>
        <w:rPr>
          <w:rFonts w:hint="eastAsia"/>
          <w:color w:val="auto"/>
          <w:highlight w:val="none"/>
          <w:lang w:val="en-US" w:eastAsia="zh-CN"/>
        </w:rPr>
        <w:t>。</w:t>
      </w:r>
    </w:p>
    <w:p>
      <w:pPr>
        <w:pStyle w:val="4"/>
        <w:numPr>
          <w:ilvl w:val="2"/>
          <w:numId w:val="11"/>
        </w:numPr>
        <w:tabs>
          <w:tab w:val="left" w:pos="420"/>
        </w:tabs>
        <w:bidi w:val="0"/>
        <w:rPr>
          <w:rFonts w:hint="default"/>
          <w:color w:val="auto"/>
          <w:highlight w:val="none"/>
          <w:lang w:val="en-US" w:eastAsia="zh-CN"/>
        </w:rPr>
      </w:pPr>
      <w:r>
        <w:rPr>
          <w:rFonts w:hint="default"/>
          <w:color w:val="auto"/>
          <w:highlight w:val="none"/>
          <w:lang w:val="en-US" w:eastAsia="zh-CN"/>
        </w:rPr>
        <w:t>排污口规范化的范围和时间</w:t>
      </w:r>
    </w:p>
    <w:p>
      <w:pPr>
        <w:bidi w:val="0"/>
        <w:rPr>
          <w:rFonts w:hint="default"/>
          <w:color w:val="auto"/>
          <w:highlight w:val="none"/>
          <w:lang w:val="en-US" w:eastAsia="zh-CN"/>
        </w:rPr>
      </w:pPr>
      <w:r>
        <w:rPr>
          <w:rFonts w:hint="default"/>
          <w:color w:val="auto"/>
          <w:highlight w:val="none"/>
          <w:lang w:val="en-US" w:eastAsia="zh-CN"/>
        </w:rPr>
        <w:t>根据福建省环境保护局闽环保（1999）理3号“关于转发《关于开展排污口规范化整治工作的通知》的通知”文的要求，一切新建、改建的排污单位以及限期治理的排污单位，必须在建设污染治理设施的同时，建设规范化排污口。因此，本项目的各类排污口必须规范化设置和管理，同时规范化工作应与污染治理同步实施，并列入污染治理设施的竣工验收内容。</w:t>
      </w:r>
    </w:p>
    <w:p>
      <w:pPr>
        <w:pStyle w:val="4"/>
        <w:numPr>
          <w:ilvl w:val="2"/>
          <w:numId w:val="11"/>
        </w:numPr>
        <w:tabs>
          <w:tab w:val="left" w:pos="420"/>
        </w:tabs>
        <w:bidi w:val="0"/>
        <w:rPr>
          <w:rFonts w:hint="default"/>
          <w:color w:val="auto"/>
          <w:highlight w:val="none"/>
          <w:lang w:val="en-US" w:eastAsia="zh-CN"/>
        </w:rPr>
      </w:pPr>
      <w:r>
        <w:rPr>
          <w:rFonts w:hint="default"/>
          <w:color w:val="auto"/>
          <w:highlight w:val="none"/>
          <w:lang w:val="en-US" w:eastAsia="zh-CN"/>
        </w:rPr>
        <w:t>排污口规范化的内容</w:t>
      </w:r>
    </w:p>
    <w:p>
      <w:pPr>
        <w:bidi w:val="0"/>
        <w:rPr>
          <w:rFonts w:hint="default"/>
          <w:color w:val="auto"/>
          <w:highlight w:val="none"/>
          <w:lang w:val="en-US" w:eastAsia="zh-CN"/>
        </w:rPr>
      </w:pPr>
      <w:r>
        <w:rPr>
          <w:rFonts w:hint="default"/>
          <w:color w:val="auto"/>
          <w:highlight w:val="none"/>
          <w:lang w:val="en-US" w:eastAsia="zh-CN"/>
        </w:rPr>
        <w:t>（1）排污口的规范化建设</w:t>
      </w:r>
    </w:p>
    <w:p>
      <w:pPr>
        <w:bidi w:val="0"/>
        <w:rPr>
          <w:rFonts w:hint="default"/>
          <w:color w:val="auto"/>
          <w:highlight w:val="none"/>
          <w:lang w:val="en-US" w:eastAsia="zh-CN"/>
        </w:rPr>
      </w:pPr>
      <w:r>
        <w:rPr>
          <w:rFonts w:hint="default"/>
          <w:color w:val="auto"/>
          <w:highlight w:val="none"/>
          <w:lang w:val="en-US" w:eastAsia="zh-CN"/>
        </w:rPr>
        <w:t>根据本项目的特点，需规范化的排污口主要是污水处理站的排污口、工艺废气排气筒。厂区排污口的设置必须规范化，必须具备标志明显、便于采样、便于计量、便于管理的特点。具体措施如下：</w:t>
      </w:r>
    </w:p>
    <w:p>
      <w:pPr>
        <w:bidi w:val="0"/>
        <w:rPr>
          <w:rFonts w:hint="default"/>
          <w:color w:val="auto"/>
          <w:highlight w:val="none"/>
          <w:lang w:val="en-US" w:eastAsia="zh-CN"/>
        </w:rPr>
      </w:pPr>
      <w:r>
        <w:rPr>
          <w:rFonts w:hint="default"/>
          <w:color w:val="auto"/>
          <w:highlight w:val="none"/>
          <w:lang w:val="en-US" w:eastAsia="zh-CN"/>
        </w:rPr>
        <w:t>①污水处理站排污口</w:t>
      </w:r>
    </w:p>
    <w:p>
      <w:pPr>
        <w:bidi w:val="0"/>
        <w:rPr>
          <w:rFonts w:hint="default"/>
          <w:color w:val="auto"/>
          <w:highlight w:val="none"/>
          <w:lang w:val="en-US" w:eastAsia="zh-CN"/>
        </w:rPr>
      </w:pPr>
      <w:r>
        <w:rPr>
          <w:rFonts w:hint="default"/>
          <w:color w:val="auto"/>
          <w:highlight w:val="none"/>
          <w:lang w:val="en-US" w:eastAsia="zh-CN"/>
        </w:rPr>
        <w:t>A、污水处理站处理达标后废水排至园区污水管网，在排污口处竖立明显的标志牌，实现立标管理。</w:t>
      </w:r>
    </w:p>
    <w:p>
      <w:pPr>
        <w:bidi w:val="0"/>
        <w:rPr>
          <w:rFonts w:hint="default"/>
          <w:color w:val="auto"/>
          <w:highlight w:val="none"/>
          <w:lang w:val="en-US" w:eastAsia="zh-CN"/>
        </w:rPr>
      </w:pPr>
      <w:r>
        <w:rPr>
          <w:rFonts w:hint="default"/>
          <w:color w:val="auto"/>
          <w:highlight w:val="none"/>
          <w:lang w:val="en-US" w:eastAsia="zh-CN"/>
        </w:rPr>
        <w:t>B、安装流量测试装置以及</w:t>
      </w:r>
      <w:r>
        <w:rPr>
          <w:rFonts w:hint="eastAsia"/>
          <w:color w:val="auto"/>
          <w:highlight w:val="none"/>
          <w:lang w:val="en-US" w:eastAsia="zh-CN"/>
        </w:rPr>
        <w:t>流量、</w:t>
      </w:r>
      <w:r>
        <w:rPr>
          <w:rFonts w:hint="default"/>
          <w:color w:val="auto"/>
          <w:highlight w:val="none"/>
          <w:lang w:val="en-US" w:eastAsia="zh-CN"/>
        </w:rPr>
        <w:t>CODcr和氨氮在线监控设施。</w:t>
      </w:r>
    </w:p>
    <w:p>
      <w:pPr>
        <w:bidi w:val="0"/>
        <w:rPr>
          <w:rFonts w:hint="default"/>
          <w:color w:val="auto"/>
          <w:highlight w:val="none"/>
          <w:lang w:val="en-US" w:eastAsia="zh-CN"/>
        </w:rPr>
      </w:pPr>
      <w:r>
        <w:rPr>
          <w:rFonts w:hint="default"/>
          <w:color w:val="auto"/>
          <w:highlight w:val="none"/>
          <w:lang w:val="en-US" w:eastAsia="zh-CN"/>
        </w:rPr>
        <w:t>②废气排放口：</w:t>
      </w:r>
    </w:p>
    <w:p>
      <w:pPr>
        <w:bidi w:val="0"/>
        <w:rPr>
          <w:rFonts w:hint="default"/>
          <w:color w:val="auto"/>
          <w:highlight w:val="none"/>
          <w:lang w:val="en-US" w:eastAsia="zh-CN"/>
        </w:rPr>
      </w:pPr>
      <w:r>
        <w:rPr>
          <w:rFonts w:hint="default"/>
          <w:color w:val="auto"/>
          <w:highlight w:val="none"/>
          <w:lang w:val="en-US" w:eastAsia="zh-CN"/>
        </w:rPr>
        <w:t>A、每个排气筒高度应符合国家大气污染物排放标准的有关规定</w:t>
      </w:r>
      <w:r>
        <w:rPr>
          <w:rFonts w:hint="eastAsia"/>
          <w:color w:val="auto"/>
          <w:highlight w:val="none"/>
          <w:lang w:val="en-US" w:eastAsia="zh-CN"/>
        </w:rPr>
        <w:t>，对DA007及DA008排气筒高度应不低于32m，DA009及DA010排气筒高度应不低于15m。</w:t>
      </w:r>
    </w:p>
    <w:p>
      <w:pPr>
        <w:bidi w:val="0"/>
        <w:rPr>
          <w:rFonts w:hint="default"/>
          <w:color w:val="auto"/>
          <w:highlight w:val="none"/>
          <w:lang w:val="en-US" w:eastAsia="zh-CN"/>
        </w:rPr>
      </w:pPr>
      <w:r>
        <w:rPr>
          <w:rFonts w:hint="default"/>
          <w:color w:val="auto"/>
          <w:highlight w:val="none"/>
          <w:lang w:val="en-US" w:eastAsia="zh-CN"/>
        </w:rPr>
        <w:t>B、排气筒应设置便于采样、监测的采样口和采样监测平台，有净化设施的，应在其进出口分别设置采样口</w:t>
      </w:r>
      <w:r>
        <w:rPr>
          <w:rFonts w:hint="eastAsia"/>
          <w:color w:val="auto"/>
          <w:highlight w:val="none"/>
          <w:lang w:val="en-US" w:eastAsia="zh-CN"/>
        </w:rPr>
        <w:t>。</w:t>
      </w:r>
    </w:p>
    <w:p>
      <w:pPr>
        <w:bidi w:val="0"/>
        <w:rPr>
          <w:rFonts w:hint="default"/>
          <w:color w:val="auto"/>
          <w:highlight w:val="none"/>
          <w:lang w:val="en-US" w:eastAsia="zh-CN"/>
        </w:rPr>
      </w:pPr>
      <w:r>
        <w:rPr>
          <w:rFonts w:hint="default"/>
          <w:color w:val="auto"/>
          <w:highlight w:val="none"/>
          <w:lang w:val="en-US" w:eastAsia="zh-CN"/>
        </w:rPr>
        <w:t>③固体废物</w:t>
      </w:r>
    </w:p>
    <w:p>
      <w:pPr>
        <w:bidi w:val="0"/>
        <w:rPr>
          <w:rFonts w:hint="default"/>
          <w:color w:val="auto"/>
          <w:highlight w:val="none"/>
          <w:lang w:val="en-US" w:eastAsia="zh-CN"/>
        </w:rPr>
      </w:pPr>
      <w:r>
        <w:rPr>
          <w:rFonts w:hint="default"/>
          <w:color w:val="auto"/>
          <w:highlight w:val="none"/>
          <w:lang w:val="en-US" w:eastAsia="zh-CN"/>
        </w:rPr>
        <w:t>一般工业固体废物、危险废物的暂存库(场)应设置规范化标志牌及警示标志。</w:t>
      </w:r>
    </w:p>
    <w:p>
      <w:pPr>
        <w:bidi w:val="0"/>
        <w:rPr>
          <w:rFonts w:hint="default"/>
          <w:color w:val="auto"/>
          <w:highlight w:val="none"/>
          <w:lang w:val="en-US" w:eastAsia="zh-CN"/>
        </w:rPr>
      </w:pPr>
      <w:r>
        <w:rPr>
          <w:rFonts w:hint="default"/>
          <w:color w:val="auto"/>
          <w:highlight w:val="none"/>
          <w:lang w:val="en-US" w:eastAsia="zh-CN"/>
        </w:rPr>
        <w:t>（2）对排污口的规范化管理</w:t>
      </w:r>
    </w:p>
    <w:p>
      <w:pPr>
        <w:bidi w:val="0"/>
        <w:rPr>
          <w:rFonts w:hint="default"/>
          <w:color w:val="auto"/>
          <w:highlight w:val="none"/>
          <w:lang w:val="en-US" w:eastAsia="zh-CN"/>
        </w:rPr>
      </w:pPr>
      <w:r>
        <w:rPr>
          <w:rFonts w:hint="default"/>
          <w:color w:val="auto"/>
          <w:highlight w:val="none"/>
          <w:lang w:val="en-US" w:eastAsia="zh-CN"/>
        </w:rPr>
        <w:t>A、建设单位应如实填写《中华人民共和国规范化排污口标志登记证》的有关内容，由环保主管部门签发登记证。</w:t>
      </w:r>
    </w:p>
    <w:p>
      <w:pPr>
        <w:bidi w:val="0"/>
        <w:rPr>
          <w:rFonts w:hint="default"/>
          <w:color w:val="auto"/>
          <w:highlight w:val="none"/>
          <w:lang w:val="en-US" w:eastAsia="zh-CN"/>
        </w:rPr>
      </w:pPr>
      <w:r>
        <w:rPr>
          <w:rFonts w:hint="default"/>
          <w:color w:val="auto"/>
          <w:highlight w:val="none"/>
          <w:lang w:val="en-US" w:eastAsia="zh-CN"/>
        </w:rPr>
        <w:t>B、建设单位在排污口处设立的排污口标志牌要有统一的标识提示符号，以醒目、明显为目的，使人一看就清楚此处有废水排放。要有统一编号的排放情况简介（如单位名称、废水来源、排放规律、主要排放污染物的名称等），以警示群众。</w:t>
      </w:r>
    </w:p>
    <w:p>
      <w:pPr>
        <w:bidi w:val="0"/>
        <w:rPr>
          <w:rFonts w:hint="default"/>
          <w:color w:val="auto"/>
          <w:highlight w:val="none"/>
          <w:lang w:val="en-US" w:eastAsia="zh-CN"/>
        </w:rPr>
      </w:pPr>
      <w:r>
        <w:rPr>
          <w:rFonts w:hint="default"/>
          <w:color w:val="auto"/>
          <w:highlight w:val="none"/>
          <w:lang w:val="en-US" w:eastAsia="zh-CN"/>
        </w:rPr>
        <w:t>C、建立排污口档案，内容包括：排污单位的名称、排污口的性质、编号、排污口的位置；主要排放的污染物的来源、种类、数量、浓度、排放规律、排放去向以及污染治理设施的运行情况等进行建档管理，并报送有关主管部门备案并接受监督、检查与指导。</w:t>
      </w:r>
    </w:p>
    <w:p>
      <w:pPr>
        <w:pStyle w:val="24"/>
        <w:numPr>
          <w:ilvl w:val="6"/>
          <w:numId w:val="11"/>
        </w:numPr>
        <w:tabs>
          <w:tab w:val="left" w:pos="420"/>
        </w:tabs>
        <w:bidi w:val="0"/>
        <w:rPr>
          <w:rFonts w:hint="default"/>
          <w:color w:val="auto"/>
          <w:highlight w:val="none"/>
        </w:rPr>
      </w:pPr>
      <w:r>
        <w:rPr>
          <w:rFonts w:hint="default"/>
          <w:color w:val="auto"/>
          <w:highlight w:val="none"/>
        </w:rPr>
        <w:t>环境保护图形标志表</w:t>
      </w:r>
    </w:p>
    <w:tbl>
      <w:tblPr>
        <w:tblStyle w:val="17"/>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9"/>
        <w:gridCol w:w="2519"/>
        <w:gridCol w:w="2518"/>
        <w:gridCol w:w="25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729" w:type="dxa"/>
            <w:tcBorders>
              <w:tl2br w:val="nil"/>
              <w:tr2bl w:val="nil"/>
            </w:tcBorders>
            <w:vAlign w:val="center"/>
          </w:tcPr>
          <w:p>
            <w:pPr>
              <w:pStyle w:val="21"/>
              <w:bidi w:val="0"/>
              <w:rPr>
                <w:rFonts w:hint="default"/>
                <w:color w:val="auto"/>
                <w:highlight w:val="none"/>
              </w:rPr>
            </w:pPr>
            <w:r>
              <w:rPr>
                <w:rFonts w:hint="default"/>
                <w:color w:val="auto"/>
                <w:highlight w:val="none"/>
              </w:rPr>
              <w:t>名称</w:t>
            </w:r>
          </w:p>
        </w:tc>
        <w:tc>
          <w:tcPr>
            <w:tcW w:w="2519" w:type="dxa"/>
            <w:tcBorders>
              <w:tl2br w:val="nil"/>
              <w:tr2bl w:val="nil"/>
            </w:tcBorders>
            <w:vAlign w:val="center"/>
          </w:tcPr>
          <w:p>
            <w:pPr>
              <w:pStyle w:val="21"/>
              <w:bidi w:val="0"/>
              <w:rPr>
                <w:rFonts w:hint="default"/>
                <w:color w:val="auto"/>
                <w:highlight w:val="none"/>
              </w:rPr>
            </w:pPr>
            <w:r>
              <w:rPr>
                <w:rFonts w:hint="default"/>
                <w:color w:val="auto"/>
                <w:highlight w:val="none"/>
              </w:rPr>
              <w:t>提示图形符号</w:t>
            </w:r>
          </w:p>
        </w:tc>
        <w:tc>
          <w:tcPr>
            <w:tcW w:w="2518" w:type="dxa"/>
            <w:tcBorders>
              <w:tl2br w:val="nil"/>
              <w:tr2bl w:val="nil"/>
            </w:tcBorders>
            <w:vAlign w:val="center"/>
          </w:tcPr>
          <w:p>
            <w:pPr>
              <w:pStyle w:val="21"/>
              <w:bidi w:val="0"/>
              <w:rPr>
                <w:rFonts w:hint="default"/>
                <w:color w:val="auto"/>
                <w:highlight w:val="none"/>
              </w:rPr>
            </w:pPr>
            <w:r>
              <w:rPr>
                <w:rFonts w:hint="default"/>
                <w:color w:val="auto"/>
                <w:highlight w:val="none"/>
              </w:rPr>
              <w:t>警告图形符号</w:t>
            </w:r>
          </w:p>
        </w:tc>
        <w:tc>
          <w:tcPr>
            <w:tcW w:w="2521" w:type="dxa"/>
            <w:tcBorders>
              <w:tl2br w:val="nil"/>
              <w:tr2bl w:val="nil"/>
            </w:tcBorders>
            <w:vAlign w:val="center"/>
          </w:tcPr>
          <w:p>
            <w:pPr>
              <w:pStyle w:val="21"/>
              <w:bidi w:val="0"/>
              <w:rPr>
                <w:rFonts w:hint="default"/>
                <w:color w:val="auto"/>
                <w:highlight w:val="none"/>
              </w:rPr>
            </w:pPr>
            <w:r>
              <w:rPr>
                <w:rFonts w:hint="default"/>
                <w:color w:val="auto"/>
                <w:highlight w:val="none"/>
              </w:rPr>
              <w:t>设立位置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729" w:type="dxa"/>
            <w:tcBorders>
              <w:tl2br w:val="nil"/>
              <w:tr2bl w:val="nil"/>
            </w:tcBorders>
            <w:vAlign w:val="center"/>
          </w:tcPr>
          <w:p>
            <w:pPr>
              <w:pStyle w:val="21"/>
              <w:bidi w:val="0"/>
              <w:rPr>
                <w:rFonts w:hint="default"/>
                <w:color w:val="auto"/>
                <w:highlight w:val="none"/>
                <w:lang w:eastAsia="zh-CN"/>
              </w:rPr>
            </w:pPr>
            <w:r>
              <w:rPr>
                <w:rFonts w:hint="default"/>
                <w:color w:val="auto"/>
                <w:highlight w:val="none"/>
                <w:lang w:eastAsia="zh-CN"/>
              </w:rPr>
              <w:t>污水排放口</w:t>
            </w:r>
          </w:p>
        </w:tc>
        <w:tc>
          <w:tcPr>
            <w:tcW w:w="2519" w:type="dxa"/>
            <w:tcBorders>
              <w:tl2br w:val="nil"/>
              <w:tr2bl w:val="nil"/>
            </w:tcBorders>
            <w:vAlign w:val="center"/>
          </w:tcPr>
          <w:p>
            <w:pPr>
              <w:pStyle w:val="21"/>
              <w:bidi w:val="0"/>
              <w:rPr>
                <w:rFonts w:hint="default"/>
                <w:color w:val="auto"/>
                <w:highlight w:val="none"/>
              </w:rPr>
            </w:pPr>
            <w:r>
              <w:rPr>
                <w:rFonts w:hint="default"/>
                <w:color w:val="auto"/>
                <w:highlight w:val="none"/>
                <w:lang w:val="zh-CN"/>
              </w:rPr>
              <w:drawing>
                <wp:inline distT="0" distB="0" distL="114300" distR="114300">
                  <wp:extent cx="1084580" cy="1058545"/>
                  <wp:effectExtent l="0" t="0" r="1270" b="825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87"/>
                          <a:stretch>
                            <a:fillRect/>
                          </a:stretch>
                        </pic:blipFill>
                        <pic:spPr>
                          <a:xfrm>
                            <a:off x="0" y="0"/>
                            <a:ext cx="1084580" cy="1058545"/>
                          </a:xfrm>
                          <a:prstGeom prst="rect">
                            <a:avLst/>
                          </a:prstGeom>
                          <a:noFill/>
                          <a:ln>
                            <a:noFill/>
                          </a:ln>
                        </pic:spPr>
                      </pic:pic>
                    </a:graphicData>
                  </a:graphic>
                </wp:inline>
              </w:drawing>
            </w:r>
          </w:p>
        </w:tc>
        <w:tc>
          <w:tcPr>
            <w:tcW w:w="2518" w:type="dxa"/>
            <w:tcBorders>
              <w:tl2br w:val="nil"/>
              <w:tr2bl w:val="nil"/>
            </w:tcBorders>
            <w:vAlign w:val="center"/>
          </w:tcPr>
          <w:p>
            <w:pPr>
              <w:pStyle w:val="21"/>
              <w:bidi w:val="0"/>
              <w:rPr>
                <w:rFonts w:hint="default"/>
                <w:color w:val="auto"/>
                <w:highlight w:val="none"/>
              </w:rPr>
            </w:pPr>
            <w:r>
              <w:rPr>
                <w:rFonts w:hint="default"/>
                <w:color w:val="auto"/>
                <w:highlight w:val="none"/>
                <w:lang w:val="zh-CN"/>
              </w:rPr>
              <w:drawing>
                <wp:inline distT="0" distB="0" distL="114300" distR="114300">
                  <wp:extent cx="1170940" cy="1076325"/>
                  <wp:effectExtent l="0" t="0" r="10160" b="952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188"/>
                          <a:stretch>
                            <a:fillRect/>
                          </a:stretch>
                        </pic:blipFill>
                        <pic:spPr>
                          <a:xfrm>
                            <a:off x="0" y="0"/>
                            <a:ext cx="1170940" cy="1076325"/>
                          </a:xfrm>
                          <a:prstGeom prst="rect">
                            <a:avLst/>
                          </a:prstGeom>
                          <a:noFill/>
                          <a:ln>
                            <a:noFill/>
                          </a:ln>
                        </pic:spPr>
                      </pic:pic>
                    </a:graphicData>
                  </a:graphic>
                </wp:inline>
              </w:drawing>
            </w:r>
          </w:p>
        </w:tc>
        <w:tc>
          <w:tcPr>
            <w:tcW w:w="2521" w:type="dxa"/>
            <w:tcBorders>
              <w:tl2br w:val="nil"/>
              <w:tr2bl w:val="nil"/>
            </w:tcBorders>
            <w:vAlign w:val="center"/>
          </w:tcPr>
          <w:p>
            <w:pPr>
              <w:pStyle w:val="21"/>
              <w:bidi w:val="0"/>
              <w:rPr>
                <w:rFonts w:hint="default"/>
                <w:color w:val="auto"/>
                <w:highlight w:val="none"/>
                <w:lang w:val="en-US" w:eastAsia="zh-CN"/>
              </w:rPr>
            </w:pPr>
            <w:r>
              <w:rPr>
                <w:rFonts w:hint="default"/>
                <w:color w:val="auto"/>
                <w:highlight w:val="none"/>
                <w:lang w:val="en-US" w:eastAsia="zh-CN"/>
              </w:rPr>
              <w:t>废水排放口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729" w:type="dxa"/>
            <w:tcBorders>
              <w:tl2br w:val="nil"/>
              <w:tr2bl w:val="nil"/>
            </w:tcBorders>
            <w:vAlign w:val="center"/>
          </w:tcPr>
          <w:p>
            <w:pPr>
              <w:pStyle w:val="21"/>
              <w:bidi w:val="0"/>
              <w:rPr>
                <w:rFonts w:hint="default"/>
                <w:color w:val="auto"/>
                <w:highlight w:val="none"/>
              </w:rPr>
            </w:pPr>
            <w:r>
              <w:rPr>
                <w:rFonts w:hint="default"/>
                <w:color w:val="auto"/>
                <w:highlight w:val="none"/>
              </w:rPr>
              <w:t>废气排放口</w:t>
            </w:r>
          </w:p>
        </w:tc>
        <w:tc>
          <w:tcPr>
            <w:tcW w:w="2519" w:type="dxa"/>
            <w:tcBorders>
              <w:tl2br w:val="nil"/>
              <w:tr2bl w:val="nil"/>
            </w:tcBorders>
            <w:vAlign w:val="center"/>
          </w:tcPr>
          <w:p>
            <w:pPr>
              <w:pStyle w:val="21"/>
              <w:bidi w:val="0"/>
              <w:rPr>
                <w:rFonts w:hint="default"/>
                <w:color w:val="auto"/>
                <w:highlight w:val="none"/>
              </w:rPr>
            </w:pPr>
            <w:r>
              <w:rPr>
                <w:rFonts w:hint="default"/>
                <w:color w:val="auto"/>
                <w:highlight w:val="none"/>
              </w:rPr>
              <w:drawing>
                <wp:inline distT="0" distB="0" distL="114300" distR="114300">
                  <wp:extent cx="1007745" cy="1022350"/>
                  <wp:effectExtent l="0" t="0" r="1905" b="635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189"/>
                          <a:stretch>
                            <a:fillRect/>
                          </a:stretch>
                        </pic:blipFill>
                        <pic:spPr>
                          <a:xfrm>
                            <a:off x="0" y="0"/>
                            <a:ext cx="1007745" cy="1022350"/>
                          </a:xfrm>
                          <a:prstGeom prst="rect">
                            <a:avLst/>
                          </a:prstGeom>
                          <a:noFill/>
                          <a:ln>
                            <a:noFill/>
                          </a:ln>
                        </pic:spPr>
                      </pic:pic>
                    </a:graphicData>
                  </a:graphic>
                </wp:inline>
              </w:drawing>
            </w:r>
          </w:p>
        </w:tc>
        <w:tc>
          <w:tcPr>
            <w:tcW w:w="2518" w:type="dxa"/>
            <w:tcBorders>
              <w:tl2br w:val="nil"/>
              <w:tr2bl w:val="nil"/>
            </w:tcBorders>
            <w:vAlign w:val="center"/>
          </w:tcPr>
          <w:p>
            <w:pPr>
              <w:pStyle w:val="21"/>
              <w:bidi w:val="0"/>
              <w:rPr>
                <w:rFonts w:hint="default"/>
                <w:color w:val="auto"/>
                <w:highlight w:val="none"/>
              </w:rPr>
            </w:pPr>
            <w:r>
              <w:rPr>
                <w:rFonts w:hint="default"/>
                <w:color w:val="auto"/>
                <w:highlight w:val="none"/>
              </w:rPr>
              <w:drawing>
                <wp:inline distT="0" distB="0" distL="114300" distR="114300">
                  <wp:extent cx="942975" cy="942975"/>
                  <wp:effectExtent l="0" t="0" r="9525" b="952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190"/>
                          <a:stretch>
                            <a:fillRect/>
                          </a:stretch>
                        </pic:blipFill>
                        <pic:spPr>
                          <a:xfrm>
                            <a:off x="0" y="0"/>
                            <a:ext cx="942975" cy="942975"/>
                          </a:xfrm>
                          <a:prstGeom prst="rect">
                            <a:avLst/>
                          </a:prstGeom>
                          <a:noFill/>
                          <a:ln>
                            <a:noFill/>
                          </a:ln>
                        </pic:spPr>
                      </pic:pic>
                    </a:graphicData>
                  </a:graphic>
                </wp:inline>
              </w:drawing>
            </w:r>
          </w:p>
        </w:tc>
        <w:tc>
          <w:tcPr>
            <w:tcW w:w="2521" w:type="dxa"/>
            <w:tcBorders>
              <w:tl2br w:val="nil"/>
              <w:tr2bl w:val="nil"/>
            </w:tcBorders>
            <w:vAlign w:val="center"/>
          </w:tcPr>
          <w:p>
            <w:pPr>
              <w:pStyle w:val="21"/>
              <w:bidi w:val="0"/>
              <w:rPr>
                <w:rFonts w:hint="default"/>
                <w:color w:val="auto"/>
                <w:highlight w:val="none"/>
              </w:rPr>
            </w:pPr>
            <w:r>
              <w:rPr>
                <w:rFonts w:hint="default"/>
                <w:color w:val="auto"/>
                <w:highlight w:val="none"/>
              </w:rPr>
              <w:t>废气排放口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9" w:hRule="atLeast"/>
          <w:jc w:val="center"/>
        </w:trPr>
        <w:tc>
          <w:tcPr>
            <w:tcW w:w="1729" w:type="dxa"/>
            <w:tcBorders>
              <w:tl2br w:val="nil"/>
              <w:tr2bl w:val="nil"/>
            </w:tcBorders>
            <w:vAlign w:val="center"/>
          </w:tcPr>
          <w:p>
            <w:pPr>
              <w:pStyle w:val="21"/>
              <w:bidi w:val="0"/>
              <w:rPr>
                <w:rFonts w:hint="default"/>
                <w:color w:val="auto"/>
                <w:highlight w:val="none"/>
              </w:rPr>
            </w:pPr>
            <w:r>
              <w:rPr>
                <w:rFonts w:hint="default"/>
                <w:color w:val="auto"/>
                <w:highlight w:val="none"/>
              </w:rPr>
              <w:t>噪声排放源</w:t>
            </w:r>
          </w:p>
        </w:tc>
        <w:tc>
          <w:tcPr>
            <w:tcW w:w="2519" w:type="dxa"/>
            <w:tcBorders>
              <w:tl2br w:val="nil"/>
              <w:tr2bl w:val="nil"/>
            </w:tcBorders>
            <w:vAlign w:val="center"/>
          </w:tcPr>
          <w:p>
            <w:pPr>
              <w:pStyle w:val="21"/>
              <w:bidi w:val="0"/>
              <w:rPr>
                <w:rFonts w:hint="default"/>
                <w:color w:val="auto"/>
                <w:highlight w:val="none"/>
              </w:rPr>
            </w:pPr>
            <w:r>
              <w:rPr>
                <w:rFonts w:hint="default"/>
                <w:color w:val="auto"/>
                <w:highlight w:val="none"/>
              </w:rPr>
              <w:drawing>
                <wp:inline distT="0" distB="0" distL="114300" distR="114300">
                  <wp:extent cx="1007745" cy="1007745"/>
                  <wp:effectExtent l="0" t="0" r="1905" b="1905"/>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191"/>
                          <a:stretch>
                            <a:fillRect/>
                          </a:stretch>
                        </pic:blipFill>
                        <pic:spPr>
                          <a:xfrm>
                            <a:off x="0" y="0"/>
                            <a:ext cx="1007745" cy="1007745"/>
                          </a:xfrm>
                          <a:prstGeom prst="rect">
                            <a:avLst/>
                          </a:prstGeom>
                          <a:noFill/>
                          <a:ln>
                            <a:noFill/>
                          </a:ln>
                        </pic:spPr>
                      </pic:pic>
                    </a:graphicData>
                  </a:graphic>
                </wp:inline>
              </w:drawing>
            </w:r>
          </w:p>
        </w:tc>
        <w:tc>
          <w:tcPr>
            <w:tcW w:w="2518" w:type="dxa"/>
            <w:tcBorders>
              <w:tl2br w:val="nil"/>
              <w:tr2bl w:val="nil"/>
            </w:tcBorders>
            <w:vAlign w:val="center"/>
          </w:tcPr>
          <w:p>
            <w:pPr>
              <w:pStyle w:val="21"/>
              <w:bidi w:val="0"/>
              <w:rPr>
                <w:rFonts w:hint="default"/>
                <w:color w:val="auto"/>
                <w:highlight w:val="none"/>
              </w:rPr>
            </w:pPr>
            <w:r>
              <w:rPr>
                <w:rFonts w:hint="default"/>
                <w:color w:val="auto"/>
                <w:highlight w:val="none"/>
              </w:rPr>
              <w:drawing>
                <wp:inline distT="0" distB="0" distL="114300" distR="114300">
                  <wp:extent cx="942975" cy="842010"/>
                  <wp:effectExtent l="0" t="0" r="9525" b="1524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192"/>
                          <a:stretch>
                            <a:fillRect/>
                          </a:stretch>
                        </pic:blipFill>
                        <pic:spPr>
                          <a:xfrm>
                            <a:off x="0" y="0"/>
                            <a:ext cx="942975" cy="842010"/>
                          </a:xfrm>
                          <a:prstGeom prst="rect">
                            <a:avLst/>
                          </a:prstGeom>
                          <a:noFill/>
                          <a:ln>
                            <a:noFill/>
                          </a:ln>
                        </pic:spPr>
                      </pic:pic>
                    </a:graphicData>
                  </a:graphic>
                </wp:inline>
              </w:drawing>
            </w:r>
          </w:p>
        </w:tc>
        <w:tc>
          <w:tcPr>
            <w:tcW w:w="2521" w:type="dxa"/>
            <w:tcBorders>
              <w:tl2br w:val="nil"/>
              <w:tr2bl w:val="nil"/>
            </w:tcBorders>
            <w:vAlign w:val="center"/>
          </w:tcPr>
          <w:p>
            <w:pPr>
              <w:pStyle w:val="21"/>
              <w:bidi w:val="0"/>
              <w:rPr>
                <w:rFonts w:hint="default"/>
                <w:color w:val="auto"/>
                <w:highlight w:val="none"/>
              </w:rPr>
            </w:pPr>
            <w:r>
              <w:rPr>
                <w:rFonts w:hint="default"/>
                <w:color w:val="auto"/>
                <w:highlight w:val="none"/>
              </w:rPr>
              <w:t>噪声排放源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1729" w:type="dxa"/>
            <w:tcBorders>
              <w:tl2br w:val="nil"/>
              <w:tr2bl w:val="nil"/>
            </w:tcBorders>
            <w:vAlign w:val="center"/>
          </w:tcPr>
          <w:p>
            <w:pPr>
              <w:pStyle w:val="21"/>
              <w:bidi w:val="0"/>
              <w:rPr>
                <w:rFonts w:hint="default"/>
                <w:color w:val="auto"/>
                <w:highlight w:val="none"/>
              </w:rPr>
            </w:pPr>
            <w:r>
              <w:rPr>
                <w:rFonts w:hint="default"/>
                <w:color w:val="auto"/>
                <w:highlight w:val="none"/>
              </w:rPr>
              <w:t>一般固体废物</w:t>
            </w:r>
          </w:p>
        </w:tc>
        <w:tc>
          <w:tcPr>
            <w:tcW w:w="2519" w:type="dxa"/>
            <w:tcBorders>
              <w:tl2br w:val="nil"/>
              <w:tr2bl w:val="nil"/>
            </w:tcBorders>
            <w:vAlign w:val="center"/>
          </w:tcPr>
          <w:p>
            <w:pPr>
              <w:pStyle w:val="21"/>
              <w:bidi w:val="0"/>
              <w:rPr>
                <w:rFonts w:hint="default"/>
                <w:color w:val="auto"/>
                <w:highlight w:val="none"/>
              </w:rPr>
            </w:pPr>
            <w:r>
              <w:rPr>
                <w:rFonts w:hint="default"/>
                <w:color w:val="auto"/>
                <w:highlight w:val="none"/>
              </w:rPr>
              <w:drawing>
                <wp:inline distT="0" distB="0" distL="114300" distR="114300">
                  <wp:extent cx="1007745" cy="1020445"/>
                  <wp:effectExtent l="0" t="0" r="1905" b="825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193"/>
                          <a:stretch>
                            <a:fillRect/>
                          </a:stretch>
                        </pic:blipFill>
                        <pic:spPr>
                          <a:xfrm>
                            <a:off x="0" y="0"/>
                            <a:ext cx="1007745" cy="1020445"/>
                          </a:xfrm>
                          <a:prstGeom prst="rect">
                            <a:avLst/>
                          </a:prstGeom>
                          <a:noFill/>
                          <a:ln>
                            <a:noFill/>
                          </a:ln>
                        </pic:spPr>
                      </pic:pic>
                    </a:graphicData>
                  </a:graphic>
                </wp:inline>
              </w:drawing>
            </w:r>
          </w:p>
        </w:tc>
        <w:tc>
          <w:tcPr>
            <w:tcW w:w="2518" w:type="dxa"/>
            <w:tcBorders>
              <w:tl2br w:val="nil"/>
              <w:tr2bl w:val="nil"/>
            </w:tcBorders>
            <w:vAlign w:val="center"/>
          </w:tcPr>
          <w:p>
            <w:pPr>
              <w:pStyle w:val="21"/>
              <w:bidi w:val="0"/>
              <w:rPr>
                <w:rFonts w:hint="default"/>
                <w:color w:val="auto"/>
                <w:highlight w:val="none"/>
              </w:rPr>
            </w:pPr>
            <w:r>
              <w:rPr>
                <w:rFonts w:hint="default"/>
                <w:color w:val="auto"/>
                <w:highlight w:val="none"/>
              </w:rPr>
              <w:drawing>
                <wp:inline distT="0" distB="0" distL="114300" distR="114300">
                  <wp:extent cx="942975" cy="897890"/>
                  <wp:effectExtent l="0" t="0" r="9525" b="16510"/>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194"/>
                          <a:stretch>
                            <a:fillRect/>
                          </a:stretch>
                        </pic:blipFill>
                        <pic:spPr>
                          <a:xfrm>
                            <a:off x="0" y="0"/>
                            <a:ext cx="942975" cy="897890"/>
                          </a:xfrm>
                          <a:prstGeom prst="rect">
                            <a:avLst/>
                          </a:prstGeom>
                          <a:noFill/>
                          <a:ln>
                            <a:noFill/>
                          </a:ln>
                        </pic:spPr>
                      </pic:pic>
                    </a:graphicData>
                  </a:graphic>
                </wp:inline>
              </w:drawing>
            </w:r>
          </w:p>
        </w:tc>
        <w:tc>
          <w:tcPr>
            <w:tcW w:w="2521" w:type="dxa"/>
            <w:tcBorders>
              <w:tl2br w:val="nil"/>
              <w:tr2bl w:val="nil"/>
            </w:tcBorders>
            <w:vAlign w:val="center"/>
          </w:tcPr>
          <w:p>
            <w:pPr>
              <w:pStyle w:val="21"/>
              <w:bidi w:val="0"/>
              <w:rPr>
                <w:rFonts w:hint="default"/>
                <w:color w:val="auto"/>
                <w:highlight w:val="none"/>
              </w:rPr>
            </w:pPr>
            <w:r>
              <w:rPr>
                <w:rFonts w:hint="default"/>
                <w:color w:val="auto"/>
                <w:highlight w:val="none"/>
              </w:rPr>
              <w:t>一般</w:t>
            </w:r>
            <w:r>
              <w:rPr>
                <w:rFonts w:hint="eastAsia"/>
                <w:color w:val="auto"/>
                <w:highlight w:val="none"/>
                <w:lang w:val="en-US" w:eastAsia="zh-CN"/>
              </w:rPr>
              <w:t>工业固体废物</w:t>
            </w:r>
            <w:r>
              <w:rPr>
                <w:rFonts w:hint="default"/>
                <w:color w:val="auto"/>
                <w:highlight w:val="none"/>
              </w:rPr>
              <w:t>暂存区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1729" w:type="dxa"/>
            <w:tcBorders>
              <w:tl2br w:val="nil"/>
              <w:tr2bl w:val="nil"/>
            </w:tcBorders>
            <w:vAlign w:val="center"/>
          </w:tcPr>
          <w:p>
            <w:pPr>
              <w:pStyle w:val="21"/>
              <w:bidi w:val="0"/>
              <w:rPr>
                <w:rFonts w:hint="default"/>
                <w:color w:val="auto"/>
                <w:highlight w:val="none"/>
              </w:rPr>
            </w:pPr>
            <w:r>
              <w:rPr>
                <w:rFonts w:hint="default"/>
                <w:color w:val="auto"/>
                <w:highlight w:val="none"/>
              </w:rPr>
              <w:t>危险废物</w:t>
            </w:r>
          </w:p>
        </w:tc>
        <w:tc>
          <w:tcPr>
            <w:tcW w:w="2519" w:type="dxa"/>
            <w:tcBorders>
              <w:tl2br w:val="nil"/>
              <w:tr2bl w:val="nil"/>
            </w:tcBorders>
            <w:vAlign w:val="center"/>
          </w:tcPr>
          <w:p>
            <w:pPr>
              <w:pStyle w:val="21"/>
              <w:bidi w:val="0"/>
              <w:rPr>
                <w:rFonts w:hint="default"/>
                <w:color w:val="auto"/>
                <w:highlight w:val="none"/>
              </w:rPr>
            </w:pPr>
          </w:p>
        </w:tc>
        <w:tc>
          <w:tcPr>
            <w:tcW w:w="2518" w:type="dxa"/>
            <w:tcBorders>
              <w:tl2br w:val="nil"/>
              <w:tr2bl w:val="nil"/>
            </w:tcBorders>
            <w:vAlign w:val="center"/>
          </w:tcPr>
          <w:p>
            <w:pPr>
              <w:pStyle w:val="21"/>
              <w:bidi w:val="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939165" cy="933450"/>
                  <wp:effectExtent l="0" t="0" r="13335" b="0"/>
                  <wp:docPr id="73" name="图片 73" descr="危废暂存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危废暂存点"/>
                          <pic:cNvPicPr>
                            <a:picLocks noChangeAspect="1"/>
                          </pic:cNvPicPr>
                        </pic:nvPicPr>
                        <pic:blipFill>
                          <a:blip r:embed="rId195"/>
                          <a:stretch>
                            <a:fillRect/>
                          </a:stretch>
                        </pic:blipFill>
                        <pic:spPr>
                          <a:xfrm>
                            <a:off x="0" y="0"/>
                            <a:ext cx="939165" cy="933450"/>
                          </a:xfrm>
                          <a:prstGeom prst="rect">
                            <a:avLst/>
                          </a:prstGeom>
                        </pic:spPr>
                      </pic:pic>
                    </a:graphicData>
                  </a:graphic>
                </wp:inline>
              </w:drawing>
            </w:r>
          </w:p>
        </w:tc>
        <w:tc>
          <w:tcPr>
            <w:tcW w:w="2521" w:type="dxa"/>
            <w:tcBorders>
              <w:tl2br w:val="nil"/>
              <w:tr2bl w:val="nil"/>
            </w:tcBorders>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危险废物暂存区</w:t>
            </w:r>
          </w:p>
        </w:tc>
      </w:tr>
    </w:tbl>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3"/>
        </w:numPr>
        <w:bidi w:val="0"/>
        <w:rPr>
          <w:rFonts w:hint="default"/>
          <w:color w:val="auto"/>
          <w:lang w:val="en-US" w:eastAsia="zh-CN"/>
        </w:rPr>
      </w:pPr>
      <w:bookmarkStart w:id="692" w:name="_Toc15986"/>
      <w:bookmarkStart w:id="693" w:name="_Toc12377"/>
      <w:bookmarkStart w:id="694" w:name="_Toc15924"/>
      <w:bookmarkStart w:id="695" w:name="_Toc19945"/>
      <w:r>
        <w:rPr>
          <w:rFonts w:hint="default"/>
          <w:color w:val="auto"/>
          <w:lang w:val="en-US" w:eastAsia="zh-CN"/>
        </w:rPr>
        <w:t>结论与建议</w:t>
      </w:r>
      <w:bookmarkEnd w:id="692"/>
      <w:bookmarkEnd w:id="693"/>
      <w:bookmarkEnd w:id="694"/>
      <w:bookmarkEnd w:id="695"/>
    </w:p>
    <w:p>
      <w:pPr>
        <w:pStyle w:val="3"/>
        <w:numPr>
          <w:ilvl w:val="1"/>
          <w:numId w:val="12"/>
        </w:numPr>
        <w:bidi w:val="0"/>
        <w:rPr>
          <w:rFonts w:hint="default" w:ascii="Times New Roman" w:hAnsi="Times New Roman" w:cs="Times New Roman"/>
          <w:color w:val="auto"/>
          <w:highlight w:val="none"/>
          <w:lang w:val="en-US" w:eastAsia="zh-CN"/>
        </w:rPr>
      </w:pPr>
      <w:bookmarkStart w:id="696" w:name="_Toc4518"/>
      <w:bookmarkStart w:id="697" w:name="_Toc606"/>
      <w:bookmarkStart w:id="698" w:name="_Toc24629"/>
      <w:bookmarkStart w:id="699" w:name="_Toc3406"/>
      <w:r>
        <w:rPr>
          <w:rFonts w:hint="default" w:ascii="Times New Roman" w:hAnsi="Times New Roman" w:cs="Times New Roman"/>
          <w:color w:val="auto"/>
          <w:highlight w:val="none"/>
          <w:lang w:val="en-US" w:eastAsia="zh-CN"/>
        </w:rPr>
        <w:t>项目概况</w:t>
      </w:r>
      <w:bookmarkEnd w:id="696"/>
      <w:bookmarkEnd w:id="697"/>
      <w:bookmarkEnd w:id="698"/>
      <w:bookmarkEnd w:id="699"/>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highlight w:val="none"/>
          <w:lang w:val="en-US" w:eastAsia="zh-CN"/>
        </w:rPr>
        <w:t>宁德市</w:t>
      </w:r>
      <w:r>
        <w:rPr>
          <w:rFonts w:hint="default" w:ascii="Times New Roman" w:hAnsi="Times New Roman" w:cs="Times New Roman"/>
          <w:color w:val="auto"/>
          <w:highlight w:val="none"/>
          <w:lang w:eastAsia="zh-CN"/>
        </w:rPr>
        <w:t>霞浦县牙城</w:t>
      </w:r>
      <w:r>
        <w:rPr>
          <w:rFonts w:hint="default" w:ascii="Times New Roman" w:hAnsi="Times New Roman" w:cs="Times New Roman"/>
          <w:color w:val="auto"/>
          <w:highlight w:val="none"/>
          <w:lang w:val="en-US" w:eastAsia="zh-CN"/>
        </w:rPr>
        <w:t>镇工业园</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原</w:t>
      </w:r>
      <w:r>
        <w:rPr>
          <w:rFonts w:hint="default" w:ascii="Times New Roman" w:hAnsi="Times New Roman" w:cs="Times New Roman"/>
          <w:color w:val="auto"/>
          <w:highlight w:val="none"/>
          <w:lang w:eastAsia="zh-CN"/>
        </w:rPr>
        <w:t>霞浦县牙城镇东洋工业园），</w:t>
      </w:r>
      <w:r>
        <w:rPr>
          <w:rFonts w:hint="default" w:ascii="Times New Roman" w:hAnsi="Times New Roman" w:cs="Times New Roman"/>
          <w:color w:val="auto"/>
          <w:highlight w:val="none"/>
          <w:lang w:val="en-US" w:eastAsia="zh-CN"/>
        </w:rPr>
        <w:t>主</w:t>
      </w:r>
      <w:r>
        <w:rPr>
          <w:rFonts w:hint="default" w:ascii="Times New Roman" w:hAnsi="Times New Roman" w:eastAsia="宋体" w:cs="Times New Roman"/>
          <w:color w:val="auto"/>
          <w:highlight w:val="none"/>
          <w:lang w:val="en-US" w:eastAsia="zh-CN"/>
        </w:rPr>
        <w:t>要利用涤纶织物下脚料、瓶片等生产PET再生纤维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近年来，因国内地区涤纶纤维的需求量不断增长，为应对市场需求，福建闽宏纤维有限公司于宁德市</w:t>
      </w:r>
      <w:r>
        <w:rPr>
          <w:rFonts w:hint="default" w:ascii="Times New Roman" w:hAnsi="Times New Roman" w:cs="Times New Roman"/>
          <w:color w:val="auto"/>
          <w:highlight w:val="none"/>
          <w:lang w:eastAsia="zh-CN"/>
        </w:rPr>
        <w:t>霞浦县牙城</w:t>
      </w:r>
      <w:r>
        <w:rPr>
          <w:rFonts w:hint="default" w:ascii="Times New Roman" w:hAnsi="Times New Roman" w:cs="Times New Roman"/>
          <w:color w:val="auto"/>
          <w:highlight w:val="none"/>
          <w:lang w:val="en-US" w:eastAsia="zh-CN"/>
        </w:rPr>
        <w:t>镇工业园征地22772.5 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（合34.159亩），扩建2条PET再生纤维生产线，建设年产5万吨PET再生纤维，项目总投资1.5亿元，用地性质为工业用地。扩建工程实施后，新增职工200人，其中100人在厂食宿，100不在厂食宿，年生产330天，每天24 h连续生产，采用3班制，每班8 h，项目计划建设周期为48个月。本次扩建工程与现有工程无依托关系。</w:t>
      </w:r>
    </w:p>
    <w:p>
      <w:pPr>
        <w:pStyle w:val="3"/>
        <w:numPr>
          <w:ilvl w:val="1"/>
          <w:numId w:val="12"/>
        </w:numPr>
        <w:bidi w:val="0"/>
        <w:rPr>
          <w:rFonts w:hint="default" w:ascii="Times New Roman" w:hAnsi="Times New Roman" w:cs="Times New Roman"/>
          <w:color w:val="auto"/>
          <w:highlight w:val="none"/>
          <w:lang w:val="en-US" w:eastAsia="zh-CN"/>
        </w:rPr>
      </w:pPr>
      <w:bookmarkStart w:id="700" w:name="_Toc4020"/>
      <w:bookmarkStart w:id="701" w:name="_Toc27424"/>
      <w:bookmarkStart w:id="702" w:name="_Toc20065"/>
      <w:bookmarkStart w:id="703" w:name="_Toc24716"/>
      <w:r>
        <w:rPr>
          <w:rFonts w:hint="default" w:ascii="Times New Roman" w:hAnsi="Times New Roman" w:cs="Times New Roman"/>
          <w:color w:val="auto"/>
          <w:highlight w:val="none"/>
          <w:lang w:val="en-US" w:eastAsia="zh-CN"/>
        </w:rPr>
        <w:t>环境质量现状</w:t>
      </w:r>
      <w:bookmarkEnd w:id="700"/>
      <w:bookmarkEnd w:id="701"/>
      <w:bookmarkEnd w:id="702"/>
      <w:bookmarkEnd w:id="703"/>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大气环境质量现状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（1）区域环境质量达标情况</w:t>
      </w:r>
    </w:p>
    <w:p>
      <w:pPr>
        <w:bidi w:val="0"/>
        <w:rPr>
          <w:rFonts w:hint="default" w:ascii="Times New Roman" w:hAnsi="Times New Roman" w:eastAsia="宋体" w:cs="Times New Roman"/>
          <w:color w:val="auto"/>
          <w:sz w:val="24"/>
          <w:highlight w:val="none"/>
          <w:u w:val="none"/>
          <w:lang w:val="en-US" w:eastAsia="zh-CN"/>
        </w:rPr>
      </w:pPr>
      <w:r>
        <w:rPr>
          <w:rFonts w:hint="default" w:ascii="Times New Roman" w:hAnsi="Times New Roman" w:cs="Times New Roman"/>
          <w:color w:val="auto"/>
          <w:highlight w:val="none"/>
        </w:rPr>
        <w:t>根据202</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年2月福建省宁德环境监测中心站公布的《宁德市环境质量概要（20</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年度）》，20</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年霞浦县SO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年均浓度分别为9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、18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eastAsia" w:cs="Times New Roman"/>
          <w:color w:val="auto"/>
          <w:highlight w:val="none"/>
          <w:lang w:val="en-US" w:eastAsia="zh-CN"/>
        </w:rPr>
        <w:t>37</w:t>
      </w:r>
      <w:r>
        <w:rPr>
          <w:rFonts w:hint="default" w:ascii="Times New Roman" w:hAnsi="Times New Roman" w:cs="Times New Roman"/>
          <w:color w:val="auto"/>
          <w:highlight w:val="none"/>
        </w:rPr>
        <w:t xml:space="preserve">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w:t>
      </w:r>
      <w:r>
        <w:rPr>
          <w:rFonts w:hint="eastAsia" w:cs="Times New Roman"/>
          <w:color w:val="auto"/>
          <w:highlight w:val="none"/>
          <w:lang w:val="en-US" w:eastAsia="zh-CN"/>
        </w:rPr>
        <w:t>1</w:t>
      </w:r>
      <w:r>
        <w:rPr>
          <w:rFonts w:hint="default" w:ascii="Times New Roman" w:hAnsi="Times New Roman" w:cs="Times New Roman"/>
          <w:color w:val="auto"/>
          <w:highlight w:val="none"/>
        </w:rPr>
        <w:t xml:space="preserve">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；CO 24小时平均第95百分位数为1.</w:t>
      </w:r>
      <w:r>
        <w:rPr>
          <w:rFonts w:hint="eastAsia" w:cs="Times New Roman"/>
          <w:color w:val="auto"/>
          <w:highlight w:val="none"/>
          <w:lang w:val="en-US" w:eastAsia="zh-CN"/>
        </w:rPr>
        <w:t xml:space="preserve">2 </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日最大8小时平均第90百分位数为</w:t>
      </w:r>
      <w:r>
        <w:rPr>
          <w:rFonts w:hint="eastAsia" w:cs="Times New Roman"/>
          <w:color w:val="auto"/>
          <w:highlight w:val="none"/>
          <w:lang w:val="en-US" w:eastAsia="zh-CN"/>
        </w:rPr>
        <w:t>91</w:t>
      </w:r>
      <w:r>
        <w:rPr>
          <w:rFonts w:hint="default" w:ascii="Times New Roman" w:hAnsi="Times New Roman" w:cs="Times New Roman"/>
          <w:color w:val="auto"/>
          <w:highlight w:val="none"/>
        </w:rPr>
        <w:t xml:space="preserve"> µg/m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；各污染物平均浓度均优于《环境空气质量标准》（GB3095-2012）中二级标准限值</w:t>
      </w:r>
      <w:r>
        <w:rPr>
          <w:rFonts w:hint="eastAsia" w:cs="Times New Roman"/>
          <w:color w:val="auto"/>
          <w:highlight w:val="none"/>
          <w:lang w:eastAsia="zh-CN"/>
        </w:rPr>
        <w:t>，</w:t>
      </w:r>
      <w:r>
        <w:rPr>
          <w:rFonts w:hint="default" w:ascii="Times New Roman" w:hAnsi="Times New Roman" w:cs="Times New Roman"/>
          <w:color w:val="auto"/>
          <w:highlight w:val="none"/>
        </w:rPr>
        <w:t>大气环境质量较好，属于达标区域</w:t>
      </w:r>
      <w:r>
        <w:rPr>
          <w:rFonts w:hint="default" w:ascii="Times New Roman" w:hAnsi="Times New Roman" w:eastAsia="宋体" w:cs="Times New Roman"/>
          <w:color w:val="auto"/>
          <w:sz w:val="24"/>
          <w:highlight w:val="none"/>
          <w:u w:val="none"/>
          <w:lang w:val="en-US" w:eastAsia="zh-CN"/>
        </w:rPr>
        <w:t>。</w:t>
      </w:r>
    </w:p>
    <w:p>
      <w:pPr>
        <w:bidi w:val="0"/>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lang w:val="en-US" w:eastAsia="zh-CN"/>
        </w:rPr>
        <w:t>（2）</w:t>
      </w:r>
      <w:r>
        <w:rPr>
          <w:rFonts w:hint="default" w:ascii="Times New Roman" w:hAnsi="Times New Roman" w:cs="Times New Roman"/>
          <w:color w:val="auto"/>
          <w:sz w:val="24"/>
          <w:highlight w:val="none"/>
          <w:u w:val="none"/>
        </w:rPr>
        <w:t>区域</w:t>
      </w:r>
      <w:r>
        <w:rPr>
          <w:rFonts w:hint="default" w:ascii="Times New Roman" w:hAnsi="Times New Roman" w:cs="Times New Roman"/>
          <w:color w:val="auto"/>
          <w:sz w:val="24"/>
          <w:highlight w:val="none"/>
          <w:u w:val="none"/>
          <w:lang w:val="en-US" w:eastAsia="zh-CN"/>
        </w:rPr>
        <w:t>特征</w:t>
      </w:r>
      <w:r>
        <w:rPr>
          <w:rFonts w:hint="default" w:ascii="Times New Roman" w:hAnsi="Times New Roman" w:cs="Times New Roman"/>
          <w:color w:val="auto"/>
          <w:sz w:val="24"/>
          <w:highlight w:val="none"/>
          <w:u w:val="none"/>
        </w:rPr>
        <w:t>污染物环境质量现状</w:t>
      </w:r>
    </w:p>
    <w:p>
      <w:pPr>
        <w:bidi w:val="0"/>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rPr>
        <w:t>根据本项目的工程分析章节，本项目建成后，大气特征污染物主要有</w:t>
      </w:r>
      <w:r>
        <w:rPr>
          <w:rFonts w:hint="eastAsia" w:cs="Times New Roman"/>
          <w:color w:val="auto"/>
          <w:highlight w:val="none"/>
          <w:lang w:val="en-US" w:eastAsia="zh-CN"/>
        </w:rPr>
        <w:t>颗粒物</w:t>
      </w:r>
      <w:r>
        <w:rPr>
          <w:rFonts w:hint="default" w:ascii="Times New Roman" w:hAnsi="Times New Roman" w:cs="Times New Roman"/>
          <w:color w:val="auto"/>
          <w:highlight w:val="none"/>
          <w:lang w:val="en-US" w:eastAsia="zh-CN"/>
        </w:rPr>
        <w:t>、非甲烷总烃、</w:t>
      </w: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i/>
          <w:iCs/>
          <w:color w:val="auto"/>
          <w:szCs w:val="20"/>
          <w:highlight w:val="none"/>
          <w:vertAlign w:val="subscript"/>
          <w:lang w:val="en-US" w:eastAsia="zh-CN"/>
        </w:rPr>
        <w:t>X</w:t>
      </w:r>
      <w:r>
        <w:rPr>
          <w:rFonts w:hint="default" w:ascii="Times New Roman" w:hAnsi="Times New Roman" w:cs="Times New Roman"/>
          <w:i/>
          <w:iCs/>
          <w:color w:val="auto"/>
          <w:szCs w:val="20"/>
          <w:highlight w:val="none"/>
          <w:vertAlign w:val="baseline"/>
          <w:lang w:val="en-US" w:eastAsia="zh-CN"/>
        </w:rPr>
        <w:t>、</w:t>
      </w:r>
      <w:r>
        <w:rPr>
          <w:rFonts w:hint="default" w:ascii="Times New Roman" w:hAnsi="Times New Roman" w:cs="Times New Roman"/>
          <w:color w:val="auto"/>
          <w:szCs w:val="20"/>
          <w:highlight w:val="none"/>
          <w:lang w:val="en-US" w:eastAsia="zh-CN"/>
        </w:rPr>
        <w:t>氨、硫化氢</w:t>
      </w:r>
      <w:r>
        <w:rPr>
          <w:rFonts w:hint="default" w:ascii="Times New Roman" w:hAnsi="Times New Roman" w:cs="Times New Roman"/>
          <w:color w:val="auto"/>
          <w:sz w:val="24"/>
          <w:highlight w:val="none"/>
          <w:u w:val="none"/>
        </w:rPr>
        <w:t>。环境质量监测数据来源引用历史数据</w:t>
      </w:r>
      <w:r>
        <w:rPr>
          <w:rFonts w:hint="default" w:ascii="Times New Roman" w:hAnsi="Times New Roman" w:cs="Times New Roman"/>
          <w:color w:val="auto"/>
          <w:sz w:val="24"/>
          <w:highlight w:val="none"/>
          <w:u w:val="none"/>
          <w:lang w:eastAsia="zh-CN"/>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sz w:val="24"/>
          <w:szCs w:val="24"/>
          <w:highlight w:val="none"/>
        </w:rPr>
        <w:t>非甲烷总烃</w:t>
      </w:r>
      <w:r>
        <w:rPr>
          <w:rFonts w:hint="default" w:ascii="Times New Roman" w:hAnsi="Times New Roman" w:cs="Times New Roman"/>
          <w:i w:val="0"/>
          <w:iCs w:val="0"/>
          <w:color w:val="auto"/>
          <w:sz w:val="24"/>
          <w:szCs w:val="24"/>
          <w:highlight w:val="none"/>
          <w:vertAlign w:val="baseline"/>
          <w:lang w:val="en-US" w:eastAsia="zh-CN"/>
        </w:rPr>
        <w:t>引</w:t>
      </w:r>
      <w:r>
        <w:rPr>
          <w:rFonts w:hint="default" w:ascii="Times New Roman" w:hAnsi="Times New Roman" w:cs="Times New Roman"/>
          <w:color w:val="auto"/>
          <w:sz w:val="24"/>
          <w:szCs w:val="24"/>
          <w:highlight w:val="none"/>
          <w:lang w:val="en-US" w:eastAsia="zh-CN"/>
        </w:rPr>
        <w:t>用福建天</w:t>
      </w:r>
      <w:r>
        <w:rPr>
          <w:rFonts w:hint="default" w:ascii="Times New Roman" w:hAnsi="Times New Roman" w:eastAsia="宋体" w:cs="Times New Roman"/>
          <w:color w:val="auto"/>
          <w:sz w:val="24"/>
          <w:highlight w:val="none"/>
          <w:u w:val="none"/>
          <w:lang w:val="en-US" w:eastAsia="zh-CN"/>
        </w:rPr>
        <w:t>安环境检测评价有限公司</w:t>
      </w:r>
      <w:r>
        <w:rPr>
          <w:rFonts w:hint="default" w:ascii="Times New Roman" w:hAnsi="Times New Roman" w:eastAsia="宋体" w:cs="Times New Roman"/>
          <w:color w:val="auto"/>
          <w:sz w:val="24"/>
          <w:highlight w:val="none"/>
          <w:u w:val="none"/>
        </w:rPr>
        <w:t>于</w:t>
      </w:r>
      <w:r>
        <w:rPr>
          <w:rFonts w:hint="default" w:ascii="Times New Roman" w:hAnsi="Times New Roman" w:cs="Times New Roman"/>
          <w:color w:val="auto"/>
          <w:sz w:val="24"/>
          <w:szCs w:val="24"/>
          <w:highlight w:val="none"/>
          <w:lang w:val="en-US" w:eastAsia="zh-CN"/>
        </w:rPr>
        <w:t>2020年4月9</w:t>
      </w:r>
      <w:r>
        <w:rPr>
          <w:rFonts w:hint="default" w:ascii="Times New Roman" w:hAnsi="Times New Roman" w:cs="Times New Roman"/>
          <w:color w:val="auto"/>
          <w:sz w:val="24"/>
          <w:szCs w:val="24"/>
          <w:highlight w:val="none"/>
        </w:rPr>
        <w:t>日～2020年</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15</w:t>
      </w:r>
      <w:r>
        <w:rPr>
          <w:rFonts w:hint="default" w:ascii="Times New Roman" w:hAnsi="Times New Roman" w:cs="Times New Roman"/>
          <w:color w:val="auto"/>
          <w:sz w:val="24"/>
          <w:szCs w:val="24"/>
          <w:highlight w:val="none"/>
        </w:rPr>
        <w:t>日</w:t>
      </w:r>
      <w:r>
        <w:rPr>
          <w:rFonts w:hint="default" w:ascii="Times New Roman" w:hAnsi="Times New Roman" w:cs="Times New Roman"/>
          <w:color w:val="auto"/>
          <w:sz w:val="24"/>
          <w:szCs w:val="24"/>
          <w:highlight w:val="none"/>
          <w:lang w:val="en-US" w:eastAsia="zh-CN"/>
        </w:rPr>
        <w:t>对福建省钜泰钢管有限公司《钜泰年产2800吨不锈钢管生产线改建项目环境影响报告表》的现状监测数据，</w:t>
      </w:r>
      <w:r>
        <w:rPr>
          <w:rFonts w:hint="default" w:ascii="Times New Roman" w:hAnsi="Times New Roman" w:cs="Times New Roman"/>
          <w:color w:val="auto"/>
          <w:highlight w:val="none"/>
          <w:lang w:val="en-US" w:eastAsia="zh-CN"/>
        </w:rPr>
        <w:t>氨、硫化氢引用福建创投环境检测有限公司于2020年11月16日~11月22日对《霞浦县城乡医疗卫生建设项目环境影响报告书》中对牙城中心卫生院新院项目的现状监测数据</w:t>
      </w:r>
      <w:r>
        <w:rPr>
          <w:rFonts w:hint="default" w:ascii="Times New Roman" w:hAnsi="Times New Roman" w:cs="Times New Roman"/>
          <w:color w:val="auto"/>
          <w:sz w:val="24"/>
          <w:szCs w:val="24"/>
          <w:highlight w:val="none"/>
          <w:lang w:eastAsia="zh-CN"/>
        </w:rPr>
        <w:t>。</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根据监测结果，非甲烷总烃</w:t>
      </w:r>
      <w:r>
        <w:rPr>
          <w:rFonts w:hint="default" w:ascii="Times New Roman" w:hAnsi="Times New Roman" w:cs="Times New Roman"/>
          <w:color w:val="auto"/>
          <w:highlight w:val="none"/>
          <w:lang w:val="en-US" w:eastAsia="zh-CN"/>
        </w:rPr>
        <w:t>可满足《大气污染物综合排放详解》要</w:t>
      </w:r>
      <w:r>
        <w:rPr>
          <w:rFonts w:hint="default" w:ascii="Times New Roman" w:hAnsi="Times New Roman" w:cs="Times New Roman"/>
          <w:color w:val="auto"/>
          <w:sz w:val="24"/>
          <w:szCs w:val="24"/>
          <w:highlight w:val="none"/>
          <w:lang w:val="en-US" w:eastAsia="zh-CN"/>
        </w:rPr>
        <w:t>求；氨</w:t>
      </w:r>
      <w:r>
        <w:rPr>
          <w:rFonts w:hint="default" w:ascii="Times New Roman" w:hAnsi="Times New Roman" w:cs="Times New Roman"/>
          <w:color w:val="auto"/>
          <w:highlight w:val="none"/>
          <w:lang w:val="en-US" w:eastAsia="zh-CN"/>
        </w:rPr>
        <w:t>、硫化氢的监测浓度均可满足</w:t>
      </w:r>
      <w:r>
        <w:rPr>
          <w:rFonts w:hint="default" w:ascii="Times New Roman" w:hAnsi="Times New Roman" w:cs="Times New Roman"/>
          <w:color w:val="auto"/>
          <w:highlight w:val="none"/>
        </w:rPr>
        <w:t>《环境影响评价技术导则 大气环境》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HJ2.2-2018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附录D表D.1其他污染物空气质量浓度参考限值</w:t>
      </w:r>
      <w:r>
        <w:rPr>
          <w:rFonts w:hint="default" w:ascii="Times New Roman" w:hAnsi="Times New Roman" w:cs="Times New Roman"/>
          <w:color w:val="auto"/>
          <w:highlight w:val="none"/>
          <w:lang w:val="en-US" w:eastAsia="zh-CN"/>
        </w:rPr>
        <w:t>。由此表明，本项目评价区域范围内总体环境空气质量现状较好，各监测点位未出现超标现象</w:t>
      </w:r>
      <w:r>
        <w:rPr>
          <w:rFonts w:hint="default" w:ascii="Times New Roman" w:hAnsi="Times New Roman" w:cs="Times New Roman"/>
          <w:color w:val="auto"/>
          <w:highlight w:val="none"/>
        </w:rPr>
        <w:t>。</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海水环境质量现状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本项目附近海域为牙城湾，根据</w:t>
      </w:r>
      <w:r>
        <w:rPr>
          <w:rFonts w:hint="default" w:ascii="Times New Roman" w:hAnsi="Times New Roman" w:cs="Times New Roman"/>
          <w:color w:val="auto"/>
          <w:highlight w:val="none"/>
        </w:rPr>
        <w:t>2021年2月福建省宁德环境监测中心站公布的《宁德市环境质量概要（2020年度）》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霞浦牙城湾七都溪口水质类别为四类，不满足《海水水质标准》（GB3097-1997）第二类水质标准，超标因子为无机氮。</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地下水环境质量现状</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4"/>
          <w:szCs w:val="24"/>
          <w:highlight w:val="none"/>
          <w:lang w:val="en-US" w:eastAsia="zh-CN"/>
        </w:rPr>
        <w:t>为了解项目区域地下水环境质量，本次评价引用</w:t>
      </w:r>
      <w:r>
        <w:rPr>
          <w:rFonts w:hint="default" w:ascii="Times New Roman" w:hAnsi="Times New Roman" w:cs="Times New Roman"/>
          <w:color w:val="auto"/>
          <w:highlight w:val="none"/>
          <w:lang w:val="en-US" w:eastAsia="zh-CN"/>
        </w:rPr>
        <w:t>福建天安环境检测评价有限公司</w:t>
      </w:r>
      <w:r>
        <w:rPr>
          <w:rFonts w:hint="default" w:ascii="Times New Roman" w:hAnsi="Times New Roman" w:cs="Times New Roman"/>
          <w:color w:val="auto"/>
          <w:highlight w:val="none"/>
        </w:rPr>
        <w:t>于2020年</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对福建省钜泰钢管有限公司《钜泰年产2800吨不锈钢管生产线改建项目环境影响报告表》对区域地下水水质的</w:t>
      </w:r>
      <w:r>
        <w:rPr>
          <w:rFonts w:hint="default" w:ascii="Times New Roman" w:hAnsi="Times New Roman" w:cs="Times New Roman"/>
          <w:color w:val="auto"/>
          <w:sz w:val="24"/>
          <w:szCs w:val="24"/>
          <w:highlight w:val="none"/>
          <w:lang w:val="en-US" w:eastAsia="zh-CN"/>
        </w:rPr>
        <w:t>现状监测，监测因子为：</w:t>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sz w:val="24"/>
          <w:szCs w:val="24"/>
          <w:highlight w:val="none"/>
          <w:lang w:val="en-US" w:eastAsia="zh-CN"/>
        </w:rPr>
        <w:t>pH、氨氮、硝酸盐、亚硝酸盐、六价铬、氟、铁、高锰酸盐指数、石油类，</w:t>
      </w:r>
      <w:r>
        <w:rPr>
          <w:rFonts w:hint="default" w:ascii="Times New Roman" w:hAnsi="Times New Roman" w:eastAsia="宋体" w:cs="Times New Roman"/>
          <w:b w:val="0"/>
          <w:bCs w:val="0"/>
          <w:color w:val="auto"/>
          <w:sz w:val="24"/>
          <w:szCs w:val="24"/>
          <w:highlight w:val="none"/>
          <w:lang w:val="en-US" w:eastAsia="zh-CN"/>
        </w:rPr>
        <w:t>监测点位和本项目在同一水文地质单元内。根据监测结果，</w:t>
      </w:r>
      <w:r>
        <w:rPr>
          <w:rFonts w:hint="default" w:ascii="Times New Roman" w:hAnsi="Times New Roman" w:cs="Times New Roman"/>
          <w:color w:val="auto"/>
          <w:sz w:val="24"/>
          <w:szCs w:val="24"/>
          <w:highlight w:val="none"/>
          <w:lang w:val="en-US" w:eastAsia="zh-CN"/>
        </w:rPr>
        <w:t>各监测点位的各监测因子均能符合《地下水质量标准》（GB/T14848-2017）Ⅲ类质量标准限值要求，表明项目区域的地下水环境质量总体较好。</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声环境质量现状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为了解项目所在区域声环境</w:t>
      </w:r>
      <w:r>
        <w:rPr>
          <w:rFonts w:hint="eastAsia" w:cs="Times New Roman"/>
          <w:color w:val="auto"/>
          <w:highlight w:val="none"/>
          <w:lang w:val="en-US" w:eastAsia="zh-CN"/>
        </w:rPr>
        <w:t>质量</w:t>
      </w:r>
      <w:r>
        <w:rPr>
          <w:rFonts w:hint="default" w:ascii="Times New Roman" w:hAnsi="Times New Roman" w:cs="Times New Roman"/>
          <w:color w:val="auto"/>
          <w:highlight w:val="none"/>
          <w:lang w:val="en-US" w:eastAsia="zh-CN"/>
        </w:rPr>
        <w:t>现状</w:t>
      </w:r>
      <w:r>
        <w:rPr>
          <w:rFonts w:hint="default" w:ascii="Times New Roman" w:hAnsi="Times New Roman" w:cs="Times New Roman"/>
          <w:color w:val="auto"/>
          <w:sz w:val="24"/>
          <w:szCs w:val="24"/>
          <w:highlight w:val="none"/>
          <w:lang w:val="en-US" w:eastAsia="zh-CN"/>
        </w:rPr>
        <w:t>，建设单位委托</w:t>
      </w:r>
      <w:r>
        <w:rPr>
          <w:rFonts w:hint="default" w:ascii="Times New Roman" w:hAnsi="Times New Roman" w:cs="Times New Roman"/>
          <w:color w:val="auto"/>
          <w:szCs w:val="20"/>
          <w:highlight w:val="none"/>
          <w:lang w:val="en-US" w:eastAsia="zh-CN"/>
        </w:rPr>
        <w:t>厦门科仪检测技术有限公司</w:t>
      </w:r>
      <w:r>
        <w:rPr>
          <w:rFonts w:hint="default" w:ascii="Times New Roman" w:hAnsi="Times New Roman" w:cs="Times New Roman"/>
          <w:color w:val="auto"/>
          <w:sz w:val="24"/>
          <w:szCs w:val="24"/>
          <w:highlight w:val="none"/>
          <w:lang w:val="en-US" w:eastAsia="zh-CN"/>
        </w:rPr>
        <w:t>于2020年9月23日对</w:t>
      </w:r>
      <w:r>
        <w:rPr>
          <w:rFonts w:hint="default" w:ascii="Times New Roman" w:hAnsi="Times New Roman" w:cs="Times New Roman"/>
          <w:color w:val="auto"/>
          <w:highlight w:val="none"/>
          <w:lang w:val="en-US" w:eastAsia="zh-CN"/>
        </w:rPr>
        <w:t>本项目厂界及周边敏感点的声环境现状进行监测。根据监测结果，</w:t>
      </w:r>
      <w:r>
        <w:rPr>
          <w:rFonts w:hint="default" w:ascii="Times New Roman" w:hAnsi="Times New Roman" w:cs="Times New Roman"/>
          <w:color w:val="auto"/>
          <w:sz w:val="24"/>
          <w:szCs w:val="24"/>
          <w:highlight w:val="none"/>
          <w:lang w:val="en-US" w:eastAsia="zh-CN"/>
        </w:rPr>
        <w:t>项目所在区域厂界昼间、夜间噪声均能满足《声环境质量标准》（GB3096-2008）中3类标准要求；周边敏感目标（一层村）昼间、夜间噪声均能满足《声环境质量标准》（GB3096-2008）中2类标准要求，声环境质量现状较好。</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土壤环境质量现状</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highlight w:val="none"/>
          <w:lang w:val="en-US" w:eastAsia="zh-CN"/>
        </w:rPr>
        <w:t>为了解本项目评价区土壤环境质量现状，建设单位委托</w:t>
      </w:r>
      <w:r>
        <w:rPr>
          <w:rFonts w:hint="default" w:ascii="Times New Roman" w:hAnsi="Times New Roman" w:cs="Times New Roman"/>
          <w:color w:val="auto"/>
          <w:szCs w:val="20"/>
          <w:highlight w:val="none"/>
          <w:lang w:val="en-US" w:eastAsia="zh-CN"/>
        </w:rPr>
        <w:t>厦门科仪检测技术有限公司</w:t>
      </w:r>
      <w:r>
        <w:rPr>
          <w:rFonts w:hint="default" w:ascii="Times New Roman" w:hAnsi="Times New Roman" w:cs="Times New Roman"/>
          <w:color w:val="auto"/>
          <w:sz w:val="24"/>
          <w:szCs w:val="24"/>
          <w:highlight w:val="none"/>
          <w:lang w:val="en-US" w:eastAsia="zh-CN"/>
        </w:rPr>
        <w:t>于2021年8月19日对项目厂区内的土壤环境质量进行了现状监测，监测因子：</w:t>
      </w:r>
      <w:r>
        <w:rPr>
          <w:rFonts w:hint="default" w:ascii="Times New Roman" w:hAnsi="Times New Roman" w:cs="Times New Roman"/>
          <w:color w:val="auto"/>
          <w:szCs w:val="20"/>
          <w:highlight w:val="none"/>
        </w:rPr>
        <w:t>GB36600-2018</w:t>
      </w:r>
      <w:r>
        <w:rPr>
          <w:rFonts w:hint="default" w:ascii="Times New Roman" w:hAnsi="Times New Roman" w:cs="Times New Roman"/>
          <w:color w:val="auto"/>
          <w:szCs w:val="20"/>
          <w:highlight w:val="none"/>
          <w:lang w:val="en-US" w:eastAsia="zh-CN"/>
        </w:rPr>
        <w:t>表1中基本45项及pH值、石油烃（C</w:t>
      </w:r>
      <w:r>
        <w:rPr>
          <w:rFonts w:hint="default" w:ascii="Times New Roman" w:hAnsi="Times New Roman" w:cs="Times New Roman"/>
          <w:color w:val="auto"/>
          <w:szCs w:val="20"/>
          <w:highlight w:val="none"/>
          <w:vertAlign w:val="subscript"/>
          <w:lang w:val="en-US" w:eastAsia="zh-CN"/>
        </w:rPr>
        <w:t>10</w:t>
      </w:r>
      <w:r>
        <w:rPr>
          <w:rFonts w:hint="default" w:ascii="Times New Roman" w:hAnsi="Times New Roman" w:cs="Times New Roman"/>
          <w:color w:val="auto"/>
          <w:szCs w:val="20"/>
          <w:highlight w:val="none"/>
          <w:lang w:val="en-US" w:eastAsia="zh-CN"/>
        </w:rPr>
        <w:t>-C</w:t>
      </w:r>
      <w:r>
        <w:rPr>
          <w:rFonts w:hint="default" w:ascii="Times New Roman" w:hAnsi="Times New Roman" w:cs="Times New Roman"/>
          <w:color w:val="auto"/>
          <w:szCs w:val="20"/>
          <w:highlight w:val="none"/>
          <w:vertAlign w:val="subscript"/>
          <w:lang w:val="en-US" w:eastAsia="zh-CN"/>
        </w:rPr>
        <w:t>40</w:t>
      </w:r>
      <w:r>
        <w:rPr>
          <w:rFonts w:hint="default" w:ascii="Times New Roman" w:hAnsi="Times New Roman" w:cs="Times New Roman"/>
          <w:color w:val="auto"/>
          <w:szCs w:val="20"/>
          <w:highlight w:val="none"/>
          <w:lang w:val="en-US" w:eastAsia="zh-CN"/>
        </w:rPr>
        <w:t>），共47项。根据监测结果，</w:t>
      </w:r>
      <w:r>
        <w:rPr>
          <w:rFonts w:hint="default" w:ascii="Times New Roman" w:hAnsi="Times New Roman" w:cs="Times New Roman"/>
          <w:color w:val="auto"/>
          <w:highlight w:val="none"/>
          <w:lang w:val="en-US" w:eastAsia="zh-CN"/>
        </w:rPr>
        <w:t>本项目场地内土壤环境质量较好，各项监测因子的监测结果均符合《土壤环境质量 建设用地土壤污染风险管控标准（试行）》（GB 36600-2018）第二类用地筛选值，说明建设项目区域内土壤现状未受到污染。</w:t>
      </w:r>
    </w:p>
    <w:p>
      <w:pPr>
        <w:pStyle w:val="3"/>
        <w:numPr>
          <w:ilvl w:val="1"/>
          <w:numId w:val="12"/>
        </w:numPr>
        <w:bidi w:val="0"/>
        <w:rPr>
          <w:rFonts w:hint="default" w:ascii="Times New Roman" w:hAnsi="Times New Roman" w:cs="Times New Roman"/>
          <w:color w:val="auto"/>
          <w:highlight w:val="none"/>
          <w:lang w:val="en-US" w:eastAsia="zh-CN"/>
        </w:rPr>
      </w:pPr>
      <w:bookmarkStart w:id="704" w:name="_Toc2259"/>
      <w:bookmarkStart w:id="705" w:name="_Toc20163"/>
      <w:bookmarkStart w:id="706" w:name="_Toc31281"/>
      <w:bookmarkStart w:id="707" w:name="_Toc12224"/>
      <w:r>
        <w:rPr>
          <w:rFonts w:hint="default" w:ascii="Times New Roman" w:hAnsi="Times New Roman" w:cs="Times New Roman"/>
          <w:color w:val="auto"/>
          <w:highlight w:val="none"/>
          <w:lang w:val="en-US" w:eastAsia="zh-CN"/>
        </w:rPr>
        <w:t>污染物排放情况</w:t>
      </w:r>
      <w:bookmarkEnd w:id="704"/>
      <w:bookmarkEnd w:id="705"/>
      <w:bookmarkEnd w:id="706"/>
      <w:bookmarkEnd w:id="707"/>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本次扩建工程，新增废水、废气、固体废物产排情况汇总详见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_Ref23112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表9.3-1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12"/>
        </w:numPr>
        <w:tabs>
          <w:tab w:val="left" w:pos="420"/>
        </w:tabs>
        <w:bidi w:val="0"/>
        <w:ind w:left="420" w:leftChars="0" w:hanging="420" w:firstLineChars="0"/>
        <w:rPr>
          <w:rFonts w:hint="default" w:ascii="Times New Roman" w:hAnsi="Times New Roman" w:cs="Times New Roman"/>
          <w:color w:val="auto"/>
          <w:highlight w:val="none"/>
          <w:lang w:val="en-US" w:eastAsia="zh-CN"/>
        </w:rPr>
      </w:pPr>
      <w:bookmarkStart w:id="708" w:name="_Ref23112"/>
      <w:r>
        <w:rPr>
          <w:rFonts w:hint="default" w:ascii="Times New Roman" w:hAnsi="Times New Roman" w:cs="Times New Roman"/>
          <w:color w:val="auto"/>
          <w:highlight w:val="none"/>
          <w:lang w:val="en-US" w:eastAsia="zh-CN"/>
        </w:rPr>
        <w:t>扩建工程污染物产排情况一览表</w:t>
      </w:r>
      <w:bookmarkEnd w:id="708"/>
    </w:p>
    <w:tbl>
      <w:tblPr>
        <w:tblStyle w:val="18"/>
        <w:tblW w:w="92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5"/>
        <w:gridCol w:w="1298"/>
        <w:gridCol w:w="1653"/>
        <w:gridCol w:w="1690"/>
        <w:gridCol w:w="1826"/>
        <w:gridCol w:w="19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113"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污染源</w:t>
            </w: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污染物</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产生量（t/a）</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削减量（t/a）</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废水</w:t>
            </w:r>
          </w:p>
        </w:tc>
        <w:tc>
          <w:tcPr>
            <w:tcW w:w="12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生产废水</w:t>
            </w: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废水量</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1904.62</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1904.62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COD</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5.0377</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4.9369</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0.1008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BOD</w:t>
            </w:r>
            <w:r>
              <w:rPr>
                <w:rFonts w:hint="default" w:ascii="Times New Roman" w:hAnsi="Times New Roman" w:cs="Times New Roman"/>
                <w:color w:val="auto"/>
                <w:szCs w:val="20"/>
                <w:highlight w:val="none"/>
                <w:vertAlign w:val="subscript"/>
                <w:lang w:val="en-US" w:eastAsia="zh-CN"/>
              </w:rPr>
              <w:t>5</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0.6933</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0.6586</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0.0347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SS</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0.7300</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0.6935</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氨氮</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0.0097</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0.0076</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总磷</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0.0018</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0.0014</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总氮</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0.0175</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0.014</w:t>
            </w:r>
            <w:r>
              <w:rPr>
                <w:rFonts w:hint="eastAsia"/>
                <w:color w:val="auto"/>
                <w:lang w:val="en-US" w:eastAsia="zh-CN"/>
              </w:rPr>
              <w:t>0</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石油类</w:t>
            </w:r>
          </w:p>
        </w:tc>
        <w:tc>
          <w:tcPr>
            <w:tcW w:w="1690"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0.1209</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0.1088</w:t>
            </w:r>
          </w:p>
        </w:tc>
        <w:tc>
          <w:tcPr>
            <w:tcW w:w="1999" w:type="dxa"/>
            <w:tcBorders>
              <w:tl2br w:val="nil"/>
              <w:tr2bl w:val="nil"/>
            </w:tcBorders>
            <w:vAlign w:val="center"/>
          </w:tcPr>
          <w:p>
            <w:pPr>
              <w:pStyle w:val="21"/>
              <w:keepNext w:val="0"/>
              <w:keepLines w:val="0"/>
              <w:widowControl w:val="0"/>
              <w:suppressLineNumbers w:val="0"/>
              <w:spacing w:before="0" w:beforeLines="0" w:beforeAutospacing="0" w:after="0" w:afterLines="0" w:afterAutospacing="0"/>
              <w:ind w:left="0" w:leftChars="0" w:right="0" w:firstLine="0" w:firstLineChars="0"/>
              <w:rPr>
                <w:rFonts w:hint="default" w:ascii="Times New Roman" w:hAnsi="Times New Roman" w:eastAsia="宋体" w:cs="Times New Roman"/>
                <w:color w:val="auto"/>
                <w:sz w:val="21"/>
                <w:szCs w:val="20"/>
                <w:lang w:val="en-US" w:eastAsia="zh-CN"/>
              </w:rPr>
            </w:pPr>
            <w:r>
              <w:rPr>
                <w:rFonts w:hint="default"/>
                <w:color w:val="auto"/>
                <w:sz w:val="21"/>
                <w:szCs w:val="20"/>
                <w:lang w:val="en-US" w:eastAsia="zh-CN"/>
              </w:rPr>
              <w:t>0.0121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生活污水</w:t>
            </w: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废水量</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5280</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COD</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2.112</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0.3168</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1.7952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BOD</w:t>
            </w:r>
            <w:r>
              <w:rPr>
                <w:rFonts w:hint="default" w:ascii="Times New Roman" w:hAnsi="Times New Roman" w:cs="Times New Roman"/>
                <w:color w:val="auto"/>
                <w:szCs w:val="20"/>
                <w:highlight w:val="none"/>
                <w:vertAlign w:val="subscript"/>
                <w:lang w:val="en-US" w:eastAsia="zh-CN"/>
              </w:rPr>
              <w:t>5</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1.0560</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0.095</w:t>
            </w:r>
            <w:r>
              <w:rPr>
                <w:rFonts w:hint="eastAsia"/>
                <w:color w:val="auto"/>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0.9610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SS</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1.0560</w:t>
            </w:r>
          </w:p>
        </w:tc>
        <w:tc>
          <w:tcPr>
            <w:tcW w:w="1826" w:type="dxa"/>
            <w:tcBorders>
              <w:tl2br w:val="nil"/>
              <w:tr2bl w:val="nil"/>
            </w:tcBorders>
            <w:vAlign w:val="center"/>
          </w:tcPr>
          <w:p>
            <w:pPr>
              <w:pStyle w:val="21"/>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0.3168</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0.7392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氨氮</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r>
              <w:rPr>
                <w:rFonts w:hint="eastAsia" w:cs="Times New Roman"/>
                <w:color w:val="auto"/>
                <w:szCs w:val="20"/>
                <w:highlight w:val="none"/>
                <w:lang w:val="en-US" w:eastAsia="zh-CN"/>
              </w:rPr>
              <w:t>1848</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0.0055</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0.1793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废气</w:t>
            </w:r>
          </w:p>
        </w:tc>
        <w:tc>
          <w:tcPr>
            <w:tcW w:w="12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有组织</w:t>
            </w: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颗粒物</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115.3587</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113.178</w:t>
            </w:r>
            <w:r>
              <w:rPr>
                <w:rFonts w:hint="eastAsia" w:cs="Times New Roman"/>
                <w:color w:val="auto"/>
                <w:szCs w:val="20"/>
                <w:highlight w:val="none"/>
                <w:lang w:val="en-US" w:eastAsia="zh-CN"/>
              </w:rPr>
              <w:t>20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2.1807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46.3620</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41.7267</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4.6353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SO</w:t>
            </w:r>
            <w:r>
              <w:rPr>
                <w:rFonts w:hint="default" w:ascii="Times New Roman" w:hAnsi="Times New Roman" w:cs="Times New Roman"/>
                <w:color w:val="auto"/>
                <w:szCs w:val="20"/>
                <w:highlight w:val="none"/>
                <w:vertAlign w:val="subscript"/>
                <w:lang w:val="en-US" w:eastAsia="zh-CN"/>
              </w:rPr>
              <w:t>2</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0.9631</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0.9631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i/>
                <w:iCs/>
                <w:color w:val="auto"/>
                <w:szCs w:val="20"/>
                <w:highlight w:val="none"/>
                <w:vertAlign w:val="subscript"/>
                <w:lang w:val="en-US" w:eastAsia="zh-CN"/>
              </w:rPr>
              <w:t>X</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3.3563</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3.3563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无组织</w:t>
            </w: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颗粒物</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 xml:space="preserve">25.3290 </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18.1629</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 xml:space="preserve">7.1660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3.4602</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3.4602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NH</w:t>
            </w:r>
            <w:r>
              <w:rPr>
                <w:rFonts w:hint="default" w:ascii="Times New Roman" w:hAnsi="Times New Roman" w:cs="Times New Roman"/>
                <w:color w:val="auto"/>
                <w:szCs w:val="20"/>
                <w:highlight w:val="none"/>
                <w:vertAlign w:val="subscript"/>
                <w:lang w:val="en-US" w:eastAsia="zh-CN"/>
              </w:rPr>
              <w:t>3</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2.04</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-3</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eastAsia" w:cs="Times New Roman"/>
                <w:color w:val="auto"/>
                <w:szCs w:val="20"/>
                <w:highlight w:val="none"/>
                <w:lang w:val="en-US" w:eastAsia="zh-CN"/>
              </w:rPr>
              <w:t>2.04</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5"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298"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H</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S</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w:t>
            </w:r>
            <w:r>
              <w:rPr>
                <w:rFonts w:hint="eastAsia" w:cs="Times New Roman"/>
                <w:color w:val="auto"/>
                <w:szCs w:val="20"/>
                <w:highlight w:val="none"/>
                <w:lang w:val="en-US" w:eastAsia="zh-CN"/>
              </w:rPr>
              <w:t>90</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-5</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0</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7.</w:t>
            </w:r>
            <w:r>
              <w:rPr>
                <w:rFonts w:hint="eastAsia" w:cs="Times New Roman"/>
                <w:color w:val="auto"/>
                <w:szCs w:val="20"/>
                <w:highlight w:val="none"/>
                <w:lang w:val="en-US" w:eastAsia="zh-CN"/>
              </w:rPr>
              <w:t>90</w:t>
            </w:r>
            <w:r>
              <w:rPr>
                <w:rFonts w:hint="default" w:ascii="Times New Roman" w:hAnsi="Times New Roman" w:cs="Times New Roman"/>
                <w:color w:val="auto"/>
                <w:szCs w:val="20"/>
                <w:highlight w:val="none"/>
                <w:lang w:val="en-US" w:eastAsia="zh-CN"/>
              </w:rPr>
              <w:t>×10</w:t>
            </w:r>
            <w:r>
              <w:rPr>
                <w:rFonts w:hint="default" w:ascii="Times New Roman" w:hAnsi="Times New Roman" w:cs="Times New Roman"/>
                <w:color w:val="auto"/>
                <w:szCs w:val="20"/>
                <w:highlight w:val="none"/>
                <w:vertAlign w:val="superscript"/>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3" w:type="dxa"/>
            <w:gridSpan w:val="2"/>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固体废物</w:t>
            </w: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一般工业固体废物</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104</w:t>
            </w:r>
            <w:r>
              <w:rPr>
                <w:rFonts w:hint="eastAsia" w:cs="Times New Roman"/>
                <w:color w:val="auto"/>
                <w:szCs w:val="20"/>
                <w:highlight w:val="none"/>
                <w:lang w:val="en-US" w:eastAsia="zh-CN"/>
              </w:rPr>
              <w:t>1</w:t>
            </w:r>
            <w:r>
              <w:rPr>
                <w:rFonts w:hint="default" w:ascii="Times New Roman" w:hAnsi="Times New Roman" w:cs="Times New Roman"/>
                <w:color w:val="auto"/>
                <w:szCs w:val="20"/>
                <w:highlight w:val="none"/>
                <w:lang w:val="en-US" w:eastAsia="zh-CN"/>
              </w:rPr>
              <w:t>.5416</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104</w:t>
            </w:r>
            <w:r>
              <w:rPr>
                <w:rFonts w:hint="eastAsia" w:cs="Times New Roman"/>
                <w:color w:val="auto"/>
                <w:szCs w:val="20"/>
                <w:highlight w:val="none"/>
                <w:lang w:val="en-US" w:eastAsia="zh-CN"/>
              </w:rPr>
              <w:t>1</w:t>
            </w:r>
            <w:r>
              <w:rPr>
                <w:rFonts w:hint="default" w:ascii="Times New Roman" w:hAnsi="Times New Roman" w:cs="Times New Roman"/>
                <w:color w:val="auto"/>
                <w:szCs w:val="20"/>
                <w:highlight w:val="none"/>
                <w:lang w:val="en-US" w:eastAsia="zh-CN"/>
              </w:rPr>
              <w:t>.5416</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3" w:type="dxa"/>
            <w:gridSpan w:val="2"/>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危险废物</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53</w:t>
            </w:r>
            <w:r>
              <w:rPr>
                <w:rFonts w:hint="eastAsia" w:cs="Times New Roman"/>
                <w:color w:val="auto"/>
                <w:szCs w:val="20"/>
                <w:highlight w:val="none"/>
                <w:lang w:val="en-US" w:eastAsia="zh-CN"/>
              </w:rPr>
              <w:t>2.1237</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Cs w:val="20"/>
                <w:highlight w:val="none"/>
                <w:lang w:val="en-US" w:eastAsia="zh-CN"/>
              </w:rPr>
              <w:t>53</w:t>
            </w:r>
            <w:r>
              <w:rPr>
                <w:rFonts w:hint="eastAsia" w:cs="Times New Roman"/>
                <w:color w:val="auto"/>
                <w:szCs w:val="20"/>
                <w:highlight w:val="none"/>
                <w:lang w:val="en-US" w:eastAsia="zh-CN"/>
              </w:rPr>
              <w:t>2.1237</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3" w:type="dxa"/>
            <w:gridSpan w:val="2"/>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p>
        </w:tc>
        <w:tc>
          <w:tcPr>
            <w:tcW w:w="1653"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其他废物</w:t>
            </w:r>
          </w:p>
        </w:tc>
        <w:tc>
          <w:tcPr>
            <w:tcW w:w="1690"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50.6</w:t>
            </w:r>
          </w:p>
        </w:tc>
        <w:tc>
          <w:tcPr>
            <w:tcW w:w="1826" w:type="dxa"/>
            <w:tcBorders>
              <w:tl2br w:val="nil"/>
              <w:tr2bl w:val="nil"/>
            </w:tcBorders>
            <w:vAlign w:val="center"/>
          </w:tcPr>
          <w:p>
            <w:pPr>
              <w:pStyle w:val="21"/>
              <w:keepNext w:val="0"/>
              <w:keepLines w:val="0"/>
              <w:widowControl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1"/>
                <w:szCs w:val="20"/>
                <w:highlight w:val="none"/>
                <w:lang w:val="en-US" w:eastAsia="zh-CN"/>
              </w:rPr>
              <w:t>50.6</w:t>
            </w:r>
          </w:p>
        </w:tc>
        <w:tc>
          <w:tcPr>
            <w:tcW w:w="1999"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w:t>
            </w:r>
          </w:p>
        </w:tc>
      </w:tr>
    </w:tbl>
    <w:p>
      <w:pPr>
        <w:rPr>
          <w:rFonts w:hint="default"/>
          <w:color w:val="auto"/>
          <w:highlight w:val="none"/>
          <w:lang w:val="en-US" w:eastAsia="zh-CN"/>
        </w:rPr>
      </w:pPr>
    </w:p>
    <w:p>
      <w:pPr>
        <w:pStyle w:val="3"/>
        <w:numPr>
          <w:ilvl w:val="1"/>
          <w:numId w:val="12"/>
        </w:numPr>
        <w:bidi w:val="0"/>
        <w:rPr>
          <w:rFonts w:hint="default" w:ascii="Times New Roman" w:hAnsi="Times New Roman" w:cs="Times New Roman"/>
          <w:color w:val="auto"/>
          <w:highlight w:val="none"/>
          <w:lang w:val="en-US" w:eastAsia="zh-CN"/>
        </w:rPr>
      </w:pPr>
      <w:bookmarkStart w:id="709" w:name="_Toc2687"/>
      <w:bookmarkStart w:id="710" w:name="_Toc5299"/>
      <w:bookmarkStart w:id="711" w:name="_Toc2911"/>
      <w:bookmarkStart w:id="712" w:name="_Toc5651"/>
      <w:r>
        <w:rPr>
          <w:rFonts w:hint="default" w:ascii="Times New Roman" w:hAnsi="Times New Roman" w:cs="Times New Roman"/>
          <w:color w:val="auto"/>
          <w:highlight w:val="none"/>
          <w:lang w:val="en-US" w:eastAsia="zh-CN"/>
        </w:rPr>
        <w:t>主要环境影响及采取的措施</w:t>
      </w:r>
      <w:bookmarkEnd w:id="709"/>
      <w:bookmarkEnd w:id="710"/>
      <w:bookmarkEnd w:id="711"/>
      <w:bookmarkEnd w:id="712"/>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施工期环境影响及采取的措施</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大气环境影响及措施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施工过程中废气主要是汽车运输等施工活动过程中产生的扬尘和各类施工机械产生的燃油废气，主要污染物有TSP、THC、SO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、CO及NO</w:t>
      </w:r>
      <w:r>
        <w:rPr>
          <w:rFonts w:hint="default" w:ascii="Times New Roman" w:hAnsi="Times New Roman" w:cs="Times New Roman"/>
          <w:i/>
          <w:iCs/>
          <w:color w:val="auto"/>
          <w:highlight w:val="none"/>
          <w:lang w:val="en-US" w:eastAsia="zh-CN"/>
        </w:rPr>
        <w:t>x</w:t>
      </w:r>
      <w:r>
        <w:rPr>
          <w:rFonts w:hint="default" w:ascii="Times New Roman" w:hAnsi="Times New Roman" w:cs="Times New Roman"/>
          <w:color w:val="auto"/>
          <w:highlight w:val="none"/>
          <w:lang w:val="en-US" w:eastAsia="zh-CN"/>
        </w:rPr>
        <w:t>等。</w:t>
      </w:r>
    </w:p>
    <w:p>
      <w:pPr>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本项目最近的敏感目标为南侧35 m的一层村，项目的施工扬尘可能会对一层村环境空气质量产生一定影响。因此，建设单位应避开大风天气施工，在施工场界四周应设置围挡，并配备喷雾降尘措施，由此减轻因施工产生的扬尘对一层村的影响。施工车辆、机械废气对一层村可能会产生一定影响，建设单位在通过优化车辆进场路线和合理安排施工计划，可减轻对一层村的影响。</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水环境影响及措施</w:t>
      </w:r>
    </w:p>
    <w:p>
      <w:pPr>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施工期建设过程中应在场地内建一座沉淀池，泥浆水应经隔油池隔油、沉淀池沉淀后澄清上清液回用于施工作业，对周围水体猫垅溪、东澳水库3#滞洪区及牙城湾的水质影响较小；施工人员产生的生活污水纳入当地的污水处理系统，对附近水体和周围环境的影响较小。</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声环境影响及防护措施</w:t>
      </w:r>
    </w:p>
    <w:p>
      <w:pPr>
        <w:rPr>
          <w:rFonts w:hint="default" w:ascii="Times New Roman" w:hAnsi="Times New Roman" w:cs="Times New Roman"/>
          <w:color w:val="auto"/>
          <w:highlight w:val="none"/>
          <w:lang w:val="en-US" w:eastAsia="zh-CN"/>
        </w:rPr>
      </w:pPr>
      <w:r>
        <w:rPr>
          <w:rFonts w:hint="default" w:ascii="Times New Roman" w:hAnsi="Times New Roman" w:eastAsia="宋体" w:cs="Times New Roman"/>
          <w:b w:val="0"/>
          <w:bCs/>
          <w:color w:val="auto"/>
          <w:kern w:val="2"/>
          <w:sz w:val="24"/>
          <w:szCs w:val="24"/>
          <w:highlight w:val="none"/>
          <w:lang w:val="en-US" w:eastAsia="zh-CN" w:bidi="ar-SA"/>
        </w:rPr>
        <w:t>施工期主要是运输设备车辆对运输沿线声环境的影响和设备安装时产生的噪声对周围环境的影响。项目材料运输路线主要利用现有的公路，施工过程中运输车辆流量增量总体来说不大，且随着施工结束而消失。但</w:t>
      </w:r>
      <w:r>
        <w:rPr>
          <w:rFonts w:hint="default" w:ascii="Times New Roman" w:hAnsi="Times New Roman" w:cs="Times New Roman"/>
          <w:color w:val="auto"/>
          <w:highlight w:val="none"/>
          <w:lang w:val="en-US" w:eastAsia="zh-CN"/>
        </w:rPr>
        <w:t>鉴于本项目距南侧一层村较近，施工噪声对其贡献值影响较大，且考虑到项目施工材料运输路线主要利用现有的公路，可能会对一层村产生一定的影响。因此，建设单位在采取以下措施后，可减轻对一层村的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①合理安排施工时间，严禁夜间施工，从严控制车辆鸣笛；</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②建设单位应合理安排施工进度，避免高噪声设备集中运作，尽量将高噪声设备摆放在距离厂界和敏感目标（一层村）较远的位置，并定期进行维护和检修；</w:t>
      </w:r>
    </w:p>
    <w:p>
      <w:pPr>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③对高噪声设备进行隔声减震处理。</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固体废物环境影响及处置措施</w:t>
      </w:r>
    </w:p>
    <w:p>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施工期的固体废物主要来自施工人员生活垃圾、</w:t>
      </w:r>
      <w:r>
        <w:rPr>
          <w:rFonts w:hint="default" w:ascii="Times New Roman" w:hAnsi="Times New Roman" w:cs="Times New Roman"/>
          <w:color w:val="auto"/>
          <w:highlight w:val="none"/>
          <w:lang w:val="en-US" w:eastAsia="zh-CN"/>
        </w:rPr>
        <w:t>废零部件，废钢材、废木材、废管道、管道边角料、焊渣等</w:t>
      </w:r>
      <w:r>
        <w:rPr>
          <w:rFonts w:hint="default" w:ascii="Times New Roman" w:hAnsi="Times New Roman" w:eastAsia="宋体" w:cs="Times New Roman"/>
          <w:color w:val="auto"/>
          <w:kern w:val="0"/>
          <w:sz w:val="24"/>
          <w:szCs w:val="24"/>
          <w:highlight w:val="none"/>
          <w:lang w:val="en-US" w:eastAsia="zh-CN" w:bidi="ar"/>
        </w:rPr>
        <w:t>。施工人员生活</w:t>
      </w:r>
      <w:r>
        <w:rPr>
          <w:rFonts w:hint="default" w:ascii="Times New Roman" w:hAnsi="Times New Roman" w:cs="Times New Roman"/>
          <w:color w:val="auto"/>
          <w:highlight w:val="none"/>
          <w:lang w:val="en-US" w:eastAsia="zh-CN"/>
        </w:rPr>
        <w:t>由当地环卫部门统一清运</w:t>
      </w:r>
      <w:r>
        <w:rPr>
          <w:rFonts w:hint="default" w:ascii="Times New Roman" w:hAnsi="Times New Roman" w:eastAsia="宋体" w:cs="Times New Roman"/>
          <w:color w:val="auto"/>
          <w:kern w:val="0"/>
          <w:sz w:val="24"/>
          <w:szCs w:val="24"/>
          <w:highlight w:val="none"/>
          <w:lang w:val="en-US" w:eastAsia="zh-CN" w:bidi="ar"/>
        </w:rPr>
        <w:t>。本项目建筑模板、废零部件，废钢材、废木材、废管道、管道边角料、焊渣等可回收综合利用，废砖、混凝土渣、废土石方和废木材等建筑材料废弃物可作为本项目厂区场地平整填方，以实现固体废物的资源化、减量化。因此施工期固体废物对环境影响不大。</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运营期环境影响及采取的措施</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大气环境影响及措施</w:t>
      </w:r>
    </w:p>
    <w:p>
      <w:pPr>
        <w:rPr>
          <w:rFonts w:hint="default" w:cs="Times New Roman"/>
          <w:color w:val="auto"/>
          <w:highlight w:val="none"/>
          <w:lang w:val="en-US" w:eastAsia="zh-CN"/>
        </w:rPr>
      </w:pPr>
      <w:r>
        <w:rPr>
          <w:rFonts w:hint="eastAsia" w:cs="Times New Roman"/>
          <w:color w:val="auto"/>
          <w:highlight w:val="none"/>
          <w:lang w:val="en-US" w:eastAsia="zh-CN"/>
        </w:rPr>
        <w:t>（1）大气污染防治措施</w:t>
      </w:r>
    </w:p>
    <w:p>
      <w:pPr>
        <w:bidi w:val="0"/>
        <w:rPr>
          <w:rFonts w:hint="default"/>
          <w:color w:val="auto"/>
          <w:highlight w:val="none"/>
          <w:lang w:val="en-US" w:eastAsia="zh-CN"/>
        </w:rPr>
      </w:pPr>
      <w:r>
        <w:rPr>
          <w:rFonts w:hint="default"/>
          <w:color w:val="auto"/>
          <w:highlight w:val="none"/>
          <w:lang w:val="en-US" w:eastAsia="zh-CN"/>
        </w:rPr>
        <w:t>①造粒、组件煅烧废气采用“布袋除尘器+碱液喷淋+除雾器+低温等离子+1根32 m高排气筒”；</w:t>
      </w:r>
    </w:p>
    <w:p>
      <w:pPr>
        <w:bidi w:val="0"/>
        <w:rPr>
          <w:rFonts w:hint="default"/>
          <w:color w:val="auto"/>
          <w:highlight w:val="none"/>
          <w:lang w:val="en-US" w:eastAsia="zh-CN"/>
        </w:rPr>
      </w:pPr>
      <w:r>
        <w:rPr>
          <w:rFonts w:hint="default"/>
          <w:color w:val="auto"/>
          <w:highlight w:val="none"/>
          <w:lang w:val="en-US" w:eastAsia="zh-CN"/>
        </w:rPr>
        <w:t>②真空增粘、纺丝、牵伸、松弛热定型废气采用“静电油烟吸附+低温等离子+1根32 m高排气筒”</w:t>
      </w:r>
      <w:r>
        <w:rPr>
          <w:rFonts w:hint="eastAsia"/>
          <w:color w:val="auto"/>
          <w:highlight w:val="none"/>
          <w:lang w:val="en-US" w:eastAsia="zh-CN"/>
        </w:rPr>
        <w:t>；</w:t>
      </w:r>
    </w:p>
    <w:p>
      <w:pPr>
        <w:bidi w:val="0"/>
        <w:rPr>
          <w:rFonts w:hint="eastAsia"/>
          <w:color w:val="auto"/>
          <w:highlight w:val="none"/>
          <w:lang w:val="en-US" w:eastAsia="zh-CN"/>
        </w:rPr>
      </w:pPr>
      <w:r>
        <w:rPr>
          <w:rFonts w:hint="default"/>
          <w:color w:val="auto"/>
          <w:highlight w:val="none"/>
          <w:lang w:val="en-US" w:eastAsia="zh-CN"/>
        </w:rPr>
        <w:t>③锅炉烟气收集后通过≥15 m高的排气筒排放</w:t>
      </w:r>
      <w:r>
        <w:rPr>
          <w:rFonts w:hint="eastAsia"/>
          <w:color w:val="auto"/>
          <w:highlight w:val="none"/>
          <w:lang w:val="en-US" w:eastAsia="zh-CN"/>
        </w:rPr>
        <w:t>；</w:t>
      </w:r>
    </w:p>
    <w:p>
      <w:pPr>
        <w:bidi w:val="0"/>
        <w:rPr>
          <w:rFonts w:hint="default"/>
          <w:color w:val="auto"/>
          <w:highlight w:val="none"/>
          <w:lang w:val="en-US" w:eastAsia="zh-CN"/>
        </w:rPr>
      </w:pPr>
      <w:r>
        <w:rPr>
          <w:rFonts w:hint="eastAsia"/>
          <w:color w:val="auto"/>
          <w:highlight w:val="none"/>
          <w:lang w:val="en-US" w:eastAsia="zh-CN"/>
        </w:rPr>
        <w:t>④危险废物贮存间尾气经活性炭吸附装置处理后通过1根15 m高排气筒排放；</w:t>
      </w:r>
    </w:p>
    <w:p>
      <w:pPr>
        <w:bidi w:val="0"/>
        <w:rPr>
          <w:rFonts w:hint="eastAsia" w:cs="Times New Roman"/>
          <w:color w:val="auto"/>
          <w:szCs w:val="20"/>
          <w:highlight w:val="none"/>
          <w:lang w:val="en-US" w:eastAsia="zh-CN"/>
        </w:rPr>
      </w:pPr>
      <w:r>
        <w:rPr>
          <w:rFonts w:hint="eastAsia" w:cs="Times New Roman"/>
          <w:color w:val="auto"/>
          <w:szCs w:val="20"/>
          <w:highlight w:val="none"/>
          <w:lang w:val="en-US" w:eastAsia="zh-CN"/>
        </w:rPr>
        <w:t>⑤</w:t>
      </w:r>
      <w:r>
        <w:rPr>
          <w:rFonts w:hint="default" w:ascii="Times New Roman" w:hAnsi="Times New Roman" w:cs="Times New Roman"/>
          <w:color w:val="auto"/>
          <w:szCs w:val="20"/>
          <w:highlight w:val="none"/>
          <w:lang w:val="en-US" w:eastAsia="zh-CN"/>
        </w:rPr>
        <w:t>前纺楼破碎工序</w:t>
      </w:r>
      <w:r>
        <w:rPr>
          <w:rFonts w:hint="eastAsia" w:cs="Times New Roman"/>
          <w:color w:val="auto"/>
          <w:szCs w:val="20"/>
          <w:highlight w:val="none"/>
          <w:lang w:val="en-US" w:eastAsia="zh-CN"/>
        </w:rPr>
        <w:t>产生的颗粒物通过</w:t>
      </w:r>
      <w:r>
        <w:rPr>
          <w:rFonts w:hint="default" w:ascii="Times New Roman" w:hAnsi="Times New Roman" w:cs="Times New Roman"/>
          <w:color w:val="auto"/>
          <w:szCs w:val="20"/>
          <w:highlight w:val="none"/>
          <w:lang w:val="en-US" w:eastAsia="zh-CN"/>
        </w:rPr>
        <w:t>布袋除尘器处理后</w:t>
      </w:r>
      <w:r>
        <w:rPr>
          <w:rFonts w:hint="eastAsia" w:cs="Times New Roman"/>
          <w:color w:val="auto"/>
          <w:szCs w:val="20"/>
          <w:highlight w:val="none"/>
          <w:lang w:val="en-US" w:eastAsia="zh-CN"/>
        </w:rPr>
        <w:t>以无组织形式</w:t>
      </w:r>
      <w:r>
        <w:rPr>
          <w:rFonts w:hint="default" w:ascii="Times New Roman" w:hAnsi="Times New Roman" w:cs="Times New Roman"/>
          <w:color w:val="auto"/>
          <w:szCs w:val="20"/>
          <w:highlight w:val="none"/>
          <w:lang w:val="en-US" w:eastAsia="zh-CN"/>
        </w:rPr>
        <w:t>排放</w:t>
      </w:r>
      <w:r>
        <w:rPr>
          <w:rFonts w:hint="eastAsia" w:cs="Times New Roman"/>
          <w:color w:val="auto"/>
          <w:szCs w:val="20"/>
          <w:highlight w:val="none"/>
          <w:lang w:val="en-US" w:eastAsia="zh-CN"/>
        </w:rPr>
        <w:t>；</w:t>
      </w:r>
    </w:p>
    <w:p>
      <w:pPr>
        <w:bidi w:val="0"/>
        <w:rPr>
          <w:rFonts w:hint="default" w:cs="Times New Roman"/>
          <w:color w:val="auto"/>
          <w:szCs w:val="20"/>
          <w:highlight w:val="none"/>
          <w:lang w:val="en-US" w:eastAsia="zh-CN"/>
        </w:rPr>
      </w:pPr>
      <w:r>
        <w:rPr>
          <w:rFonts w:hint="eastAsia" w:cs="Times New Roman"/>
          <w:color w:val="auto"/>
          <w:szCs w:val="20"/>
          <w:highlight w:val="none"/>
          <w:lang w:val="en-US" w:eastAsia="zh-CN"/>
        </w:rPr>
        <w:t>⑥污水处理站主要构筑物通过采取加盖、密闭方式减少恶臭对环境的影响。</w:t>
      </w:r>
    </w:p>
    <w:p>
      <w:pPr>
        <w:rPr>
          <w:rFonts w:hint="default" w:cs="Times New Roman"/>
          <w:color w:val="auto"/>
          <w:highlight w:val="none"/>
          <w:lang w:val="en-US" w:eastAsia="zh-CN"/>
        </w:rPr>
      </w:pPr>
      <w:r>
        <w:rPr>
          <w:rFonts w:hint="eastAsia" w:cs="Times New Roman"/>
          <w:color w:val="auto"/>
          <w:highlight w:val="none"/>
          <w:lang w:val="en-US" w:eastAsia="zh-CN"/>
        </w:rPr>
        <w:t>（2）大气环境影响分析</w:t>
      </w:r>
    </w:p>
    <w:p>
      <w:pPr>
        <w:ind w:firstLine="480"/>
        <w:rPr>
          <w:rFonts w:ascii="Times New Roman" w:hAnsi="Times New Roman"/>
          <w:color w:val="auto"/>
          <w:kern w:val="0"/>
          <w:szCs w:val="22"/>
          <w:highlight w:val="none"/>
        </w:rPr>
      </w:pPr>
      <w:r>
        <w:rPr>
          <w:rFonts w:ascii="Times New Roman" w:hAnsi="Times New Roman"/>
          <w:color w:val="auto"/>
          <w:kern w:val="0"/>
          <w:szCs w:val="22"/>
          <w:highlight w:val="none"/>
        </w:rPr>
        <w:t>①本项目位于</w:t>
      </w:r>
      <w:r>
        <w:rPr>
          <w:rFonts w:hint="eastAsia" w:ascii="Times New Roman" w:hAnsi="Times New Roman"/>
          <w:color w:val="auto"/>
          <w:highlight w:val="none"/>
          <w:lang w:val="en-US" w:eastAsia="zh-CN"/>
        </w:rPr>
        <w:t>宁德市霞浦县牙城镇工业园</w:t>
      </w:r>
      <w:r>
        <w:rPr>
          <w:rFonts w:ascii="Times New Roman" w:hAnsi="Times New Roman"/>
          <w:color w:val="auto"/>
          <w:kern w:val="0"/>
          <w:szCs w:val="22"/>
          <w:highlight w:val="none"/>
        </w:rPr>
        <w:t>，项目所在区域为大气环境达标区域。</w:t>
      </w:r>
    </w:p>
    <w:p>
      <w:pPr>
        <w:bidi w:val="0"/>
        <w:rPr>
          <w:color w:val="auto"/>
          <w:highlight w:val="none"/>
        </w:rPr>
      </w:pPr>
      <w:r>
        <w:rPr>
          <w:color w:val="auto"/>
          <w:highlight w:val="none"/>
        </w:rPr>
        <w:t>②本评价选用2019年作为预测基准年，项目选址位于环境空气质量现状达标区。</w:t>
      </w:r>
      <w:r>
        <w:rPr>
          <w:rFonts w:hint="default"/>
          <w:color w:val="auto"/>
          <w:highlight w:val="none"/>
        </w:rPr>
        <w:t>本项目排放的</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非甲烷总烃、氨、硫化氢</w:t>
      </w:r>
      <w:r>
        <w:rPr>
          <w:rFonts w:hint="default"/>
          <w:color w:val="auto"/>
          <w:highlight w:val="none"/>
        </w:rPr>
        <w:t>预测短期浓度贡献值最大浓度占标率为</w:t>
      </w:r>
      <w:r>
        <w:rPr>
          <w:rFonts w:hint="eastAsia"/>
          <w:color w:val="auto"/>
          <w:highlight w:val="none"/>
          <w:lang w:val="en-US" w:eastAsia="zh-CN"/>
        </w:rPr>
        <w:t>18.29</w:t>
      </w:r>
      <w:r>
        <w:rPr>
          <w:rFonts w:hint="default"/>
          <w:color w:val="auto"/>
          <w:highlight w:val="none"/>
        </w:rPr>
        <w:t>%（NO</w:t>
      </w:r>
      <w:r>
        <w:rPr>
          <w:rFonts w:hint="default"/>
          <w:color w:val="auto"/>
          <w:highlight w:val="none"/>
          <w:vertAlign w:val="subscript"/>
        </w:rPr>
        <w:t>2</w:t>
      </w:r>
      <w:r>
        <w:rPr>
          <w:rFonts w:hint="default"/>
          <w:color w:val="auto"/>
          <w:highlight w:val="none"/>
        </w:rPr>
        <w:t>小时浓度），小于100%，</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default"/>
          <w:color w:val="auto"/>
          <w:highlight w:val="none"/>
        </w:rPr>
        <w:t>年均浓度最大贡献值占标率为</w:t>
      </w:r>
      <w:r>
        <w:rPr>
          <w:rFonts w:hint="eastAsia"/>
          <w:color w:val="auto"/>
          <w:highlight w:val="none"/>
          <w:lang w:val="en-US" w:eastAsia="zh-CN"/>
        </w:rPr>
        <w:t>2.37</w:t>
      </w:r>
      <w:r>
        <w:rPr>
          <w:rFonts w:hint="default"/>
          <w:color w:val="auto"/>
          <w:highlight w:val="none"/>
        </w:rPr>
        <w:t>%（</w:t>
      </w:r>
      <w:r>
        <w:rPr>
          <w:rFonts w:hint="default" w:ascii="Times New Roman" w:hAnsi="Times New Roman" w:cs="Times New Roman"/>
          <w:color w:val="auto"/>
          <w:highlight w:val="none"/>
          <w:lang w:val="en-US" w:eastAsia="zh-CN"/>
        </w:rPr>
        <w:t>PM</w:t>
      </w:r>
      <w:r>
        <w:rPr>
          <w:rFonts w:hint="default" w:ascii="Times New Roman" w:hAnsi="Times New Roman" w:cs="Times New Roman"/>
          <w:color w:val="auto"/>
          <w:highlight w:val="none"/>
          <w:vertAlign w:val="subscript"/>
          <w:lang w:val="en-US" w:eastAsia="zh-CN"/>
        </w:rPr>
        <w:t>10</w:t>
      </w:r>
      <w:r>
        <w:rPr>
          <w:rFonts w:hint="default"/>
          <w:color w:val="auto"/>
          <w:highlight w:val="none"/>
        </w:rPr>
        <w:t>年平均浓度），小于30%。本项目新增污染源对周边环境影响可接受</w:t>
      </w:r>
      <w:r>
        <w:rPr>
          <w:color w:val="auto"/>
          <w:highlight w:val="none"/>
        </w:rPr>
        <w:t>。</w:t>
      </w:r>
    </w:p>
    <w:p>
      <w:pPr>
        <w:ind w:firstLine="480"/>
        <w:rPr>
          <w:rFonts w:hint="eastAsia" w:ascii="Times New Roman" w:hAnsi="Times New Roman"/>
          <w:color w:val="auto"/>
          <w:kern w:val="0"/>
          <w:szCs w:val="22"/>
          <w:highlight w:val="none"/>
        </w:rPr>
      </w:pPr>
      <w:r>
        <w:rPr>
          <w:rFonts w:ascii="Times New Roman" w:hAnsi="Times New Roman"/>
          <w:color w:val="auto"/>
          <w:kern w:val="0"/>
          <w:szCs w:val="22"/>
          <w:highlight w:val="none"/>
        </w:rPr>
        <w:t>③</w:t>
      </w:r>
      <w:r>
        <w:rPr>
          <w:rFonts w:hint="eastAsia" w:ascii="Times New Roman" w:hAnsi="Times New Roman"/>
          <w:color w:val="auto"/>
          <w:kern w:val="0"/>
          <w:szCs w:val="22"/>
          <w:highlight w:val="none"/>
        </w:rPr>
        <w:t>本项目新增污染源叠加现状浓度、周边已批在建</w:t>
      </w:r>
      <w:r>
        <w:rPr>
          <w:rFonts w:hint="eastAsia" w:ascii="Times New Roman" w:hAnsi="Times New Roman"/>
          <w:color w:val="auto"/>
          <w:kern w:val="0"/>
          <w:szCs w:val="22"/>
          <w:highlight w:val="none"/>
          <w:lang w:eastAsia="zh-CN"/>
        </w:rPr>
        <w:t>、</w:t>
      </w:r>
      <w:r>
        <w:rPr>
          <w:rFonts w:hint="eastAsia" w:ascii="Times New Roman" w:hAnsi="Times New Roman"/>
          <w:color w:val="auto"/>
          <w:kern w:val="0"/>
          <w:szCs w:val="22"/>
          <w:highlight w:val="none"/>
        </w:rPr>
        <w:t>拟建项目污染物的影响后，SO</w:t>
      </w:r>
      <w:r>
        <w:rPr>
          <w:rFonts w:hint="eastAsia" w:ascii="Times New Roman" w:hAnsi="Times New Roman"/>
          <w:color w:val="auto"/>
          <w:kern w:val="0"/>
          <w:szCs w:val="22"/>
          <w:highlight w:val="none"/>
          <w:vertAlign w:val="subscript"/>
        </w:rPr>
        <w:t>2</w:t>
      </w:r>
      <w:r>
        <w:rPr>
          <w:rFonts w:hint="eastAsia" w:ascii="Times New Roman" w:hAnsi="Times New Roman"/>
          <w:color w:val="auto"/>
          <w:kern w:val="0"/>
          <w:szCs w:val="22"/>
          <w:highlight w:val="none"/>
        </w:rPr>
        <w:t>、NO</w:t>
      </w:r>
      <w:r>
        <w:rPr>
          <w:rFonts w:hint="eastAsia" w:ascii="Times New Roman" w:hAnsi="Times New Roman"/>
          <w:color w:val="auto"/>
          <w:kern w:val="0"/>
          <w:szCs w:val="22"/>
          <w:highlight w:val="none"/>
          <w:vertAlign w:val="subscript"/>
        </w:rPr>
        <w:t>2</w:t>
      </w:r>
      <w:r>
        <w:rPr>
          <w:rFonts w:hint="eastAsia" w:ascii="Times New Roman" w:hAnsi="Times New Roman"/>
          <w:color w:val="auto"/>
          <w:kern w:val="0"/>
          <w:szCs w:val="22"/>
          <w:highlight w:val="none"/>
        </w:rPr>
        <w:t>、PM</w:t>
      </w:r>
      <w:r>
        <w:rPr>
          <w:rFonts w:hint="eastAsia" w:ascii="Times New Roman" w:hAnsi="Times New Roman"/>
          <w:color w:val="auto"/>
          <w:kern w:val="0"/>
          <w:szCs w:val="22"/>
          <w:highlight w:val="none"/>
          <w:vertAlign w:val="subscript"/>
        </w:rPr>
        <w:t>10</w:t>
      </w:r>
      <w:r>
        <w:rPr>
          <w:rFonts w:hint="eastAsia" w:ascii="Times New Roman" w:hAnsi="Times New Roman"/>
          <w:color w:val="auto"/>
          <w:kern w:val="0"/>
          <w:szCs w:val="22"/>
          <w:highlight w:val="none"/>
        </w:rPr>
        <w:t>保证率日平均质量浓度和年平均质量浓度均符合《环境空气质量标准》（GB3095-2012）中的二级标准。非甲烷总烃（占标率</w:t>
      </w:r>
      <w:r>
        <w:rPr>
          <w:rFonts w:hint="eastAsia" w:ascii="Times New Roman" w:hAnsi="Times New Roman"/>
          <w:color w:val="auto"/>
          <w:kern w:val="0"/>
          <w:szCs w:val="22"/>
          <w:highlight w:val="none"/>
          <w:lang w:val="en-US" w:eastAsia="zh-CN"/>
        </w:rPr>
        <w:t>48.</w:t>
      </w:r>
      <w:r>
        <w:rPr>
          <w:rFonts w:hint="eastAsia"/>
          <w:color w:val="auto"/>
          <w:kern w:val="0"/>
          <w:szCs w:val="22"/>
          <w:highlight w:val="none"/>
          <w:lang w:val="en-US" w:eastAsia="zh-CN"/>
        </w:rPr>
        <w:t>65</w:t>
      </w:r>
      <w:r>
        <w:rPr>
          <w:rFonts w:hint="eastAsia" w:ascii="Times New Roman" w:hAnsi="Times New Roman"/>
          <w:color w:val="auto"/>
          <w:kern w:val="0"/>
          <w:szCs w:val="22"/>
          <w:highlight w:val="none"/>
        </w:rPr>
        <w:t>%）</w:t>
      </w:r>
      <w:r>
        <w:rPr>
          <w:rFonts w:hint="eastAsia" w:ascii="Times New Roman" w:hAnsi="Times New Roman"/>
          <w:color w:val="auto"/>
          <w:kern w:val="0"/>
          <w:szCs w:val="22"/>
          <w:highlight w:val="none"/>
          <w:lang w:eastAsia="zh-CN"/>
        </w:rPr>
        <w:t>，</w:t>
      </w:r>
      <w:r>
        <w:rPr>
          <w:rFonts w:hint="eastAsia" w:ascii="Times New Roman" w:hAnsi="Times New Roman"/>
          <w:color w:val="auto"/>
          <w:kern w:val="0"/>
          <w:szCs w:val="22"/>
          <w:highlight w:val="none"/>
        </w:rPr>
        <w:t>小时平均浓度符合《大气污染物综合排放标准详解》</w:t>
      </w:r>
      <w:r>
        <w:rPr>
          <w:rFonts w:hint="eastAsia" w:ascii="Times New Roman" w:hAnsi="Times New Roman"/>
          <w:color w:val="auto"/>
          <w:kern w:val="0"/>
          <w:szCs w:val="22"/>
          <w:highlight w:val="none"/>
          <w:lang w:eastAsia="zh-CN"/>
        </w:rPr>
        <w:t>；</w:t>
      </w:r>
      <w:r>
        <w:rPr>
          <w:rFonts w:hint="default" w:ascii="Times New Roman" w:hAnsi="Times New Roman" w:cs="Times New Roman"/>
          <w:color w:val="auto"/>
          <w:highlight w:val="none"/>
          <w:lang w:val="en-US" w:eastAsia="zh-CN"/>
        </w:rPr>
        <w:t>氨</w:t>
      </w:r>
      <w:r>
        <w:rPr>
          <w:rFonts w:hint="eastAsia" w:ascii="Times New Roman" w:hAnsi="Times New Roman" w:cs="Times New Roman"/>
          <w:color w:val="auto"/>
          <w:highlight w:val="none"/>
          <w:lang w:val="en-US" w:eastAsia="zh-CN"/>
        </w:rPr>
        <w:t>（占标率26.</w:t>
      </w:r>
      <w:r>
        <w:rPr>
          <w:rFonts w:hint="eastAsia" w:cs="Times New Roman"/>
          <w:color w:val="auto"/>
          <w:highlight w:val="none"/>
          <w:lang w:val="en-US" w:eastAsia="zh-CN"/>
        </w:rPr>
        <w:t>99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、硫化氢</w:t>
      </w:r>
      <w:r>
        <w:rPr>
          <w:rFonts w:hint="eastAsia" w:ascii="Times New Roman" w:hAnsi="Times New Roman" w:cs="Times New Roman"/>
          <w:color w:val="auto"/>
          <w:highlight w:val="none"/>
          <w:lang w:val="en-US" w:eastAsia="zh-CN"/>
        </w:rPr>
        <w:t>（占标率</w:t>
      </w:r>
      <w:r>
        <w:rPr>
          <w:rFonts w:hint="eastAsia" w:cs="Times New Roman"/>
          <w:color w:val="auto"/>
          <w:highlight w:val="none"/>
          <w:lang w:val="en-US" w:eastAsia="zh-CN"/>
        </w:rPr>
        <w:t>1.69</w:t>
      </w:r>
      <w:r>
        <w:rPr>
          <w:rFonts w:hint="eastAsia" w:ascii="Times New Roman" w:hAnsi="Times New Roman" w:cs="Times New Roman"/>
          <w:color w:val="auto"/>
          <w:highlight w:val="none"/>
          <w:lang w:val="en-US" w:eastAsia="zh-CN"/>
        </w:rPr>
        <w:t>%）小时平均浓度均符合</w:t>
      </w:r>
      <w:r>
        <w:rPr>
          <w:rFonts w:hint="default" w:ascii="Times New Roman" w:hAnsi="Times New Roman" w:cs="Times New Roman"/>
          <w:color w:val="auto"/>
          <w:highlight w:val="none"/>
        </w:rPr>
        <w:t>《环境影响评价技术导则 大气环境》(HJ2.2-2018）附录D其他污染物空气质量浓度参考限值</w:t>
      </w:r>
      <w:r>
        <w:rPr>
          <w:rFonts w:hint="eastAsia" w:ascii="Times New Roman" w:hAnsi="Times New Roman"/>
          <w:color w:val="auto"/>
          <w:kern w:val="0"/>
          <w:szCs w:val="22"/>
          <w:highlight w:val="none"/>
        </w:rPr>
        <w:t>。</w:t>
      </w:r>
    </w:p>
    <w:p>
      <w:pPr>
        <w:ind w:firstLine="480"/>
        <w:rPr>
          <w:rFonts w:ascii="Times New Roman" w:hAnsi="Times New Roman"/>
          <w:color w:val="auto"/>
          <w:highlight w:val="none"/>
        </w:rPr>
      </w:pPr>
      <w:r>
        <w:rPr>
          <w:rFonts w:hint="eastAsia" w:ascii="Times New Roman" w:hAnsi="Times New Roman"/>
          <w:color w:val="auto"/>
          <w:kern w:val="0"/>
          <w:szCs w:val="22"/>
          <w:highlight w:val="none"/>
        </w:rPr>
        <w:t>综上，各污染因子叠加现状浓度与在建、拟建项目的环境影响后，各网格点主要污染物的短期浓度、保证率日平均质量浓度和年平均质量浓度均能达到评价提出的环境质量标准要求（即符合环境质量标准）</w:t>
      </w:r>
      <w:r>
        <w:rPr>
          <w:rFonts w:ascii="Times New Roman" w:hAnsi="Times New Roman"/>
          <w:color w:val="auto"/>
          <w:kern w:val="0"/>
          <w:szCs w:val="22"/>
          <w:highlight w:val="none"/>
        </w:rPr>
        <w:t>。</w:t>
      </w:r>
    </w:p>
    <w:p>
      <w:pPr>
        <w:ind w:firstLine="480"/>
        <w:rPr>
          <w:rFonts w:ascii="Times New Roman" w:hAnsi="Times New Roman"/>
          <w:color w:val="auto"/>
          <w:highlight w:val="none"/>
        </w:rPr>
      </w:pPr>
      <w:r>
        <w:rPr>
          <w:rFonts w:ascii="Times New Roman" w:hAnsi="Times New Roman"/>
          <w:color w:val="auto"/>
          <w:highlight w:val="none"/>
        </w:rPr>
        <w:t>④根据预测结果，本项目非正常排放下，</w:t>
      </w:r>
      <w:r>
        <w:rPr>
          <w:rFonts w:hint="eastAsia"/>
          <w:color w:val="auto"/>
          <w:highlight w:val="none"/>
          <w:lang w:val="en-US" w:eastAsia="zh-CN"/>
        </w:rPr>
        <w:t>污染物未经废气治理设施处理后排放，对周边大气环境会产生一定影响，主要影响是周边村庄的落地浓度略有增加，但未造成敏感目标的影响浓度超标</w:t>
      </w:r>
      <w:r>
        <w:rPr>
          <w:rFonts w:hint="eastAsia"/>
          <w:color w:val="auto"/>
          <w:highlight w:val="none"/>
          <w:lang w:eastAsia="zh-CN"/>
        </w:rPr>
        <w:t>；</w:t>
      </w:r>
      <w:r>
        <w:rPr>
          <w:rFonts w:hint="eastAsia"/>
          <w:color w:val="auto"/>
          <w:highlight w:val="none"/>
          <w:lang w:val="en-US" w:eastAsia="zh-CN"/>
        </w:rPr>
        <w:t>网格点颗粒物最大占标率达366.52%，</w:t>
      </w:r>
      <w:r>
        <w:rPr>
          <w:rFonts w:hint="eastAsia"/>
          <w:color w:val="auto"/>
          <w:highlight w:val="none"/>
          <w:lang w:val="en-US" w:eastAsia="zh-CN"/>
        </w:rPr>
        <w:t>超标范围达64.1公顷，</w:t>
      </w:r>
      <w:r>
        <w:rPr>
          <w:rFonts w:hint="eastAsia"/>
          <w:color w:val="auto"/>
          <w:highlight w:val="none"/>
          <w:lang w:val="en-US" w:eastAsia="zh-CN"/>
        </w:rPr>
        <w:t>影响范围较广。因此，</w:t>
      </w:r>
      <w:r>
        <w:rPr>
          <w:rFonts w:ascii="Times New Roman" w:hAnsi="Times New Roman"/>
          <w:color w:val="auto"/>
          <w:highlight w:val="none"/>
        </w:rPr>
        <w:t>建设单位应加强对污染防治设施的日常管理，严格操作规程，对生产设备进行定期检修</w:t>
      </w:r>
      <w:r>
        <w:rPr>
          <w:rFonts w:hint="eastAsia"/>
          <w:color w:val="auto"/>
          <w:highlight w:val="none"/>
          <w:lang w:eastAsia="zh-CN"/>
        </w:rPr>
        <w:t>，</w:t>
      </w:r>
      <w:r>
        <w:rPr>
          <w:rFonts w:ascii="Times New Roman" w:hAnsi="Times New Roman"/>
          <w:color w:val="auto"/>
          <w:highlight w:val="none"/>
        </w:rPr>
        <w:t>减少非正常工况的发生几率，杜绝事故性排放。</w:t>
      </w:r>
    </w:p>
    <w:p>
      <w:pPr>
        <w:ind w:firstLine="480"/>
        <w:rPr>
          <w:rFonts w:ascii="Times New Roman" w:hAnsi="Times New Roman"/>
          <w:color w:val="auto"/>
          <w:highlight w:val="none"/>
        </w:rPr>
      </w:pPr>
      <w:r>
        <w:rPr>
          <w:rFonts w:ascii="Times New Roman" w:hAnsi="Times New Roman"/>
          <w:color w:val="auto"/>
          <w:highlight w:val="none"/>
        </w:rPr>
        <w:t>⑤项目厂界浓度预测结果表明，项目厂界线无超标点，厂界浓度均满足厂界排标准要求。</w:t>
      </w:r>
    </w:p>
    <w:p>
      <w:pPr>
        <w:ind w:firstLine="480"/>
        <w:rPr>
          <w:rFonts w:ascii="Times New Roman" w:hAnsi="Times New Roman"/>
          <w:color w:val="auto"/>
          <w:highlight w:val="none"/>
        </w:rPr>
      </w:pPr>
      <w:r>
        <w:rPr>
          <w:rFonts w:ascii="Times New Roman" w:hAnsi="Times New Roman"/>
          <w:color w:val="auto"/>
          <w:kern w:val="0"/>
          <w:szCs w:val="22"/>
          <w:highlight w:val="none"/>
        </w:rPr>
        <w:t>⑥</w:t>
      </w:r>
      <w:r>
        <w:rPr>
          <w:rFonts w:hint="eastAsia"/>
          <w:color w:val="auto"/>
          <w:highlight w:val="none"/>
          <w:lang w:val="en-US" w:eastAsia="zh-CN"/>
        </w:rPr>
        <w:t>距离本项目最近的敏感目标为厂界南侧的一层村（相对厂界距离35 m），</w:t>
      </w:r>
      <w:r>
        <w:rPr>
          <w:rFonts w:hint="default" w:ascii="Times New Roman" w:hAnsi="Times New Roman" w:cs="Times New Roman"/>
          <w:color w:val="auto"/>
          <w:highlight w:val="none"/>
          <w:lang w:val="en-US" w:eastAsia="zh-CN"/>
        </w:rPr>
        <w:t>一层村相对于本项目位于常年主导风向侧风向</w:t>
      </w:r>
      <w:r>
        <w:rPr>
          <w:rFonts w:hint="eastAsia" w:cs="Times New Roman"/>
          <w:color w:val="auto"/>
          <w:highlight w:val="none"/>
          <w:lang w:val="en-US" w:eastAsia="zh-CN"/>
        </w:rPr>
        <w:t>，建设单位在落实好本评价提出的措施后，项目运营期对一层村的影响较小。</w:t>
      </w:r>
    </w:p>
    <w:p>
      <w:pPr>
        <w:ind w:firstLine="480"/>
        <w:rPr>
          <w:rFonts w:ascii="Times New Roman" w:hAnsi="Times New Roman"/>
          <w:color w:val="auto"/>
          <w:highlight w:val="none"/>
        </w:rPr>
      </w:pPr>
      <w:r>
        <w:rPr>
          <w:rFonts w:hint="eastAsia"/>
          <w:color w:val="auto"/>
          <w:highlight w:val="none"/>
          <w:lang w:val="en-US" w:eastAsia="zh-CN"/>
        </w:rPr>
        <w:t>⑦</w:t>
      </w:r>
      <w:r>
        <w:rPr>
          <w:rFonts w:ascii="Times New Roman" w:hAnsi="Times New Roman"/>
          <w:color w:val="auto"/>
          <w:kern w:val="0"/>
          <w:szCs w:val="22"/>
          <w:highlight w:val="none"/>
        </w:rPr>
        <w:t>项目环境防护距离</w:t>
      </w:r>
    </w:p>
    <w:p>
      <w:pPr>
        <w:ind w:firstLine="480"/>
        <w:rPr>
          <w:color w:val="auto"/>
          <w:highlight w:val="none"/>
        </w:rPr>
      </w:pPr>
      <w:r>
        <w:rPr>
          <w:rFonts w:ascii="Times New Roman" w:hAnsi="Times New Roman"/>
          <w:color w:val="auto"/>
          <w:highlight w:val="none"/>
        </w:rPr>
        <w:t>本项目大气环境防护距离为0；卫生防护距离为：</w:t>
      </w:r>
      <w:r>
        <w:rPr>
          <w:rFonts w:hint="eastAsia" w:cs="Times New Roman"/>
          <w:color w:val="auto"/>
          <w:highlight w:val="none"/>
          <w:lang w:val="en-US" w:eastAsia="zh-CN"/>
        </w:rPr>
        <w:t>前纺楼向外延伸形成100 m的包络线区域（其中，污水处理站位于前纺楼1 F，卫生防护距离按前纺楼计）；后纺楼向外延伸形成50 m的包络线区域</w:t>
      </w:r>
      <w:r>
        <w:rPr>
          <w:color w:val="auto"/>
          <w:highlight w:val="none"/>
        </w:rPr>
        <w:t>。</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地表水环境影响及措施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本项目产生的废水主要有组件清洗废水、水浴槽废水、喷淋塔废水、地面冲洗废水</w:t>
      </w:r>
      <w:r>
        <w:rPr>
          <w:rFonts w:hint="eastAsia" w:cs="Times New Roman"/>
          <w:color w:val="auto"/>
          <w:highlight w:val="none"/>
          <w:lang w:val="en-US" w:eastAsia="zh-CN"/>
        </w:rPr>
        <w:t>、</w:t>
      </w:r>
      <w:r>
        <w:rPr>
          <w:rFonts w:hint="eastAsia" w:cs="Times New Roman"/>
          <w:color w:val="auto"/>
          <w:szCs w:val="20"/>
          <w:highlight w:val="none"/>
          <w:lang w:val="en-US" w:eastAsia="zh-CN"/>
        </w:rPr>
        <w:t>水环真空泵废水</w:t>
      </w:r>
      <w:r>
        <w:rPr>
          <w:rFonts w:hint="default" w:ascii="Times New Roman" w:hAnsi="Times New Roman" w:cs="Times New Roman"/>
          <w:color w:val="auto"/>
          <w:highlight w:val="none"/>
          <w:lang w:val="en-US" w:eastAsia="zh-CN"/>
        </w:rPr>
        <w:t>以及生活污水。生产废水经管道排入厂区自建的污水处理站处理，设计处理规模为50 t/d，处理工艺拟采用“气浮+水解酸化+A/O池+MBR膜+板框压滤”处理达《合成树脂工业污染物排放标准》（GB31572-2015）表1直接排放限值（石油类参照排放标准参照现有工程环评报告书10 mg/L的要求）后排入园区污水管网，最终进入牙城镇污水处理厂处理；生活污水经化粪池处理达牙城镇污水处理厂设计的进水水质标准后排入园区污水管网，进入牙城镇污水处理厂处理。</w:t>
      </w:r>
    </w:p>
    <w:p>
      <w:pP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此外，本项目还有少量初期初期雨水，产生量为90.94</w:t>
      </w:r>
      <w:r>
        <w:rPr>
          <w:rFonts w:hint="default" w:ascii="Times New Roman" w:hAnsi="Times New Roman" w:cs="Times New Roman"/>
          <w:color w:val="auto"/>
          <w:highlight w:val="none"/>
          <w:lang w:val="en-US" w:eastAsia="zh-CN"/>
        </w:rPr>
        <w:t xml:space="preserve">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/次</w:t>
      </w:r>
      <w:r>
        <w:rPr>
          <w:rFonts w:hint="eastAsia" w:cs="Times New Roman"/>
          <w:color w:val="auto"/>
          <w:highlight w:val="none"/>
          <w:lang w:val="en-US" w:eastAsia="zh-CN"/>
        </w:rPr>
        <w:t>，主要污染物为COD、SS等，初期雨水收集进入初期雨水池（容积100 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）后，可分批次有序进入污水处理站处理达标后排入园区污水管网，纳入牙城镇处理厂处理。</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在牙城镇污水处理厂服务范围之内，符合该污水厂的水量、设计进水水质的要求，不会对该污水厂的处理工艺造成冲击。本项目排放的废水经牙城镇污水处理厂处理达标排入东澳水库3#滞洪区最后汇入牙城湾，对水环境影响不大。</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地下水环境影响及措施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在严格按工程设计和环保要求对各工程及生产场所采取切实有效的防渗措施，并按设计建设、运行，正常状况下，基本不会造成地下水污染；在非正常状况下，根据预测结果，发生泄漏后会对区域地下水造成一定的影响，在叠加现状背景值后，可能会造成部分区域地下水超标，因本项目距离猫垅溪和牙城湾较近，当发生渗漏后，也可能会对其产生一定的影响。因此，建设单位在严格按照工程设计、环保要求和防渗要求，做好相应的水平防渗措施，并加强风向管理的前提下，本项目的建设对区域地下水的影响是可控的，能接受的。</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声环境影响及防护措施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项目通过选用低噪声设备、厂房阻隔，采用隔声、减震、消声等综合降噪措施后，预测结果显示，本项目厂界噪声贡献值在36.3~46.1 dB（A）之间，均能够满足《工业企业厂界环境噪声排放标准》（GB12348-2008）中的3类标准；本项目建设对周边敏感点一层村的贡献值为34.3 dB（A），贡献值叠加背景值后，昼间噪声预测值为52.1 dB（A），夜间噪声为45.4 dB（A），可满足《声环境质量标准》（GB3096-2008）中2类区标准。因此，本项目的建设对区域声环境的影响较小。</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固体废物环境影响及处置措施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本项目产生的固体废物主要为一般工业固体废物（杂质、废熔块、废丝、废过滤网、</w:t>
      </w:r>
      <w:r>
        <w:rPr>
          <w:rFonts w:hint="eastAsia" w:cs="Times New Roman"/>
          <w:color w:val="auto"/>
          <w:highlight w:val="none"/>
          <w:lang w:val="en-US" w:eastAsia="zh-CN"/>
        </w:rPr>
        <w:t>废机械零部件、</w:t>
      </w:r>
      <w:r>
        <w:rPr>
          <w:rFonts w:hint="default" w:ascii="Times New Roman" w:hAnsi="Times New Roman" w:cs="Times New Roman"/>
          <w:color w:val="auto"/>
          <w:highlight w:val="none"/>
          <w:lang w:val="en-US" w:eastAsia="zh-CN"/>
        </w:rPr>
        <w:t>废包装袋、污泥、布袋粉尘）、危险废物（</w:t>
      </w:r>
      <w:r>
        <w:rPr>
          <w:rFonts w:hint="eastAsia" w:cs="Times New Roman"/>
          <w:color w:val="auto"/>
          <w:highlight w:val="none"/>
          <w:lang w:val="en-US" w:eastAsia="zh-CN"/>
        </w:rPr>
        <w:t>真空废液</w:t>
      </w:r>
      <w:r>
        <w:rPr>
          <w:rFonts w:hint="default" w:ascii="Times New Roman" w:hAnsi="Times New Roman" w:cs="Times New Roman"/>
          <w:color w:val="auto"/>
          <w:highlight w:val="none"/>
          <w:lang w:val="en-US" w:eastAsia="zh-CN"/>
        </w:rPr>
        <w:t>、浸油槽废液、煅烧废渣、废机油、废油剂空桶、</w:t>
      </w:r>
      <w:r>
        <w:rPr>
          <w:rFonts w:hint="eastAsia" w:cs="Times New Roman"/>
          <w:color w:val="auto"/>
          <w:highlight w:val="none"/>
          <w:lang w:val="en-US" w:eastAsia="zh-CN"/>
        </w:rPr>
        <w:t>废布袋、废纺丝油剂、</w:t>
      </w:r>
      <w:r>
        <w:rPr>
          <w:rFonts w:hint="eastAsia" w:cs="Times New Roman"/>
          <w:color w:val="auto"/>
          <w:highlight w:val="none"/>
          <w:lang w:val="en-US" w:eastAsia="zh-CN"/>
        </w:rPr>
        <w:t>废活性炭、</w:t>
      </w:r>
      <w:r>
        <w:rPr>
          <w:rFonts w:hint="default" w:ascii="Times New Roman" w:hAnsi="Times New Roman" w:cs="Times New Roman"/>
          <w:color w:val="auto"/>
          <w:highlight w:val="none"/>
          <w:lang w:val="en-US" w:eastAsia="zh-CN"/>
        </w:rPr>
        <w:t>含油抹布（豁免））和生活垃圾。</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杂质收集后委托环卫部门清运处置；废熔块、废丝、布袋粉尘收集后暂存于一般工业固体废物贮存间，定期回用于破碎、造粒生产；废过滤网</w:t>
      </w:r>
      <w:r>
        <w:rPr>
          <w:rFonts w:hint="eastAsia" w:cs="Times New Roman"/>
          <w:color w:val="auto"/>
          <w:highlight w:val="none"/>
          <w:lang w:val="en-US" w:eastAsia="zh-CN"/>
        </w:rPr>
        <w:t>、</w:t>
      </w:r>
      <w:r>
        <w:rPr>
          <w:rFonts w:hint="eastAsia" w:cs="Times New Roman"/>
          <w:color w:val="auto"/>
          <w:highlight w:val="none"/>
          <w:lang w:val="en-US" w:eastAsia="zh-CN"/>
        </w:rPr>
        <w:t>废机械零部件</w:t>
      </w:r>
      <w:r>
        <w:rPr>
          <w:rFonts w:hint="default" w:ascii="Times New Roman" w:hAnsi="Times New Roman" w:eastAsia="宋体" w:cs="Times New Roman"/>
          <w:color w:val="auto"/>
          <w:highlight w:val="none"/>
          <w:lang w:val="en-US" w:eastAsia="zh-CN"/>
        </w:rPr>
        <w:t>收集后暂存于一般工业固体废物贮存间，定期外售综合利用；污泥收集后暂存于一般工业固体废物贮存间，可继续由三明金牛环保科技有限公司水泥窑协同处置或送入填埋场处理。</w:t>
      </w:r>
    </w:p>
    <w:p>
      <w:pPr>
        <w:rPr>
          <w:rFonts w:hint="default" w:ascii="Times New Roman" w:hAnsi="Times New Roman" w:eastAsia="宋体" w:cs="Times New Roman"/>
          <w:color w:val="auto"/>
          <w:sz w:val="24"/>
          <w:szCs w:val="24"/>
          <w:highlight w:val="none"/>
          <w:lang w:val="en-US" w:eastAsia="zh-CN"/>
        </w:rPr>
      </w:pPr>
      <w:r>
        <w:rPr>
          <w:rFonts w:hint="eastAsia" w:cs="Times New Roman"/>
          <w:color w:val="auto"/>
          <w:highlight w:val="none"/>
          <w:lang w:val="en-US" w:eastAsia="zh-CN"/>
        </w:rPr>
        <w:t>真空废液</w:t>
      </w:r>
      <w:r>
        <w:rPr>
          <w:rFonts w:hint="default" w:ascii="Times New Roman" w:hAnsi="Times New Roman" w:cs="Times New Roman"/>
          <w:color w:val="auto"/>
          <w:sz w:val="24"/>
          <w:szCs w:val="24"/>
          <w:highlight w:val="none"/>
          <w:lang w:val="en-US" w:eastAsia="zh-CN"/>
        </w:rPr>
        <w:t>、浸油槽废液、煅烧废渣、废机油</w:t>
      </w:r>
      <w:r>
        <w:rPr>
          <w:rFonts w:hint="eastAsia" w:cs="Times New Roman"/>
          <w:color w:val="auto"/>
          <w:sz w:val="24"/>
          <w:szCs w:val="24"/>
          <w:highlight w:val="none"/>
          <w:lang w:val="en-US" w:eastAsia="zh-CN"/>
        </w:rPr>
        <w:t>、废布袋</w:t>
      </w:r>
      <w:r>
        <w:rPr>
          <w:rFonts w:hint="eastAsia" w:cs="Times New Roman"/>
          <w:color w:val="auto"/>
          <w:highlight w:val="none"/>
          <w:lang w:val="en-US" w:eastAsia="zh-CN"/>
        </w:rPr>
        <w:t>、废纺丝油剂、</w:t>
      </w:r>
      <w:r>
        <w:rPr>
          <w:rFonts w:hint="eastAsia" w:cs="Times New Roman"/>
          <w:color w:val="auto"/>
          <w:highlight w:val="none"/>
          <w:lang w:val="en-US" w:eastAsia="zh-CN"/>
        </w:rPr>
        <w:t>废活性炭</w:t>
      </w:r>
      <w:r>
        <w:rPr>
          <w:rFonts w:hint="default" w:ascii="Times New Roman" w:hAnsi="Times New Roman" w:cs="Times New Roman"/>
          <w:color w:val="auto"/>
          <w:sz w:val="24"/>
          <w:szCs w:val="24"/>
          <w:highlight w:val="none"/>
          <w:lang w:val="en-US" w:eastAsia="zh-CN"/>
        </w:rPr>
        <w:t>收集后暂存于危险废物贮存间，定期委托有资质单位处置；</w:t>
      </w:r>
      <w:r>
        <w:rPr>
          <w:rFonts w:hint="default" w:ascii="Times New Roman" w:hAnsi="Times New Roman" w:cs="Times New Roman"/>
          <w:color w:val="auto"/>
          <w:highlight w:val="none"/>
          <w:lang w:val="en-US" w:eastAsia="zh-CN"/>
        </w:rPr>
        <w:t>废油</w:t>
      </w:r>
      <w:r>
        <w:rPr>
          <w:rFonts w:hint="default" w:ascii="Times New Roman" w:hAnsi="Times New Roman" w:cs="Times New Roman"/>
          <w:color w:val="auto"/>
          <w:sz w:val="24"/>
          <w:szCs w:val="24"/>
          <w:highlight w:val="none"/>
          <w:lang w:val="en-US" w:eastAsia="zh-CN"/>
        </w:rPr>
        <w:t>剂空桶由厂家回收，</w:t>
      </w:r>
      <w:r>
        <w:rPr>
          <w:rFonts w:hint="default" w:ascii="Times New Roman" w:hAnsi="Times New Roman" w:cs="Times New Roman"/>
          <w:color w:val="auto"/>
          <w:highlight w:val="none"/>
          <w:lang w:val="en-US" w:eastAsia="zh-CN"/>
        </w:rPr>
        <w:t>但贮存、运输等环节应按危险废物进行管理；含油抹布属于</w:t>
      </w:r>
      <w:r>
        <w:rPr>
          <w:rFonts w:hint="default" w:ascii="Times New Roman" w:hAnsi="Times New Roman" w:eastAsia="宋体" w:cs="Times New Roman"/>
          <w:color w:val="auto"/>
          <w:sz w:val="24"/>
          <w:szCs w:val="24"/>
          <w:highlight w:val="none"/>
          <w:lang w:val="en-US" w:eastAsia="zh-CN"/>
        </w:rPr>
        <w:t>豁免项目，全过程不按危险废物管理，可混入生活垃圾一并委托环卫部门及时清运处理。</w:t>
      </w:r>
    </w:p>
    <w:p>
      <w:pP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highlight w:val="none"/>
          <w:u w:val="none"/>
          <w:lang w:val="en-US" w:eastAsia="zh-CN"/>
        </w:rPr>
        <w:t>本次扩建</w:t>
      </w:r>
      <w:r>
        <w:rPr>
          <w:rFonts w:hint="default" w:ascii="Times New Roman" w:hAnsi="Times New Roman" w:eastAsia="宋体" w:cs="Times New Roman"/>
          <w:color w:val="auto"/>
          <w:highlight w:val="none"/>
          <w:u w:val="none"/>
        </w:rPr>
        <w:t>项目产生的固体废物基本上能够遵循分类管理、妥善储存、合理处置的原则，进行</w:t>
      </w:r>
      <w:r>
        <w:rPr>
          <w:rFonts w:hint="default" w:ascii="Times New Roman" w:hAnsi="Times New Roman" w:eastAsia="宋体" w:cs="Times New Roman"/>
          <w:color w:val="auto"/>
          <w:highlight w:val="none"/>
          <w:u w:val="none"/>
          <w:lang w:val="en-US" w:eastAsia="zh-CN"/>
        </w:rPr>
        <w:t>固体废物</w:t>
      </w:r>
      <w:r>
        <w:rPr>
          <w:rFonts w:hint="default" w:ascii="Times New Roman" w:hAnsi="Times New Roman" w:eastAsia="宋体" w:cs="Times New Roman"/>
          <w:color w:val="auto"/>
          <w:highlight w:val="none"/>
          <w:u w:val="none"/>
        </w:rPr>
        <w:t>处置</w:t>
      </w:r>
      <w:r>
        <w:rPr>
          <w:rFonts w:hint="default" w:ascii="Times New Roman" w:hAnsi="Times New Roman" w:eastAsia="宋体" w:cs="Times New Roman"/>
          <w:color w:val="auto"/>
          <w:highlight w:val="none"/>
          <w:u w:val="none"/>
          <w:lang w:val="en-US" w:eastAsia="zh-CN"/>
        </w:rPr>
        <w:t>和综合利用</w:t>
      </w:r>
      <w:r>
        <w:rPr>
          <w:rFonts w:hint="default" w:ascii="Times New Roman" w:hAnsi="Times New Roman" w:eastAsia="宋体" w:cs="Times New Roman"/>
          <w:color w:val="auto"/>
          <w:highlight w:val="none"/>
          <w:u w:val="none"/>
        </w:rPr>
        <w:t>。符合固体废物处理处置“减量化、资源化、无害化”的原则，对环境造成的影响较小</w:t>
      </w:r>
      <w:r>
        <w:rPr>
          <w:rFonts w:hint="default" w:ascii="Times New Roman" w:hAnsi="Times New Roman" w:eastAsia="宋体" w:cs="Times New Roman"/>
          <w:color w:val="auto"/>
          <w:highlight w:val="none"/>
          <w:u w:val="none"/>
          <w:lang w:eastAsia="zh-CN"/>
        </w:rPr>
        <w:t>。</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土壤环境影响及防治措施</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项目大气污染物主要为生产过程产生的颗粒物、非甲烷总烃；天然气锅炉燃烧烟气（烟尘、SO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i/>
          <w:iCs/>
          <w:color w:val="auto"/>
          <w:highlight w:val="none"/>
          <w:vertAlign w:val="subscript"/>
          <w:lang w:val="en-US" w:eastAsia="zh-CN"/>
        </w:rPr>
        <w:t>X</w:t>
      </w:r>
      <w:r>
        <w:rPr>
          <w:rFonts w:hint="default" w:ascii="Times New Roman" w:hAnsi="Times New Roman" w:cs="Times New Roman"/>
          <w:color w:val="auto"/>
          <w:highlight w:val="none"/>
          <w:lang w:val="en-US" w:eastAsia="zh-CN"/>
        </w:rPr>
        <w:t>）及污水处理站恶臭（NH</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lang w:val="en-US" w:eastAsia="zh-CN"/>
        </w:rPr>
        <w:t>），产生量较小，不会经过大气沉降等对周围土壤造成污染；污水处理站各池体、危险废物贮存间、生产车间等均按要求采取分区防渗，正常情况下，因渗漏对污染土壤的可能性极小。</w:t>
      </w:r>
    </w:p>
    <w:p>
      <w:pPr>
        <w:pStyle w:val="5"/>
        <w:numPr>
          <w:ilvl w:val="3"/>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环境风险评价结论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（1）依据《建设项目环境风险评价技术导则》（HJ169-2018）评价等级划分规定，本项目危险物质存在量及其临界量比值Q＜1，环境风险潜势为Ⅰ，属于简单分析。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（2）扩建项目最大风险事故是原料、产品引发火灾事故，通过采取有效防控措施，风险可控。</w:t>
      </w:r>
    </w:p>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（3）项目环境风险生产场所配备灭火器等消防措施，及时灭火，减缓火灾影响；建设容积为</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的消防事故废水池及其导流系统，确保在事故状态下能顺利收集消防废水，要求建设单位在本项目</w:t>
      </w:r>
      <w:r>
        <w:rPr>
          <w:rFonts w:hint="default" w:ascii="Times New Roman" w:hAnsi="Times New Roman" w:eastAsia="宋体" w:cs="Times New Roman"/>
          <w:color w:val="auto"/>
          <w:highlight w:val="none"/>
          <w:u w:val="none" w:color="auto"/>
        </w:rPr>
        <w:t>建成试投产前</w:t>
      </w:r>
      <w:r>
        <w:rPr>
          <w:rFonts w:hint="default" w:ascii="Times New Roman" w:hAnsi="Times New Roman" w:eastAsia="宋体" w:cs="Times New Roman"/>
          <w:color w:val="auto"/>
          <w:highlight w:val="none"/>
          <w:u w:val="none" w:color="auto"/>
          <w:lang w:val="en-US" w:eastAsia="zh-CN"/>
        </w:rPr>
        <w:t>应修编</w:t>
      </w:r>
      <w:r>
        <w:rPr>
          <w:rFonts w:hint="default" w:ascii="Times New Roman" w:hAnsi="Times New Roman" w:eastAsia="宋体" w:cs="Times New Roman"/>
          <w:color w:val="auto"/>
          <w:highlight w:val="none"/>
          <w:u w:val="none" w:color="auto"/>
        </w:rPr>
        <w:t>应急预案</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并报</w:t>
      </w:r>
      <w:r>
        <w:rPr>
          <w:rFonts w:hint="default" w:ascii="Times New Roman" w:hAnsi="Times New Roman" w:eastAsia="宋体" w:cs="Times New Roman"/>
          <w:color w:val="auto"/>
          <w:highlight w:val="none"/>
          <w:u w:val="none" w:color="auto"/>
          <w:lang w:val="en-US" w:eastAsia="zh-CN"/>
        </w:rPr>
        <w:t>宁德市霞浦</w:t>
      </w:r>
      <w:r>
        <w:rPr>
          <w:rFonts w:hint="default" w:ascii="Times New Roman" w:hAnsi="Times New Roman" w:eastAsia="宋体" w:cs="Times New Roman"/>
          <w:color w:val="auto"/>
          <w:highlight w:val="none"/>
          <w:u w:val="none" w:color="auto"/>
          <w:lang w:eastAsia="zh-CN"/>
        </w:rPr>
        <w:t>生态环境</w:t>
      </w:r>
      <w:r>
        <w:rPr>
          <w:rFonts w:hint="default" w:ascii="Times New Roman" w:hAnsi="Times New Roman" w:eastAsia="宋体" w:cs="Times New Roman"/>
          <w:color w:val="auto"/>
          <w:highlight w:val="none"/>
          <w:u w:val="none" w:color="auto"/>
        </w:rPr>
        <w:t>局备案</w:t>
      </w:r>
      <w:r>
        <w:rPr>
          <w:rFonts w:hint="default" w:ascii="Times New Roman" w:hAnsi="Times New Roman" w:cs="Times New Roman"/>
          <w:color w:val="auto"/>
          <w:highlight w:val="none"/>
          <w:u w:val="none" w:color="auto"/>
          <w:lang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全面落实本评价提出的环境风险防范措施，强化运营中的环境保护管理，认真执行生产车间的处理处置规范，可以避免环境风险事故的发生，大大减少风险事故的发生概率。因此，从这个意义上讲，本项目建设对环境的风险危害是可以接受的。</w:t>
      </w:r>
    </w:p>
    <w:p>
      <w:pPr>
        <w:pStyle w:val="3"/>
        <w:numPr>
          <w:ilvl w:val="1"/>
          <w:numId w:val="12"/>
        </w:numPr>
        <w:bidi w:val="0"/>
        <w:rPr>
          <w:rFonts w:hint="default" w:ascii="Times New Roman" w:hAnsi="Times New Roman" w:cs="Times New Roman"/>
          <w:color w:val="auto"/>
          <w:highlight w:val="none"/>
          <w:lang w:val="en-US" w:eastAsia="zh-CN"/>
        </w:rPr>
      </w:pPr>
      <w:bookmarkStart w:id="713" w:name="_Toc13520"/>
      <w:bookmarkStart w:id="714" w:name="_Toc22114"/>
      <w:bookmarkStart w:id="715" w:name="_Toc25140"/>
      <w:bookmarkStart w:id="716" w:name="_Toc3356"/>
      <w:r>
        <w:rPr>
          <w:rFonts w:hint="default" w:ascii="Times New Roman" w:hAnsi="Times New Roman" w:cs="Times New Roman"/>
          <w:color w:val="auto"/>
          <w:highlight w:val="none"/>
          <w:lang w:val="en-US" w:eastAsia="zh-CN"/>
        </w:rPr>
        <w:t>建设项目环境可行性</w:t>
      </w:r>
      <w:bookmarkEnd w:id="713"/>
      <w:bookmarkEnd w:id="714"/>
      <w:bookmarkEnd w:id="715"/>
      <w:bookmarkEnd w:id="716"/>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产业政策符合性分析结论</w:t>
      </w:r>
    </w:p>
    <w:p>
      <w:pPr>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根据《产业结构调整指导目录》（2019年本），本项目属于“鼓励类：二十、纺织，13、废旧纺织品回收再利用技术、设备的研发和应用，利用聚酯回收材料生产涤纶工业丝、差别化和功能性涤纶长丝、非织造材料等高附加值产品”，同时，项目已取得霞浦县工业和信息化局备案表（闽工信备[2020] J040014号）（见附件</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），因此，项目符合国家和地方产业政策。</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选址合理性分析结论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宁德市霞浦县牙城镇东洋工业园区控制性详细规划的原功能定位为东洋工业园是以金属制品业（主要为不锈钢与搪瓷制品）、通用设备制造业（金属铸、锻加工、通用零部件制造）、动物胶制造业、纺织业（服装、布料）、鞋业（橡胶靴鞋制造）为主导产业的现代工业园区。根据宁德市霞浦县牙城镇东洋工业园区控制性详细规划环境影响报告书分析，园区产业部分设置不合理，对部分主导产业进行调整，其中纺织业为推荐，园区禁止引入印染企业，禁止纤维素纤维原料及纤维制造，只推荐利用纺织下脚料、回收PET生产涤纶纤维的项目。环保准入条件：有机废气应进行净化处理，净化效率达到90%以上，清洁生产不低于清洁生产二级水平。</w:t>
      </w:r>
    </w:p>
    <w:p>
      <w:pPr>
        <w:rPr>
          <w:rFonts w:hint="default" w:ascii="Times New Roman" w:hAnsi="Times New Roman" w:cs="Times New Roman"/>
          <w:color w:val="auto"/>
          <w:highlight w:val="none"/>
          <w:lang w:val="en-US" w:eastAsia="zh-CN"/>
        </w:rPr>
      </w:pPr>
      <w:r>
        <w:rPr>
          <w:rFonts w:hint="eastAsia"/>
          <w:color w:val="auto"/>
          <w:lang w:val="en-US" w:eastAsia="zh-CN"/>
        </w:rPr>
        <w:t>根据</w:t>
      </w:r>
      <w:r>
        <w:rPr>
          <w:rFonts w:hint="default" w:ascii="Times New Roman" w:hAnsi="Times New Roman" w:cs="Times New Roman"/>
          <w:color w:val="auto"/>
          <w:highlight w:val="none"/>
          <w:lang w:val="en-US" w:eastAsia="zh-CN"/>
        </w:rPr>
        <w:t>《宁德市霞浦县牙城镇东洋工业园区控制性详细规划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的审查意见（霞环保监﹝2016﹞18号），东洋工业园区位于牙城镇区东侧，总面积约132.09 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范围西至沈海高速公路，东至斗门村，北到东澳水库，南临牙城湾。功能定位：以金属制品业（主要为不锈钢与搪瓷制品）、通用设备制造业（金属铸、锻加工、通用零部件制造）、动物胶制造业、纺织业（服装、布料）、鞋业（橡胶靴鞋制造）为主导产业的现代工业园区</w:t>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highlight w:val="none"/>
          <w:lang w:val="en-US" w:eastAsia="zh-CN"/>
        </w:rPr>
        <w:t>本项目位于霞浦县东洋工业园区内，项目用地性质为工业用地，主要利用回收的涤纶纺织下脚料生产PET再生纤维，扩建工程全厂废气治理设施处理效率均可达到90%以上，清洁生产为</w:t>
      </w:r>
      <w:r>
        <w:rPr>
          <w:rFonts w:hint="default" w:ascii="Times New Roman" w:hAnsi="Times New Roman" w:cs="Times New Roman"/>
          <w:color w:val="auto"/>
          <w:szCs w:val="20"/>
          <w:highlight w:val="none"/>
          <w:lang w:val="en-US" w:eastAsia="zh-CN"/>
        </w:rPr>
        <w:t>Ⅱ级（国内清洁生产先进水平）。</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因此，本次扩建项目符合园区产业功能定位和环保准入要求，</w:t>
      </w:r>
      <w:r>
        <w:rPr>
          <w:rFonts w:hint="eastAsia" w:cs="Times New Roman"/>
          <w:color w:val="auto"/>
          <w:highlight w:val="none"/>
          <w:lang w:val="en-US" w:eastAsia="zh-CN"/>
        </w:rPr>
        <w:t>符合</w:t>
      </w:r>
      <w:r>
        <w:rPr>
          <w:rFonts w:hint="default" w:ascii="Times New Roman" w:hAnsi="Times New Roman" w:cs="Times New Roman"/>
          <w:color w:val="auto"/>
          <w:highlight w:val="none"/>
          <w:lang w:val="en-US" w:eastAsia="zh-CN"/>
        </w:rPr>
        <w:t>《宁德市霞浦县牙城镇东洋工业园区控制性详细规划</w:t>
      </w:r>
      <w:r>
        <w:rPr>
          <w:rFonts w:hint="eastAsia" w:cs="Times New Roman"/>
          <w:color w:val="auto"/>
          <w:highlight w:val="none"/>
          <w:lang w:val="en-US" w:eastAsia="zh-CN"/>
        </w:rPr>
        <w:t>环境影响报告书</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及其审查意见好的要求，</w:t>
      </w:r>
      <w:r>
        <w:rPr>
          <w:rFonts w:hint="default" w:ascii="Times New Roman" w:hAnsi="Times New Roman" w:cs="Times New Roman"/>
          <w:color w:val="auto"/>
          <w:highlight w:val="none"/>
          <w:lang w:val="en-US" w:eastAsia="zh-CN"/>
        </w:rPr>
        <w:t>项目选址合理。</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总量控制结论</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highlight w:val="none"/>
          <w:lang w:val="en-US" w:eastAsia="zh-CN"/>
        </w:rPr>
        <w:t>根据工程分析扩建前后“三本账”分析可知，现有工程SO</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排放量为</w:t>
      </w:r>
      <w:r>
        <w:rPr>
          <w:rFonts w:hint="eastAsia"/>
          <w:color w:val="auto"/>
          <w:szCs w:val="20"/>
          <w:lang w:val="en-US" w:eastAsia="zh-CN"/>
        </w:rPr>
        <w:t>0.5392</w:t>
      </w:r>
      <w:r>
        <w:rPr>
          <w:rFonts w:hint="default" w:ascii="Times New Roman" w:hAnsi="Times New Roman" w:cs="Times New Roman"/>
          <w:color w:val="auto"/>
          <w:sz w:val="24"/>
          <w:szCs w:val="24"/>
          <w:highlight w:val="none"/>
          <w:lang w:val="en-US" w:eastAsia="zh-CN"/>
        </w:rPr>
        <w:t xml:space="preserve"> t/a、NO</w:t>
      </w:r>
      <w:r>
        <w:rPr>
          <w:rFonts w:hint="default" w:ascii="Times New Roman" w:hAnsi="Times New Roman" w:cs="Times New Roman"/>
          <w:i/>
          <w:iCs/>
          <w:color w:val="auto"/>
          <w:sz w:val="24"/>
          <w:szCs w:val="24"/>
          <w:highlight w:val="none"/>
          <w:vertAlign w:val="subscript"/>
          <w:lang w:val="en-US" w:eastAsia="zh-CN"/>
        </w:rPr>
        <w:t>X</w:t>
      </w:r>
      <w:r>
        <w:rPr>
          <w:rFonts w:hint="default" w:ascii="Times New Roman" w:hAnsi="Times New Roman" w:cs="Times New Roman"/>
          <w:color w:val="auto"/>
          <w:sz w:val="24"/>
          <w:szCs w:val="24"/>
          <w:highlight w:val="none"/>
          <w:lang w:val="en-US" w:eastAsia="zh-CN"/>
        </w:rPr>
        <w:t>排放量为</w:t>
      </w:r>
      <w:r>
        <w:rPr>
          <w:rFonts w:hint="eastAsia"/>
          <w:color w:val="auto"/>
          <w:szCs w:val="20"/>
          <w:lang w:val="en-US" w:eastAsia="zh-CN"/>
        </w:rPr>
        <w:t>5.6474</w:t>
      </w:r>
      <w:r>
        <w:rPr>
          <w:rFonts w:hint="default" w:ascii="Times New Roman" w:hAnsi="Times New Roman" w:cs="Times New Roman"/>
          <w:color w:val="auto"/>
          <w:sz w:val="24"/>
          <w:szCs w:val="24"/>
          <w:highlight w:val="none"/>
          <w:lang w:val="en-US" w:eastAsia="zh-CN"/>
        </w:rPr>
        <w:t xml:space="preserve"> t/a，非甲烷总烃排放量为</w:t>
      </w:r>
      <w:r>
        <w:rPr>
          <w:rFonts w:hint="eastAsia" w:cs="Times New Roman"/>
          <w:color w:val="auto"/>
          <w:szCs w:val="20"/>
          <w:highlight w:val="none"/>
          <w:lang w:val="en-US" w:eastAsia="zh-CN"/>
        </w:rPr>
        <w:t>3.2448</w:t>
      </w:r>
      <w:r>
        <w:rPr>
          <w:rFonts w:hint="default" w:ascii="Times New Roman" w:hAnsi="Times New Roman" w:cs="Times New Roman"/>
          <w:color w:val="auto"/>
          <w:sz w:val="24"/>
          <w:szCs w:val="24"/>
          <w:highlight w:val="none"/>
          <w:lang w:val="en-US" w:eastAsia="zh-CN"/>
        </w:rPr>
        <w:t xml:space="preserve"> t/a。本次扩建项目的COD排放量为</w:t>
      </w:r>
      <w:r>
        <w:rPr>
          <w:rFonts w:hint="default"/>
          <w:color w:val="auto"/>
          <w:szCs w:val="20"/>
          <w:lang w:val="en-US" w:eastAsia="zh-CN"/>
        </w:rPr>
        <w:t>0.</w:t>
      </w:r>
      <w:r>
        <w:rPr>
          <w:rFonts w:hint="eastAsia"/>
          <w:color w:val="auto"/>
          <w:szCs w:val="20"/>
          <w:lang w:val="en-US" w:eastAsia="zh-CN"/>
        </w:rPr>
        <w:t xml:space="preserve">1008 </w:t>
      </w:r>
      <w:r>
        <w:rPr>
          <w:rFonts w:hint="default" w:ascii="Times New Roman" w:hAnsi="Times New Roman" w:cs="Times New Roman"/>
          <w:color w:val="auto"/>
          <w:sz w:val="24"/>
          <w:szCs w:val="24"/>
          <w:highlight w:val="none"/>
          <w:lang w:val="en-US" w:eastAsia="zh-CN"/>
        </w:rPr>
        <w:t>t/a、氨氮排放量为0.</w:t>
      </w:r>
      <w:r>
        <w:rPr>
          <w:rFonts w:hint="eastAsia" w:cs="Times New Roman"/>
          <w:color w:val="auto"/>
          <w:sz w:val="24"/>
          <w:szCs w:val="24"/>
          <w:highlight w:val="none"/>
          <w:lang w:val="en-US" w:eastAsia="zh-CN"/>
        </w:rPr>
        <w:t>0021</w:t>
      </w:r>
      <w:r>
        <w:rPr>
          <w:rFonts w:hint="default" w:ascii="Times New Roman" w:hAnsi="Times New Roman" w:cs="Times New Roman"/>
          <w:color w:val="auto"/>
          <w:sz w:val="24"/>
          <w:szCs w:val="24"/>
          <w:highlight w:val="none"/>
          <w:lang w:val="en-US" w:eastAsia="zh-CN"/>
        </w:rPr>
        <w:t xml:space="preserve"> t/a、SO</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排放量为</w:t>
      </w:r>
      <w:r>
        <w:rPr>
          <w:rFonts w:hint="eastAsia" w:cs="Times New Roman"/>
          <w:color w:val="auto"/>
          <w:sz w:val="24"/>
          <w:szCs w:val="24"/>
          <w:highlight w:val="none"/>
          <w:lang w:val="en-US" w:eastAsia="zh-CN"/>
        </w:rPr>
        <w:t>0.9631</w:t>
      </w:r>
      <w:r>
        <w:rPr>
          <w:rFonts w:hint="default" w:ascii="Times New Roman" w:hAnsi="Times New Roman" w:cs="Times New Roman"/>
          <w:color w:val="auto"/>
          <w:sz w:val="24"/>
          <w:szCs w:val="24"/>
          <w:highlight w:val="none"/>
          <w:lang w:val="en-US" w:eastAsia="zh-CN"/>
        </w:rPr>
        <w:t xml:space="preserve"> t/a、NO</w:t>
      </w:r>
      <w:r>
        <w:rPr>
          <w:rFonts w:hint="default" w:ascii="Times New Roman" w:hAnsi="Times New Roman" w:cs="Times New Roman"/>
          <w:i/>
          <w:iCs/>
          <w:color w:val="auto"/>
          <w:sz w:val="24"/>
          <w:szCs w:val="24"/>
          <w:highlight w:val="none"/>
          <w:vertAlign w:val="subscript"/>
          <w:lang w:val="en-US" w:eastAsia="zh-CN"/>
        </w:rPr>
        <w:t>X</w:t>
      </w:r>
      <w:r>
        <w:rPr>
          <w:rFonts w:hint="default" w:ascii="Times New Roman" w:hAnsi="Times New Roman" w:cs="Times New Roman"/>
          <w:color w:val="auto"/>
          <w:sz w:val="24"/>
          <w:szCs w:val="24"/>
          <w:highlight w:val="none"/>
          <w:lang w:val="en-US" w:eastAsia="zh-CN"/>
        </w:rPr>
        <w:t>排放量为</w:t>
      </w:r>
      <w:r>
        <w:rPr>
          <w:rFonts w:hint="eastAsia" w:cs="Times New Roman"/>
          <w:color w:val="auto"/>
          <w:sz w:val="24"/>
          <w:szCs w:val="24"/>
          <w:highlight w:val="none"/>
          <w:lang w:val="en-US" w:eastAsia="zh-CN"/>
        </w:rPr>
        <w:t>3.3563</w:t>
      </w:r>
      <w:r>
        <w:rPr>
          <w:rFonts w:hint="default" w:ascii="Times New Roman" w:hAnsi="Times New Roman" w:cs="Times New Roman"/>
          <w:color w:val="auto"/>
          <w:sz w:val="24"/>
          <w:szCs w:val="24"/>
          <w:highlight w:val="none"/>
          <w:lang w:val="en-US" w:eastAsia="zh-CN"/>
        </w:rPr>
        <w:t xml:space="preserve"> t/a，非甲烷总烃排放量为</w:t>
      </w:r>
      <w:r>
        <w:rPr>
          <w:rFonts w:hint="eastAsia" w:cs="Times New Roman"/>
          <w:color w:val="auto"/>
          <w:sz w:val="24"/>
          <w:szCs w:val="24"/>
          <w:highlight w:val="none"/>
          <w:lang w:val="en-US" w:eastAsia="zh-CN"/>
        </w:rPr>
        <w:t>8.0955</w:t>
      </w:r>
      <w:r>
        <w:rPr>
          <w:rFonts w:hint="default" w:ascii="Times New Roman" w:hAnsi="Times New Roman" w:cs="Times New Roman"/>
          <w:color w:val="auto"/>
          <w:sz w:val="24"/>
          <w:szCs w:val="24"/>
          <w:highlight w:val="none"/>
          <w:lang w:val="en-US" w:eastAsia="zh-CN"/>
        </w:rPr>
        <w:t xml:space="preserve"> t/a</w:t>
      </w:r>
      <w:r>
        <w:rPr>
          <w:rFonts w:hint="default" w:ascii="Times New Roman" w:hAnsi="Times New Roman" w:cs="Times New Roman"/>
          <w:color w:val="auto"/>
          <w:highlight w:val="none"/>
          <w:lang w:val="en-US" w:eastAsia="zh-CN"/>
        </w:rPr>
        <w:t>。</w:t>
      </w:r>
      <w:r>
        <w:rPr>
          <w:rFonts w:hint="default" w:ascii="Times New Roman" w:hAnsi="Times New Roman" w:cs="Times New Roman"/>
          <w:b w:val="0"/>
          <w:bCs w:val="0"/>
          <w:color w:val="auto"/>
          <w:highlight w:val="none"/>
          <w:lang w:val="en-US" w:eastAsia="zh-CN"/>
        </w:rPr>
        <w:t>扩建后全厂</w:t>
      </w:r>
      <w:r>
        <w:rPr>
          <w:rFonts w:hint="default" w:ascii="Times New Roman" w:hAnsi="Times New Roman" w:cs="Times New Roman"/>
          <w:color w:val="auto"/>
          <w:highlight w:val="none"/>
          <w:lang w:val="en-US" w:eastAsia="zh-CN"/>
        </w:rPr>
        <w:t>的</w:t>
      </w:r>
      <w:r>
        <w:rPr>
          <w:rFonts w:hint="default" w:ascii="Times New Roman" w:hAnsi="Times New Roman" w:cs="Times New Roman"/>
          <w:color w:val="auto"/>
          <w:sz w:val="24"/>
          <w:szCs w:val="24"/>
          <w:highlight w:val="none"/>
          <w:lang w:val="en-US" w:eastAsia="zh-CN"/>
        </w:rPr>
        <w:t>COD排放量为</w:t>
      </w:r>
      <w:r>
        <w:rPr>
          <w:rFonts w:hint="default"/>
          <w:color w:val="auto"/>
          <w:szCs w:val="20"/>
          <w:lang w:val="en-US" w:eastAsia="zh-CN"/>
        </w:rPr>
        <w:t>0.</w:t>
      </w:r>
      <w:r>
        <w:rPr>
          <w:rFonts w:hint="eastAsia"/>
          <w:color w:val="auto"/>
          <w:szCs w:val="20"/>
          <w:lang w:val="en-US" w:eastAsia="zh-CN"/>
        </w:rPr>
        <w:t>2918</w:t>
      </w:r>
      <w:r>
        <w:rPr>
          <w:rFonts w:hint="default" w:ascii="Times New Roman" w:hAnsi="Times New Roman" w:cs="Times New Roman"/>
          <w:color w:val="auto"/>
          <w:sz w:val="24"/>
          <w:szCs w:val="24"/>
          <w:highlight w:val="none"/>
          <w:lang w:val="en-US" w:eastAsia="zh-CN"/>
        </w:rPr>
        <w:t xml:space="preserve"> t/a、氨氮排放量为0.00</w:t>
      </w:r>
      <w:r>
        <w:rPr>
          <w:rFonts w:hint="eastAsia" w:cs="Times New Roman"/>
          <w:color w:val="auto"/>
          <w:sz w:val="24"/>
          <w:szCs w:val="24"/>
          <w:highlight w:val="none"/>
          <w:lang w:val="en-US" w:eastAsia="zh-CN"/>
        </w:rPr>
        <w:t>32</w:t>
      </w:r>
      <w:r>
        <w:rPr>
          <w:rFonts w:hint="default" w:ascii="Times New Roman" w:hAnsi="Times New Roman" w:cs="Times New Roman"/>
          <w:color w:val="auto"/>
          <w:sz w:val="24"/>
          <w:szCs w:val="24"/>
          <w:highlight w:val="none"/>
          <w:lang w:val="en-US" w:eastAsia="zh-CN"/>
        </w:rPr>
        <w:t xml:space="preserve"> t/a、SO</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排放量为1.</w:t>
      </w:r>
      <w:r>
        <w:rPr>
          <w:rFonts w:hint="eastAsia" w:cs="Times New Roman"/>
          <w:color w:val="auto"/>
          <w:sz w:val="24"/>
          <w:szCs w:val="24"/>
          <w:highlight w:val="none"/>
          <w:lang w:val="en-US" w:eastAsia="zh-CN"/>
        </w:rPr>
        <w:t>5023</w:t>
      </w:r>
      <w:r>
        <w:rPr>
          <w:rFonts w:hint="default" w:ascii="Times New Roman" w:hAnsi="Times New Roman" w:cs="Times New Roman"/>
          <w:color w:val="auto"/>
          <w:sz w:val="24"/>
          <w:szCs w:val="24"/>
          <w:highlight w:val="none"/>
          <w:lang w:val="en-US" w:eastAsia="zh-CN"/>
        </w:rPr>
        <w:t xml:space="preserve"> t/a、NO</w:t>
      </w:r>
      <w:r>
        <w:rPr>
          <w:rFonts w:hint="default" w:ascii="Times New Roman" w:hAnsi="Times New Roman" w:cs="Times New Roman"/>
          <w:i/>
          <w:iCs/>
          <w:color w:val="auto"/>
          <w:sz w:val="24"/>
          <w:szCs w:val="24"/>
          <w:highlight w:val="none"/>
          <w:vertAlign w:val="subscript"/>
          <w:lang w:val="en-US" w:eastAsia="zh-CN"/>
        </w:rPr>
        <w:t>X</w:t>
      </w:r>
      <w:r>
        <w:rPr>
          <w:rFonts w:hint="default" w:ascii="Times New Roman" w:hAnsi="Times New Roman" w:cs="Times New Roman"/>
          <w:color w:val="auto"/>
          <w:sz w:val="24"/>
          <w:szCs w:val="24"/>
          <w:highlight w:val="none"/>
          <w:lang w:val="en-US" w:eastAsia="zh-CN"/>
        </w:rPr>
        <w:t>排放量为</w:t>
      </w:r>
      <w:r>
        <w:rPr>
          <w:rFonts w:hint="eastAsia" w:cs="Times New Roman"/>
          <w:color w:val="auto"/>
          <w:sz w:val="24"/>
          <w:szCs w:val="24"/>
          <w:highlight w:val="none"/>
          <w:lang w:val="en-US" w:eastAsia="zh-CN"/>
        </w:rPr>
        <w:t>9.0037</w:t>
      </w:r>
      <w:r>
        <w:rPr>
          <w:rFonts w:hint="default" w:ascii="Times New Roman" w:hAnsi="Times New Roman" w:cs="Times New Roman"/>
          <w:color w:val="auto"/>
          <w:sz w:val="24"/>
          <w:szCs w:val="24"/>
          <w:highlight w:val="none"/>
          <w:lang w:val="en-US" w:eastAsia="zh-CN"/>
        </w:rPr>
        <w:t xml:space="preserve"> t/a，非甲烷总烃排放量为</w:t>
      </w:r>
      <w:r>
        <w:rPr>
          <w:rFonts w:hint="eastAsia" w:cs="Times New Roman"/>
          <w:color w:val="auto"/>
          <w:sz w:val="24"/>
          <w:szCs w:val="24"/>
          <w:highlight w:val="none"/>
          <w:lang w:val="en-US" w:eastAsia="zh-CN"/>
        </w:rPr>
        <w:t>11.3027</w:t>
      </w:r>
      <w:r>
        <w:rPr>
          <w:rFonts w:hint="default" w:ascii="Times New Roman" w:hAnsi="Times New Roman" w:cs="Times New Roman"/>
          <w:color w:val="auto"/>
          <w:sz w:val="24"/>
          <w:szCs w:val="24"/>
          <w:highlight w:val="none"/>
          <w:lang w:val="en-US" w:eastAsia="zh-CN"/>
        </w:rPr>
        <w:t xml:space="preserve"> t/a</w:t>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本项目现有工程已通过海峡股权交易取得的总量（</w:t>
      </w:r>
      <w:r>
        <w:rPr>
          <w:rFonts w:hint="eastAsia" w:cs="Times New Roman"/>
          <w:color w:val="auto"/>
          <w:highlight w:val="none"/>
          <w:lang w:val="en-US" w:eastAsia="zh-CN"/>
        </w:rPr>
        <w:t>不</w:t>
      </w:r>
      <w:r>
        <w:rPr>
          <w:rFonts w:hint="default" w:ascii="Times New Roman" w:hAnsi="Times New Roman" w:cs="Times New Roman"/>
          <w:color w:val="auto"/>
          <w:highlight w:val="none"/>
          <w:lang w:val="en-US" w:eastAsia="zh-CN"/>
        </w:rPr>
        <w:t>含倍量调剂）为：化学需氧量0.</w:t>
      </w:r>
      <w:r>
        <w:rPr>
          <w:rFonts w:hint="eastAsia" w:cs="Times New Roman"/>
          <w:color w:val="auto"/>
          <w:highlight w:val="none"/>
          <w:lang w:val="en-US" w:eastAsia="zh-CN"/>
        </w:rPr>
        <w:t>6044</w:t>
      </w:r>
      <w:r>
        <w:rPr>
          <w:rFonts w:hint="default" w:ascii="Times New Roman" w:hAnsi="Times New Roman" w:cs="Times New Roman"/>
          <w:color w:val="auto"/>
          <w:highlight w:val="none"/>
          <w:lang w:val="en-US" w:eastAsia="zh-CN"/>
        </w:rPr>
        <w:t>吨/年、氨氮</w:t>
      </w:r>
      <w:r>
        <w:rPr>
          <w:rFonts w:hint="eastAsia" w:cs="Times New Roman"/>
          <w:color w:val="auto"/>
          <w:highlight w:val="none"/>
          <w:lang w:val="en-US" w:eastAsia="zh-CN"/>
        </w:rPr>
        <w:t>0.0806</w:t>
      </w:r>
      <w:r>
        <w:rPr>
          <w:rFonts w:hint="default" w:ascii="Times New Roman" w:hAnsi="Times New Roman" w:cs="Times New Roman"/>
          <w:color w:val="auto"/>
          <w:highlight w:val="none"/>
          <w:lang w:val="en-US" w:eastAsia="zh-CN"/>
        </w:rPr>
        <w:t>吨/年、二氧化硫</w:t>
      </w:r>
      <w:r>
        <w:rPr>
          <w:rFonts w:hint="eastAsia" w:cs="Times New Roman"/>
          <w:color w:val="auto"/>
          <w:highlight w:val="none"/>
          <w:lang w:val="en-US" w:eastAsia="zh-CN"/>
        </w:rPr>
        <w:t>2.7250</w:t>
      </w:r>
      <w:r>
        <w:rPr>
          <w:rFonts w:hint="default" w:ascii="Times New Roman" w:hAnsi="Times New Roman" w:cs="Times New Roman"/>
          <w:color w:val="auto"/>
          <w:highlight w:val="none"/>
          <w:lang w:val="en-US" w:eastAsia="zh-CN"/>
        </w:rPr>
        <w:t>吨/年、氮氧化物</w:t>
      </w:r>
      <w:r>
        <w:rPr>
          <w:rFonts w:hint="eastAsia" w:cs="Times New Roman"/>
          <w:color w:val="auto"/>
          <w:highlight w:val="none"/>
          <w:lang w:val="en-US" w:eastAsia="zh-CN"/>
        </w:rPr>
        <w:t>11.9744</w:t>
      </w:r>
      <w:r>
        <w:rPr>
          <w:rFonts w:hint="default" w:ascii="Times New Roman" w:hAnsi="Times New Roman" w:cs="Times New Roman"/>
          <w:color w:val="auto"/>
          <w:highlight w:val="none"/>
          <w:lang w:val="en-US" w:eastAsia="zh-CN"/>
        </w:rPr>
        <w:t>吨/年（含正在购买的1.</w:t>
      </w:r>
      <w:r>
        <w:rPr>
          <w:rFonts w:hint="eastAsia" w:cs="Times New Roman"/>
          <w:color w:val="auto"/>
          <w:highlight w:val="none"/>
          <w:lang w:val="en-US" w:eastAsia="zh-CN"/>
        </w:rPr>
        <w:t>0734</w:t>
      </w:r>
      <w:r>
        <w:rPr>
          <w:rFonts w:hint="default" w:ascii="Times New Roman" w:hAnsi="Times New Roman" w:cs="Times New Roman"/>
          <w:color w:val="auto"/>
          <w:highlight w:val="none"/>
          <w:lang w:val="en-US" w:eastAsia="zh-CN"/>
        </w:rPr>
        <w:t xml:space="preserve"> t/a）。已购买的控制指标可满足扩建后全厂排放要求，</w:t>
      </w:r>
      <w:r>
        <w:rPr>
          <w:rFonts w:hint="default" w:ascii="Times New Roman" w:hAnsi="Times New Roman" w:cs="Times New Roman"/>
          <w:color w:val="auto"/>
          <w:sz w:val="24"/>
          <w:szCs w:val="24"/>
          <w:highlight w:val="none"/>
          <w:lang w:val="en-US" w:eastAsia="zh-CN"/>
        </w:rPr>
        <w:t>非甲烷总烃应通过宁德市霞浦生态环境局进行总量调剂。</w:t>
      </w:r>
    </w:p>
    <w:p>
      <w:pPr>
        <w:pStyle w:val="3"/>
        <w:numPr>
          <w:ilvl w:val="1"/>
          <w:numId w:val="12"/>
        </w:numPr>
        <w:bidi w:val="0"/>
        <w:rPr>
          <w:rFonts w:hint="default" w:ascii="Times New Roman" w:hAnsi="Times New Roman" w:cs="Times New Roman"/>
          <w:color w:val="auto"/>
          <w:highlight w:val="none"/>
          <w:lang w:val="en-US" w:eastAsia="zh-CN"/>
        </w:rPr>
      </w:pPr>
      <w:bookmarkStart w:id="717" w:name="_Toc20433"/>
      <w:bookmarkStart w:id="718" w:name="_Toc8591"/>
      <w:bookmarkStart w:id="719" w:name="_Toc29884"/>
      <w:bookmarkStart w:id="720" w:name="_Toc26262"/>
      <w:r>
        <w:rPr>
          <w:rFonts w:hint="default" w:ascii="Times New Roman" w:hAnsi="Times New Roman" w:cs="Times New Roman"/>
          <w:color w:val="auto"/>
          <w:highlight w:val="none"/>
          <w:lang w:val="en-US" w:eastAsia="zh-CN"/>
        </w:rPr>
        <w:t>公众参与调查分析结论</w:t>
      </w:r>
      <w:bookmarkEnd w:id="717"/>
      <w:bookmarkEnd w:id="718"/>
      <w:bookmarkEnd w:id="719"/>
      <w:bookmarkEnd w:id="720"/>
    </w:p>
    <w:p>
      <w:pPr>
        <w:rPr>
          <w:rFonts w:hint="default"/>
          <w:color w:val="auto"/>
          <w:lang w:val="en-US" w:eastAsia="zh-CN"/>
        </w:rPr>
      </w:pPr>
      <w:r>
        <w:rPr>
          <w:rFonts w:hint="default"/>
          <w:color w:val="auto"/>
          <w:lang w:val="en-US" w:eastAsia="zh-CN"/>
        </w:rPr>
        <w:t>（1）与《环境影响评价公众参与办法》（部令 第4号）的符合性分析</w:t>
      </w:r>
    </w:p>
    <w:p>
      <w:pP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根据《</w:t>
      </w:r>
      <w:r>
        <w:rPr>
          <w:rFonts w:hint="default" w:ascii="Times New Roman" w:hAnsi="Times New Roman" w:cs="Times New Roman"/>
          <w:color w:val="auto"/>
          <w:highlight w:val="none"/>
          <w:lang w:val="en-US" w:eastAsia="zh-CN"/>
        </w:rPr>
        <w:t>福建闽宏纤维有限公司年产5万吨PET再生纤维生产线项目环境影响评价公众参与说明</w:t>
      </w:r>
      <w:r>
        <w:rPr>
          <w:rFonts w:hint="eastAsia" w:cs="Times New Roman"/>
          <w:color w:val="auto"/>
          <w:highlight w:val="none"/>
          <w:lang w:val="en-US" w:eastAsia="zh-CN"/>
        </w:rPr>
        <w:t>》，建设单位按照生态环境部颁发的第4号令《环境影响评价公众参与办法》规定，在确定环境影响报告书编制单位后7个工作日内，</w:t>
      </w:r>
      <w:r>
        <w:rPr>
          <w:rFonts w:hint="default" w:ascii="Times New Roman" w:hAnsi="Times New Roman" w:cs="Times New Roman"/>
          <w:color w:val="auto"/>
          <w:highlight w:val="none"/>
          <w:lang w:val="en-US" w:eastAsia="zh-CN"/>
        </w:rPr>
        <w:t>于2020年1</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月</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日通过</w:t>
      </w:r>
      <w:r>
        <w:rPr>
          <w:rFonts w:hint="eastAsia" w:cs="Times New Roman"/>
          <w:color w:val="auto"/>
          <w:highlight w:val="none"/>
          <w:lang w:val="en-US" w:eastAsia="zh-CN"/>
        </w:rPr>
        <w:t>福建环保网</w:t>
      </w:r>
      <w:r>
        <w:rPr>
          <w:rFonts w:hint="default" w:ascii="Times New Roman" w:hAnsi="Times New Roman" w:cs="Times New Roman"/>
          <w:color w:val="auto"/>
          <w:highlight w:val="none"/>
          <w:lang w:val="en-US" w:eastAsia="zh-CN"/>
        </w:rPr>
        <w:t>，进行第一次环境影响评价信息公开，公示期间未收到公众意见。（公示网址：</w:t>
      </w:r>
      <w:r>
        <w:rPr>
          <w:rFonts w:hint="default"/>
          <w:color w:val="auto"/>
          <w:lang w:val="en-US" w:eastAsia="zh-CN"/>
        </w:rPr>
        <w:t>https://www.fjhb.org/huanping/yici/8759.html</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本项目在完成征求稿后，建设单位于2021年9月15日通过福建环保网进行环境影响报告书征求意见稿公示（公示网址：</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"https://www.fjhb.org/huanping/erci/7227.html），并且在评价区域周边涉及的村庄村委公共栏上进行了公告张贴，公示期为10个工作日，公示期间同步在东南快报进行登报公示，公示两次，公示期间未收到公众意见。" </w:instrText>
      </w:r>
      <w:r>
        <w:rPr>
          <w:rFonts w:hint="default" w:ascii="Times New Roman" w:hAnsi="Times New Roman" w:cs="Times New Roman"/>
          <w:color w:val="auto"/>
          <w:highlight w:val="none"/>
          <w:lang w:val="en-US" w:eastAsia="zh-CN"/>
        </w:rPr>
        <w:fldChar w:fldCharType="separate"/>
      </w:r>
      <w:r>
        <w:rPr>
          <w:rFonts w:hint="default"/>
          <w:color w:val="auto"/>
          <w:lang w:val="en-US" w:eastAsia="zh-CN"/>
        </w:rPr>
        <w:t>https://www.fjhb.org/huanping/erci/7227.html），并且在评价区域周边涉及的村庄村委公共栏上进行了公告张贴，公示期为10个工作日，公示期间同步在东南快报进行登报公示，公示两次，公示期间未收到公众意见。</w:t>
      </w:r>
      <w:r>
        <w:rPr>
          <w:rFonts w:hint="default" w:ascii="Times New Roman" w:hAnsi="Times New Roman" w:cs="Times New Roman"/>
          <w:color w:val="auto"/>
          <w:highlight w:val="none"/>
          <w:lang w:val="en-US" w:eastAsia="zh-CN"/>
        </w:rPr>
        <w:fldChar w:fldCharType="end"/>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因此，建设单位通过网上信息公示、张贴公告、报纸开展环境影响评价公众参与，符合《环境影响评价公众参与办法》的规定与要求。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（2）与《企业事业单位环境信息公开办法》（部令 第31号）的符合性分析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企业在运行过程中需要接受公众对企业污染控制的监督，主要措施如下：</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①企业应欢迎周边居民在有组织的情况下对本项目进行实地调查，自觉接受公众的监督。</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②企业应定期主动了解和听取周边居民对企业环境保护执行情况的意见和要求，发现问题及时整改。</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③企业要重视周围群众的投诉和来访，要视群众投诉和来访为对自己工作的督促；其次，要耐心向群众解释，对合理的投诉应积极予以解决；要与周围居民及时沟通，形成厂群</w:t>
      </w:r>
      <w:r>
        <w:rPr>
          <w:rFonts w:hint="eastAsia" w:cs="Times New Roman"/>
          <w:color w:val="auto"/>
          <w:highlight w:val="none"/>
          <w:lang w:val="en-US" w:eastAsia="zh-CN"/>
        </w:rPr>
        <w:t>之间</w:t>
      </w:r>
      <w:r>
        <w:rPr>
          <w:rFonts w:hint="default" w:ascii="Times New Roman" w:hAnsi="Times New Roman" w:cs="Times New Roman"/>
          <w:color w:val="auto"/>
          <w:highlight w:val="none"/>
          <w:lang w:val="en-US" w:eastAsia="zh-CN"/>
        </w:rPr>
        <w:t>的良好关系。更重要的，还是企业应加强管理，确保项目污染治理设施的正常运行和污染物稳定达标排放。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在采取以上环境信息公开措施，本项目符合《企业事业单位环境信息公开办法》的规定与要求。</w:t>
      </w:r>
    </w:p>
    <w:p>
      <w:pPr>
        <w:pStyle w:val="3"/>
        <w:numPr>
          <w:ilvl w:val="1"/>
          <w:numId w:val="12"/>
        </w:numPr>
        <w:bidi w:val="0"/>
        <w:rPr>
          <w:rFonts w:hint="default" w:ascii="Times New Roman" w:hAnsi="Times New Roman" w:cs="Times New Roman"/>
          <w:color w:val="auto"/>
          <w:highlight w:val="none"/>
          <w:lang w:val="en-US" w:eastAsia="zh-CN"/>
        </w:rPr>
      </w:pPr>
      <w:bookmarkStart w:id="721" w:name="_Toc27910"/>
      <w:bookmarkStart w:id="722" w:name="_Toc10350"/>
      <w:bookmarkStart w:id="723" w:name="_Toc18091"/>
      <w:bookmarkStart w:id="724" w:name="_Toc3499"/>
      <w:r>
        <w:rPr>
          <w:rFonts w:hint="default" w:ascii="Times New Roman" w:hAnsi="Times New Roman" w:cs="Times New Roman"/>
          <w:color w:val="auto"/>
          <w:highlight w:val="none"/>
          <w:lang w:val="en-US" w:eastAsia="zh-CN"/>
        </w:rPr>
        <w:t>环境影响经济损益分析</w:t>
      </w:r>
      <w:bookmarkEnd w:id="721"/>
      <w:bookmarkEnd w:id="722"/>
      <w:bookmarkEnd w:id="723"/>
      <w:bookmarkEnd w:id="724"/>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本项目的总投资1.5亿万元，其中环保投资为2</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0万元，占项目总投资的1.</w:t>
      </w:r>
      <w:r>
        <w:rPr>
          <w:rFonts w:hint="eastAsia" w:cs="Times New Roman"/>
          <w:color w:val="auto"/>
          <w:highlight w:val="none"/>
          <w:lang w:val="en-US" w:eastAsia="zh-CN"/>
        </w:rPr>
        <w:t>87</w:t>
      </w:r>
      <w:r>
        <w:rPr>
          <w:rFonts w:hint="default" w:ascii="Times New Roman" w:hAnsi="Times New Roman" w:cs="Times New Roman"/>
          <w:color w:val="auto"/>
          <w:highlight w:val="none"/>
          <w:lang w:val="en-US" w:eastAsia="zh-CN"/>
        </w:rPr>
        <w:t>%。项目的经济效益较好，可为企业带来较多的利润，为国家上缴一定的税收，偿债能力较强，投资回收期合理，有一定的抗风险能力，项目经济效益良好。</w:t>
      </w:r>
    </w:p>
    <w:p>
      <w:pPr>
        <w:pStyle w:val="3"/>
        <w:numPr>
          <w:ilvl w:val="1"/>
          <w:numId w:val="12"/>
        </w:numPr>
        <w:bidi w:val="0"/>
        <w:rPr>
          <w:rFonts w:hint="default" w:ascii="Times New Roman" w:hAnsi="Times New Roman" w:cs="Times New Roman"/>
          <w:color w:val="auto"/>
          <w:highlight w:val="none"/>
          <w:lang w:val="en-US" w:eastAsia="zh-CN"/>
        </w:rPr>
      </w:pPr>
      <w:bookmarkStart w:id="725" w:name="_Toc13294"/>
      <w:bookmarkStart w:id="726" w:name="_Toc14227"/>
      <w:bookmarkStart w:id="727" w:name="_Toc2164"/>
      <w:bookmarkStart w:id="728" w:name="_Toc10907"/>
      <w:r>
        <w:rPr>
          <w:rFonts w:hint="default" w:ascii="Times New Roman" w:hAnsi="Times New Roman" w:cs="Times New Roman"/>
          <w:color w:val="auto"/>
          <w:highlight w:val="none"/>
          <w:lang w:val="en-US" w:eastAsia="zh-CN"/>
        </w:rPr>
        <w:t>环境管理与监测计划</w:t>
      </w:r>
      <w:bookmarkEnd w:id="725"/>
      <w:bookmarkEnd w:id="726"/>
      <w:bookmarkEnd w:id="727"/>
      <w:bookmarkEnd w:id="728"/>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本次扩建后，运营期污染物监测计划详见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_Ref12070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表9.8-1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_Ref12083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表9.8-2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4"/>
        <w:numPr>
          <w:ilvl w:val="6"/>
          <w:numId w:val="13"/>
        </w:numPr>
        <w:tabs>
          <w:tab w:val="left" w:pos="420"/>
        </w:tabs>
        <w:bidi w:val="0"/>
        <w:rPr>
          <w:rFonts w:hint="default" w:ascii="Times New Roman" w:hAnsi="Times New Roman" w:cs="Times New Roman"/>
          <w:color w:val="auto"/>
          <w:highlight w:val="none"/>
          <w:lang w:val="en-US" w:eastAsia="zh-CN"/>
        </w:rPr>
      </w:pPr>
      <w:bookmarkStart w:id="729" w:name="_Ref12070"/>
      <w:r>
        <w:rPr>
          <w:rFonts w:hint="default" w:ascii="Times New Roman" w:hAnsi="Times New Roman" w:cs="Times New Roman"/>
          <w:color w:val="auto"/>
          <w:highlight w:val="none"/>
        </w:rPr>
        <w:t>污染源监测计划一览表</w:t>
      </w:r>
      <w:bookmarkEnd w:id="729"/>
    </w:p>
    <w:tbl>
      <w:tblPr>
        <w:tblStyle w:val="17"/>
        <w:tblW w:w="91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110"/>
        <w:gridCol w:w="2839"/>
        <w:gridCol w:w="2937"/>
        <w:gridCol w:w="13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w:t>
            </w:r>
          </w:p>
          <w:p>
            <w:pPr>
              <w:pStyle w:val="21"/>
              <w:bidi w:val="0"/>
              <w:rPr>
                <w:rFonts w:hint="default"/>
                <w:color w:val="auto"/>
                <w:highlight w:val="none"/>
              </w:rPr>
            </w:pPr>
            <w:r>
              <w:rPr>
                <w:rFonts w:hint="default"/>
                <w:color w:val="auto"/>
                <w:highlight w:val="none"/>
              </w:rPr>
              <w:t>对象</w:t>
            </w:r>
          </w:p>
        </w:tc>
        <w:tc>
          <w:tcPr>
            <w:tcW w:w="3949" w:type="dxa"/>
            <w:gridSpan w:val="2"/>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监测点</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监测因子</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restart"/>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废水</w:t>
            </w:r>
          </w:p>
        </w:tc>
        <w:tc>
          <w:tcPr>
            <w:tcW w:w="3949" w:type="dxa"/>
            <w:gridSpan w:val="2"/>
            <w:vMerge w:val="restart"/>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生产废水排放口</w:t>
            </w:r>
          </w:p>
        </w:tc>
        <w:tc>
          <w:tcPr>
            <w:tcW w:w="2937"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olor w:val="auto"/>
                <w:highlight w:val="none"/>
                <w:lang w:val="en-US" w:eastAsia="zh-CN"/>
              </w:rPr>
              <w:t>流量、化学需氧量、氨氮</w:t>
            </w:r>
          </w:p>
        </w:tc>
        <w:tc>
          <w:tcPr>
            <w:tcW w:w="1345"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eastAsia="zh-CN"/>
              </w:rPr>
            </w:pPr>
            <w:r>
              <w:rPr>
                <w:rFonts w:hint="eastAsia"/>
                <w:color w:val="auto"/>
                <w:highlight w:val="none"/>
                <w:lang w:val="en-US" w:eastAsia="zh-CN"/>
              </w:rPr>
              <w:t>自动监测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3949" w:type="dxa"/>
            <w:gridSpan w:val="2"/>
            <w:vMerge w:val="continue"/>
            <w:tcBorders>
              <w:tl2br w:val="nil"/>
              <w:tr2bl w:val="nil"/>
            </w:tcBorders>
            <w:tcMar>
              <w:left w:w="28" w:type="dxa"/>
              <w:right w:w="28" w:type="dxa"/>
            </w:tcMar>
            <w:vAlign w:val="center"/>
          </w:tcPr>
          <w:p>
            <w:pPr>
              <w:pStyle w:val="21"/>
              <w:bidi w:val="0"/>
              <w:rPr>
                <w:rFonts w:hint="eastAsia"/>
                <w:color w:val="auto"/>
                <w:highlight w:val="none"/>
                <w:lang w:val="en-US" w:eastAsia="zh-CN"/>
              </w:rPr>
            </w:pPr>
          </w:p>
        </w:tc>
        <w:tc>
          <w:tcPr>
            <w:tcW w:w="2937"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lang w:val="en-US"/>
              </w:rPr>
            </w:pPr>
            <w:r>
              <w:rPr>
                <w:rFonts w:hint="default"/>
                <w:color w:val="auto"/>
                <w:highlight w:val="none"/>
              </w:rPr>
              <w:t>pH、</w:t>
            </w:r>
            <w:r>
              <w:rPr>
                <w:rFonts w:hint="eastAsia"/>
                <w:color w:val="auto"/>
                <w:highlight w:val="none"/>
                <w:lang w:val="en-US" w:eastAsia="zh-CN"/>
              </w:rPr>
              <w:t>总磷、总氮、</w:t>
            </w:r>
            <w:r>
              <w:rPr>
                <w:rFonts w:hint="default"/>
                <w:color w:val="auto"/>
                <w:highlight w:val="none"/>
                <w:lang w:val="en-US" w:eastAsia="zh-CN"/>
              </w:rPr>
              <w:t>BOD</w:t>
            </w:r>
            <w:r>
              <w:rPr>
                <w:rFonts w:hint="eastAsia"/>
                <w:color w:val="auto"/>
                <w:highlight w:val="none"/>
                <w:vertAlign w:val="subscript"/>
                <w:lang w:val="en-US" w:eastAsia="zh-CN"/>
              </w:rPr>
              <w:t>5</w:t>
            </w:r>
            <w:r>
              <w:rPr>
                <w:rFonts w:hint="default"/>
                <w:color w:val="auto"/>
                <w:highlight w:val="none"/>
              </w:rPr>
              <w:t>、SS、</w:t>
            </w:r>
            <w:r>
              <w:rPr>
                <w:rFonts w:hint="eastAsia"/>
                <w:color w:val="auto"/>
                <w:highlight w:val="none"/>
                <w:lang w:val="en-US" w:eastAsia="zh-CN"/>
              </w:rPr>
              <w:t>石油类</w:t>
            </w:r>
          </w:p>
        </w:tc>
        <w:tc>
          <w:tcPr>
            <w:tcW w:w="1345" w:type="dxa"/>
            <w:tcBorders>
              <w:tl2br w:val="nil"/>
              <w:tr2bl w:val="nil"/>
            </w:tcBorders>
            <w:tcMar>
              <w:left w:w="28" w:type="dxa"/>
              <w:right w:w="28" w:type="dxa"/>
            </w:tcMar>
            <w:vAlign w:val="center"/>
          </w:tcPr>
          <w:p>
            <w:pPr>
              <w:pStyle w:val="21"/>
              <w:bidi w:val="0"/>
              <w:ind w:left="0" w:leftChars="0" w:firstLine="0" w:firstLineChars="0"/>
              <w:rPr>
                <w:rFonts w:hint="default" w:ascii="Times New Roman" w:hAnsi="Times New Roman" w:eastAsia="宋体" w:cs="Times New Roman"/>
                <w:color w:val="auto"/>
                <w:sz w:val="21"/>
                <w:highlight w:val="none"/>
              </w:rPr>
            </w:pPr>
            <w:r>
              <w:rPr>
                <w:rFonts w:hint="default"/>
                <w:color w:val="auto"/>
                <w:highlight w:val="none"/>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restart"/>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废气</w:t>
            </w:r>
          </w:p>
        </w:tc>
        <w:tc>
          <w:tcPr>
            <w:tcW w:w="1110"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lang w:eastAsia="zh-CN"/>
              </w:rPr>
              <w:t>生产车间</w:t>
            </w:r>
          </w:p>
        </w:tc>
        <w:tc>
          <w:tcPr>
            <w:tcW w:w="2839"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排气筒</w:t>
            </w:r>
            <w:r>
              <w:rPr>
                <w:rFonts w:hint="eastAsia"/>
                <w:color w:val="auto"/>
                <w:highlight w:val="none"/>
                <w:lang w:val="en-US" w:eastAsia="zh-CN"/>
              </w:rPr>
              <w:t>DA007</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eastAsia"/>
                <w:color w:val="auto"/>
                <w:highlight w:val="none"/>
                <w:lang w:val="en-US" w:eastAsia="zh-CN"/>
              </w:rPr>
              <w:t>颗粒物、</w:t>
            </w:r>
            <w:r>
              <w:rPr>
                <w:rFonts w:hint="default"/>
                <w:color w:val="auto"/>
                <w:highlight w:val="none"/>
              </w:rPr>
              <w:t>NMHC</w:t>
            </w:r>
          </w:p>
        </w:tc>
        <w:tc>
          <w:tcPr>
            <w:tcW w:w="1345" w:type="dxa"/>
            <w:tcBorders>
              <w:tl2br w:val="nil"/>
              <w:tr2bl w:val="nil"/>
            </w:tcBorders>
            <w:tcMar>
              <w:left w:w="28" w:type="dxa"/>
              <w:right w:w="28" w:type="dxa"/>
            </w:tcMar>
            <w:vAlign w:val="center"/>
          </w:tcPr>
          <w:p>
            <w:pPr>
              <w:pStyle w:val="21"/>
              <w:bidi w:val="0"/>
              <w:rPr>
                <w:rFonts w:hint="eastAsia" w:eastAsia="宋体"/>
                <w:color w:val="auto"/>
                <w:highlight w:val="none"/>
                <w:lang w:eastAsia="zh-CN"/>
              </w:rPr>
            </w:pPr>
            <w:r>
              <w:rPr>
                <w:rFonts w:hint="default"/>
                <w:color w:val="auto"/>
                <w:highlight w:val="none"/>
              </w:rPr>
              <w:t>1次/</w:t>
            </w:r>
            <w:r>
              <w:rPr>
                <w:rFonts w:hint="eastAsia"/>
                <w:color w:val="auto"/>
                <w:highlight w:val="none"/>
                <w:lang w:val="en-US"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restart"/>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lang w:eastAsia="zh-CN"/>
              </w:rPr>
              <w:t>生产车间</w:t>
            </w:r>
          </w:p>
        </w:tc>
        <w:tc>
          <w:tcPr>
            <w:tcW w:w="2839" w:type="dxa"/>
            <w:vMerge w:val="restart"/>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排气筒</w:t>
            </w:r>
            <w:r>
              <w:rPr>
                <w:rFonts w:hint="eastAsia"/>
                <w:color w:val="auto"/>
                <w:highlight w:val="none"/>
                <w:lang w:val="en-US" w:eastAsia="zh-CN"/>
              </w:rPr>
              <w:t>DA008</w:t>
            </w:r>
          </w:p>
        </w:tc>
        <w:tc>
          <w:tcPr>
            <w:tcW w:w="2937"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NMHC</w:t>
            </w:r>
          </w:p>
        </w:tc>
        <w:tc>
          <w:tcPr>
            <w:tcW w:w="1345" w:type="dxa"/>
            <w:tcBorders>
              <w:tl2br w:val="nil"/>
              <w:tr2bl w:val="nil"/>
            </w:tcBorders>
            <w:tcMar>
              <w:left w:w="28" w:type="dxa"/>
              <w:right w:w="28" w:type="dxa"/>
            </w:tcMar>
            <w:vAlign w:val="center"/>
          </w:tcPr>
          <w:p>
            <w:pPr>
              <w:pStyle w:val="21"/>
              <w:bidi w:val="0"/>
              <w:rPr>
                <w:rFonts w:hint="eastAsia" w:eastAsia="宋体"/>
                <w:color w:val="auto"/>
                <w:highlight w:val="none"/>
                <w:lang w:val="en-US" w:eastAsia="zh-CN"/>
              </w:rPr>
            </w:pPr>
            <w:r>
              <w:rPr>
                <w:rFonts w:hint="default"/>
                <w:color w:val="auto"/>
                <w:highlight w:val="none"/>
              </w:rPr>
              <w:t>1次/</w:t>
            </w:r>
            <w:r>
              <w:rPr>
                <w:rFonts w:hint="eastAsia"/>
                <w:color w:val="auto"/>
                <w:highlight w:val="none"/>
                <w:lang w:val="en-US"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lang w:eastAsia="zh-CN"/>
              </w:rPr>
            </w:pPr>
          </w:p>
        </w:tc>
        <w:tc>
          <w:tcPr>
            <w:tcW w:w="2839"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937" w:type="dxa"/>
            <w:tcBorders>
              <w:tl2br w:val="nil"/>
              <w:tr2bl w:val="nil"/>
            </w:tcBorders>
            <w:tcMar>
              <w:left w:w="28" w:type="dxa"/>
              <w:right w:w="28" w:type="dxa"/>
            </w:tcMar>
            <w:vAlign w:val="center"/>
          </w:tcPr>
          <w:p>
            <w:pPr>
              <w:pStyle w:val="21"/>
              <w:bidi w:val="0"/>
              <w:rPr>
                <w:rFonts w:hint="eastAsia" w:eastAsia="宋体"/>
                <w:color w:val="auto"/>
                <w:highlight w:val="none"/>
                <w:lang w:val="en-US" w:eastAsia="zh-CN"/>
              </w:rPr>
            </w:pPr>
            <w:r>
              <w:rPr>
                <w:rFonts w:hint="eastAsia"/>
                <w:color w:val="auto"/>
                <w:highlight w:val="none"/>
                <w:lang w:val="en-US" w:eastAsia="zh-CN"/>
              </w:rPr>
              <w:t>乙醛</w:t>
            </w:r>
          </w:p>
        </w:tc>
        <w:tc>
          <w:tcPr>
            <w:tcW w:w="1345"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restart"/>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lang w:eastAsia="zh-CN"/>
              </w:rPr>
              <w:t>锅炉房</w:t>
            </w:r>
          </w:p>
        </w:tc>
        <w:tc>
          <w:tcPr>
            <w:tcW w:w="2839" w:type="dxa"/>
            <w:vMerge w:val="restart"/>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排气筒</w:t>
            </w:r>
            <w:r>
              <w:rPr>
                <w:rFonts w:hint="eastAsia"/>
                <w:color w:val="auto"/>
                <w:highlight w:val="none"/>
                <w:lang w:val="en-US" w:eastAsia="zh-CN"/>
              </w:rPr>
              <w:t>DA009</w:t>
            </w:r>
          </w:p>
        </w:tc>
        <w:tc>
          <w:tcPr>
            <w:tcW w:w="2937"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NO</w:t>
            </w:r>
            <w:r>
              <w:rPr>
                <w:rFonts w:hint="eastAsia"/>
                <w:i/>
                <w:iCs/>
                <w:color w:val="auto"/>
                <w:highlight w:val="none"/>
                <w:vertAlign w:val="subscript"/>
                <w:lang w:val="en-US" w:eastAsia="zh-CN"/>
              </w:rPr>
              <w:t>X</w:t>
            </w:r>
            <w:r>
              <w:rPr>
                <w:rFonts w:hint="default"/>
                <w:color w:val="auto"/>
                <w:highlight w:val="none"/>
              </w:rPr>
              <w:t>、</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1次/</w:t>
            </w:r>
            <w:r>
              <w:rPr>
                <w:rFonts w:hint="default"/>
                <w:color w:val="auto"/>
                <w:highlight w:val="none"/>
                <w:lang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lang w:eastAsia="zh-CN"/>
              </w:rPr>
            </w:pPr>
          </w:p>
        </w:tc>
        <w:tc>
          <w:tcPr>
            <w:tcW w:w="2839"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937" w:type="dxa"/>
            <w:tcBorders>
              <w:tl2br w:val="nil"/>
              <w:tr2bl w:val="nil"/>
            </w:tcBorders>
            <w:tcMar>
              <w:left w:w="28" w:type="dxa"/>
              <w:right w:w="28" w:type="dxa"/>
            </w:tcMar>
            <w:vAlign w:val="center"/>
          </w:tcPr>
          <w:p>
            <w:pPr>
              <w:pStyle w:val="21"/>
              <w:bidi w:val="0"/>
              <w:rPr>
                <w:rFonts w:hint="eastAsia" w:eastAsia="宋体"/>
                <w:color w:val="auto"/>
                <w:highlight w:val="none"/>
                <w:lang w:eastAsia="zh-CN"/>
              </w:rPr>
            </w:pPr>
            <w:r>
              <w:rPr>
                <w:rFonts w:hint="default"/>
                <w:color w:val="auto"/>
                <w:highlight w:val="none"/>
              </w:rPr>
              <w:t>SO</w:t>
            </w:r>
            <w:r>
              <w:rPr>
                <w:rFonts w:hint="default"/>
                <w:color w:val="auto"/>
                <w:highlight w:val="none"/>
                <w:vertAlign w:val="subscript"/>
              </w:rPr>
              <w:t>2</w:t>
            </w:r>
            <w:r>
              <w:rPr>
                <w:rFonts w:hint="default"/>
                <w:color w:val="auto"/>
                <w:highlight w:val="none"/>
              </w:rPr>
              <w:t>、颗粒物</w:t>
            </w:r>
            <w:r>
              <w:rPr>
                <w:rFonts w:hint="eastAsia"/>
                <w:color w:val="auto"/>
                <w:highlight w:val="none"/>
                <w:lang w:eastAsia="zh-CN"/>
              </w:rPr>
              <w:t>、</w:t>
            </w:r>
            <w:r>
              <w:rPr>
                <w:rFonts w:hint="default" w:ascii="Times New Roman" w:hAnsi="Times New Roman" w:cs="Times New Roman"/>
                <w:color w:val="auto"/>
                <w:sz w:val="21"/>
                <w:szCs w:val="21"/>
                <w:lang w:bidi="ar"/>
              </w:rPr>
              <w:t>林格曼黑度</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w:t>
            </w:r>
            <w:r>
              <w:rPr>
                <w:rFonts w:hint="default"/>
                <w:color w:val="auto"/>
                <w:highlight w:val="none"/>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危废间废气</w:t>
            </w:r>
          </w:p>
        </w:tc>
        <w:tc>
          <w:tcPr>
            <w:tcW w:w="2839" w:type="dxa"/>
            <w:tcBorders>
              <w:tl2br w:val="nil"/>
              <w:tr2bl w:val="nil"/>
            </w:tcBorders>
            <w:tcMar>
              <w:left w:w="28" w:type="dxa"/>
              <w:right w:w="28" w:type="dxa"/>
            </w:tcMar>
            <w:vAlign w:val="center"/>
          </w:tcPr>
          <w:p>
            <w:pPr>
              <w:pStyle w:val="21"/>
              <w:bidi w:val="0"/>
              <w:rPr>
                <w:rFonts w:hint="default"/>
                <w:color w:val="auto"/>
                <w:highlight w:val="none"/>
                <w:lang w:val="en-US"/>
              </w:rPr>
            </w:pPr>
            <w:r>
              <w:rPr>
                <w:rFonts w:hint="default"/>
                <w:color w:val="auto"/>
                <w:highlight w:val="none"/>
              </w:rPr>
              <w:t>排气筒</w:t>
            </w:r>
            <w:r>
              <w:rPr>
                <w:rFonts w:hint="eastAsia"/>
                <w:color w:val="auto"/>
                <w:highlight w:val="none"/>
                <w:lang w:val="en-US" w:eastAsia="zh-CN"/>
              </w:rPr>
              <w:t>DA010</w:t>
            </w:r>
          </w:p>
        </w:tc>
        <w:tc>
          <w:tcPr>
            <w:tcW w:w="2937"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非甲烷总烃</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w:t>
            </w:r>
            <w:r>
              <w:rPr>
                <w:rFonts w:hint="default"/>
                <w:color w:val="auto"/>
                <w:highlight w:val="none"/>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restart"/>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无组织</w:t>
            </w:r>
          </w:p>
        </w:tc>
        <w:tc>
          <w:tcPr>
            <w:tcW w:w="2839" w:type="dxa"/>
            <w:vMerge w:val="restart"/>
            <w:tcBorders>
              <w:tl2br w:val="nil"/>
              <w:tr2bl w:val="nil"/>
            </w:tcBorders>
            <w:tcMar>
              <w:left w:w="28" w:type="dxa"/>
              <w:right w:w="28" w:type="dxa"/>
            </w:tcMar>
            <w:vAlign w:val="center"/>
          </w:tcPr>
          <w:p>
            <w:pPr>
              <w:pStyle w:val="21"/>
              <w:bidi w:val="0"/>
              <w:rPr>
                <w:rFonts w:hint="eastAsia" w:eastAsia="宋体"/>
                <w:color w:val="auto"/>
                <w:highlight w:val="none"/>
                <w:lang w:eastAsia="zh-CN"/>
              </w:rPr>
            </w:pPr>
            <w:r>
              <w:rPr>
                <w:rFonts w:hint="default"/>
                <w:color w:val="auto"/>
                <w:highlight w:val="none"/>
              </w:rPr>
              <w:t>厂界</w:t>
            </w:r>
            <w:r>
              <w:rPr>
                <w:rFonts w:hint="eastAsia"/>
                <w:color w:val="auto"/>
                <w:highlight w:val="none"/>
                <w:lang w:eastAsia="zh-CN"/>
              </w:rPr>
              <w:t>（</w:t>
            </w:r>
            <w:r>
              <w:rPr>
                <w:rFonts w:hint="eastAsia"/>
                <w:color w:val="auto"/>
                <w:highlight w:val="none"/>
                <w:lang w:val="en-US" w:eastAsia="zh-CN"/>
              </w:rPr>
              <w:t>上风向1个，下风向3个</w:t>
            </w:r>
            <w:r>
              <w:rPr>
                <w:rFonts w:hint="eastAsia"/>
                <w:color w:val="auto"/>
                <w:highlight w:val="none"/>
                <w:lang w:eastAsia="zh-CN"/>
              </w:rPr>
              <w:t>）</w:t>
            </w:r>
          </w:p>
        </w:tc>
        <w:tc>
          <w:tcPr>
            <w:tcW w:w="2937" w:type="dxa"/>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NH</w:t>
            </w:r>
            <w:r>
              <w:rPr>
                <w:rFonts w:hint="default"/>
                <w:color w:val="auto"/>
                <w:highlight w:val="none"/>
                <w:vertAlign w:val="subscript"/>
              </w:rPr>
              <w:t>3</w:t>
            </w:r>
            <w:r>
              <w:rPr>
                <w:rFonts w:hint="default"/>
                <w:color w:val="auto"/>
                <w:highlight w:val="none"/>
              </w:rPr>
              <w:t>、</w:t>
            </w:r>
            <w:r>
              <w:rPr>
                <w:rFonts w:hint="default"/>
                <w:color w:val="auto"/>
                <w:highlight w:val="none"/>
                <w:lang w:val="en-US" w:eastAsia="zh-CN"/>
              </w:rPr>
              <w:t>H</w:t>
            </w:r>
            <w:r>
              <w:rPr>
                <w:rFonts w:hint="default"/>
                <w:color w:val="auto"/>
                <w:highlight w:val="none"/>
                <w:vertAlign w:val="subscript"/>
                <w:lang w:val="en-US" w:eastAsia="zh-CN"/>
              </w:rPr>
              <w:t>2</w:t>
            </w:r>
            <w:r>
              <w:rPr>
                <w:rFonts w:hint="default"/>
                <w:color w:val="auto"/>
                <w:highlight w:val="none"/>
                <w:lang w:val="en-US" w:eastAsia="zh-CN"/>
              </w:rPr>
              <w:t>S</w:t>
            </w:r>
            <w:r>
              <w:rPr>
                <w:rFonts w:hint="default"/>
                <w:color w:val="auto"/>
                <w:highlight w:val="none"/>
              </w:rPr>
              <w:t>、</w:t>
            </w:r>
            <w:r>
              <w:rPr>
                <w:rFonts w:hint="eastAsia"/>
                <w:color w:val="auto"/>
                <w:highlight w:val="none"/>
                <w:lang w:val="en-US" w:eastAsia="zh-CN"/>
              </w:rPr>
              <w:t>臭气浓度</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1次/</w:t>
            </w:r>
            <w:r>
              <w:rPr>
                <w:rFonts w:hint="default"/>
                <w:color w:val="auto"/>
                <w:highlight w:val="none"/>
                <w:lang w:eastAsia="zh-CN"/>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839"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eastAsia"/>
                <w:color w:val="auto"/>
                <w:highlight w:val="none"/>
                <w:lang w:val="en-US" w:eastAsia="zh-CN"/>
              </w:rPr>
              <w:t>颗粒物、</w:t>
            </w:r>
            <w:r>
              <w:rPr>
                <w:rFonts w:hint="default"/>
                <w:color w:val="auto"/>
                <w:highlight w:val="none"/>
              </w:rPr>
              <w:t>NMHC</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w:t>
            </w:r>
            <w:r>
              <w:rPr>
                <w:rFonts w:hint="default"/>
                <w:color w:val="auto"/>
                <w:highlight w:val="none"/>
                <w:lang w:eastAsia="zh-CN"/>
              </w:rPr>
              <w:t>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1110" w:type="dxa"/>
            <w:vMerge w:val="continue"/>
            <w:tcBorders>
              <w:tl2br w:val="nil"/>
              <w:tr2bl w:val="nil"/>
            </w:tcBorders>
            <w:tcMar>
              <w:left w:w="28" w:type="dxa"/>
              <w:right w:w="28" w:type="dxa"/>
            </w:tcMar>
            <w:vAlign w:val="center"/>
          </w:tcPr>
          <w:p>
            <w:pPr>
              <w:pStyle w:val="21"/>
              <w:bidi w:val="0"/>
              <w:rPr>
                <w:rFonts w:hint="default"/>
                <w:color w:val="auto"/>
                <w:highlight w:val="none"/>
              </w:rPr>
            </w:pPr>
          </w:p>
        </w:tc>
        <w:tc>
          <w:tcPr>
            <w:tcW w:w="2839"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default"/>
                <w:color w:val="auto"/>
                <w:highlight w:val="none"/>
              </w:rPr>
              <w:t>厂区内</w:t>
            </w:r>
            <w:r>
              <w:rPr>
                <w:rFonts w:hint="eastAsia"/>
                <w:color w:val="auto"/>
                <w:highlight w:val="none"/>
                <w:lang w:val="en-US" w:eastAsia="zh-CN"/>
              </w:rPr>
              <w:t>厂房门窗或通风口。若厂房不完整（如有顶无围墙），则在操作工位下风向1 m。不少于3个点</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非甲烷总烃</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1次/</w:t>
            </w:r>
            <w:r>
              <w:rPr>
                <w:rFonts w:hint="default"/>
                <w:color w:val="auto"/>
                <w:highlight w:val="none"/>
                <w:lang w:eastAsia="zh-CN"/>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噪声</w:t>
            </w:r>
          </w:p>
        </w:tc>
        <w:tc>
          <w:tcPr>
            <w:tcW w:w="3949" w:type="dxa"/>
            <w:gridSpan w:val="2"/>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厂界外1米</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等效连续A声级</w:t>
            </w:r>
          </w:p>
        </w:tc>
        <w:tc>
          <w:tcPr>
            <w:tcW w:w="1345" w:type="dxa"/>
            <w:tcBorders>
              <w:tl2br w:val="nil"/>
              <w:tr2bl w:val="nil"/>
            </w:tcBorders>
            <w:tcMar>
              <w:left w:w="28" w:type="dxa"/>
              <w:right w:w="28" w:type="dxa"/>
            </w:tcMar>
            <w:vAlign w:val="center"/>
          </w:tcPr>
          <w:p>
            <w:pPr>
              <w:pStyle w:val="21"/>
              <w:bidi w:val="0"/>
              <w:rPr>
                <w:rFonts w:hint="default"/>
                <w:color w:val="auto"/>
                <w:highlight w:val="none"/>
                <w:lang w:eastAsia="zh-CN"/>
              </w:rPr>
            </w:pPr>
            <w:r>
              <w:rPr>
                <w:rFonts w:hint="default"/>
                <w:color w:val="auto"/>
                <w:highlight w:val="none"/>
              </w:rPr>
              <w:t>1次/</w:t>
            </w:r>
            <w:r>
              <w:rPr>
                <w:rFonts w:hint="default"/>
                <w:color w:val="auto"/>
                <w:highlight w:val="none"/>
                <w:lang w:eastAsia="zh-CN"/>
              </w:rPr>
              <w:t>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6"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地下水</w:t>
            </w:r>
          </w:p>
        </w:tc>
        <w:tc>
          <w:tcPr>
            <w:tcW w:w="3949" w:type="dxa"/>
            <w:gridSpan w:val="2"/>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default"/>
                <w:color w:val="auto"/>
                <w:highlight w:val="none"/>
              </w:rPr>
              <w:t>厂内地下水监控井</w:t>
            </w:r>
            <w:r>
              <w:rPr>
                <w:rFonts w:hint="eastAsia"/>
                <w:color w:val="auto"/>
                <w:highlight w:val="none"/>
                <w:lang w:val="en-US" w:eastAsia="zh-CN"/>
              </w:rPr>
              <w:t>1</w:t>
            </w:r>
            <w:r>
              <w:rPr>
                <w:rFonts w:hint="default"/>
                <w:color w:val="auto"/>
                <w:highlight w:val="none"/>
              </w:rPr>
              <w:t>个</w:t>
            </w:r>
          </w:p>
        </w:tc>
        <w:tc>
          <w:tcPr>
            <w:tcW w:w="2937"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pH、耗氧量、氨氮、砷、汞、镉、铬（六价）、</w:t>
            </w:r>
            <w:r>
              <w:rPr>
                <w:rFonts w:hint="default"/>
                <w:color w:val="auto"/>
                <w:highlight w:val="none"/>
                <w:lang w:val="en-US" w:eastAsia="zh-CN"/>
              </w:rPr>
              <w:t>铅、锰、铁</w:t>
            </w:r>
            <w:r>
              <w:rPr>
                <w:rFonts w:hint="default"/>
                <w:color w:val="auto"/>
                <w:highlight w:val="none"/>
              </w:rPr>
              <w:t>、硫酸盐、氯化物、</w:t>
            </w:r>
            <w:r>
              <w:rPr>
                <w:rFonts w:hint="default"/>
                <w:color w:val="auto"/>
                <w:highlight w:val="none"/>
                <w:lang w:val="en-US" w:eastAsia="zh-CN"/>
              </w:rPr>
              <w:t>氰化物、菌落总数、</w:t>
            </w:r>
            <w:r>
              <w:rPr>
                <w:rFonts w:hint="default"/>
                <w:color w:val="auto"/>
                <w:highlight w:val="none"/>
              </w:rPr>
              <w:t>硝酸盐、亚硝酸盐、总硬度、挥发性酚、总大肠菌群、</w:t>
            </w:r>
            <w:r>
              <w:rPr>
                <w:rFonts w:hint="default"/>
                <w:color w:val="auto"/>
                <w:highlight w:val="none"/>
                <w:lang w:val="en-US" w:eastAsia="zh-CN"/>
              </w:rPr>
              <w:t>溶解性总固体等</w:t>
            </w:r>
          </w:p>
        </w:tc>
        <w:tc>
          <w:tcPr>
            <w:tcW w:w="1345" w:type="dxa"/>
            <w:tcBorders>
              <w:tl2br w:val="nil"/>
              <w:tr2bl w:val="nil"/>
            </w:tcBorders>
            <w:tcMar>
              <w:left w:w="28" w:type="dxa"/>
              <w:right w:w="28" w:type="dxa"/>
            </w:tcMar>
            <w:vAlign w:val="center"/>
          </w:tcPr>
          <w:p>
            <w:pPr>
              <w:pStyle w:val="21"/>
              <w:bidi w:val="0"/>
              <w:rPr>
                <w:rFonts w:hint="default"/>
                <w:color w:val="auto"/>
                <w:highlight w:val="none"/>
              </w:rPr>
            </w:pPr>
            <w:r>
              <w:rPr>
                <w:rFonts w:hint="default"/>
                <w:color w:val="auto"/>
                <w:highlight w:val="none"/>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45" w:type="dxa"/>
            <w:gridSpan w:val="3"/>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雨水排放口</w:t>
            </w:r>
          </w:p>
        </w:tc>
        <w:tc>
          <w:tcPr>
            <w:tcW w:w="2937"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pH、化学需氧量、氨氮</w:t>
            </w:r>
          </w:p>
        </w:tc>
        <w:tc>
          <w:tcPr>
            <w:tcW w:w="1345" w:type="dxa"/>
            <w:tcBorders>
              <w:tl2br w:val="nil"/>
              <w:tr2bl w:val="nil"/>
            </w:tcBorders>
            <w:tcMar>
              <w:left w:w="28" w:type="dxa"/>
              <w:right w:w="28" w:type="dxa"/>
            </w:tcMar>
            <w:vAlign w:val="center"/>
          </w:tcPr>
          <w:p>
            <w:pPr>
              <w:pStyle w:val="21"/>
              <w:bidi w:val="0"/>
              <w:rPr>
                <w:rFonts w:hint="default" w:eastAsia="宋体"/>
                <w:color w:val="auto"/>
                <w:highlight w:val="none"/>
                <w:lang w:val="en-US" w:eastAsia="zh-CN"/>
              </w:rPr>
            </w:pPr>
            <w:r>
              <w:rPr>
                <w:rFonts w:hint="eastAsia"/>
                <w:color w:val="auto"/>
                <w:highlight w:val="none"/>
                <w:lang w:val="en-US" w:eastAsia="zh-CN"/>
              </w:rPr>
              <w:t>月</w:t>
            </w:r>
            <w:r>
              <w:rPr>
                <w:rFonts w:hint="eastAsia"/>
                <w:color w:val="auto"/>
                <w:highlight w:val="none"/>
                <w:vertAlign w:val="superscript"/>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27" w:type="dxa"/>
            <w:gridSpan w:val="5"/>
            <w:tcBorders>
              <w:tl2br w:val="nil"/>
              <w:tr2bl w:val="nil"/>
            </w:tcBorders>
            <w:tcMar>
              <w:left w:w="28" w:type="dxa"/>
              <w:right w:w="28" w:type="dxa"/>
            </w:tcMar>
            <w:vAlign w:val="center"/>
          </w:tcPr>
          <w:p>
            <w:pPr>
              <w:pStyle w:val="21"/>
              <w:bidi w:val="0"/>
              <w:rPr>
                <w:rFonts w:hint="default"/>
                <w:color w:val="auto"/>
                <w:highlight w:val="none"/>
                <w:lang w:val="en-US" w:eastAsia="zh-CN"/>
              </w:rPr>
            </w:pPr>
            <w:r>
              <w:rPr>
                <w:rFonts w:hint="eastAsia"/>
                <w:color w:val="auto"/>
                <w:highlight w:val="none"/>
                <w:lang w:val="en-US" w:eastAsia="zh-CN"/>
              </w:rPr>
              <w:t>注：雨水排放口有流动水排放时按月监测。若监测一年无异常情况，可放宽至每季度开展一次监测。</w:t>
            </w:r>
          </w:p>
        </w:tc>
      </w:tr>
    </w:tbl>
    <w:p>
      <w:pPr>
        <w:pStyle w:val="24"/>
        <w:numPr>
          <w:ilvl w:val="6"/>
          <w:numId w:val="13"/>
        </w:numPr>
        <w:tabs>
          <w:tab w:val="left" w:pos="420"/>
        </w:tabs>
        <w:bidi w:val="0"/>
        <w:rPr>
          <w:rFonts w:hint="default" w:ascii="Times New Roman" w:hAnsi="Times New Roman" w:eastAsia="宋体" w:cs="Times New Roman"/>
          <w:b/>
          <w:bCs/>
          <w:color w:val="auto"/>
          <w:sz w:val="24"/>
          <w:szCs w:val="24"/>
          <w:highlight w:val="none"/>
          <w:u w:val="none" w:color="auto"/>
        </w:rPr>
      </w:pPr>
      <w:bookmarkStart w:id="730" w:name="_Ref12083"/>
      <w:r>
        <w:rPr>
          <w:rFonts w:hint="default" w:ascii="Times New Roman" w:hAnsi="Times New Roman" w:eastAsia="宋体" w:cs="Times New Roman"/>
          <w:b/>
          <w:bCs/>
          <w:color w:val="auto"/>
          <w:sz w:val="24"/>
          <w:szCs w:val="24"/>
          <w:highlight w:val="none"/>
          <w:u w:val="none" w:color="auto"/>
        </w:rPr>
        <w:t>环境质量现状监测计划表</w:t>
      </w:r>
      <w:bookmarkEnd w:id="730"/>
    </w:p>
    <w:tbl>
      <w:tblPr>
        <w:tblStyle w:val="17"/>
        <w:tblW w:w="924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1240"/>
        <w:gridCol w:w="2205"/>
        <w:gridCol w:w="4565"/>
        <w:gridCol w:w="123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49" w:hRule="atLeast"/>
          <w:tblHeader/>
          <w:jc w:val="center"/>
        </w:trPr>
        <w:tc>
          <w:tcPr>
            <w:tcW w:w="1240"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监测要素</w:t>
            </w:r>
          </w:p>
        </w:tc>
        <w:tc>
          <w:tcPr>
            <w:tcW w:w="2205" w:type="dxa"/>
            <w:tcBorders>
              <w:left w:val="single" w:color="auto" w:sz="4" w:space="0"/>
            </w:tcBorders>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4565"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231"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50" w:hRule="atLeast"/>
          <w:jc w:val="center"/>
        </w:trPr>
        <w:tc>
          <w:tcPr>
            <w:tcW w:w="1240"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2205" w:type="dxa"/>
            <w:tcBorders>
              <w:left w:val="single" w:color="auto" w:sz="4" w:space="0"/>
            </w:tcBorders>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一层村</w:t>
            </w:r>
          </w:p>
        </w:tc>
        <w:tc>
          <w:tcPr>
            <w:tcW w:w="4565" w:type="dxa"/>
            <w:tcMar>
              <w:left w:w="85" w:type="dxa"/>
              <w:right w:w="85" w:type="dxa"/>
            </w:tcMar>
            <w:vAlign w:val="center"/>
          </w:tcPr>
          <w:p>
            <w:pPr>
              <w:pStyle w:val="2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TSP</w:t>
            </w:r>
            <w:r>
              <w:rPr>
                <w:rFonts w:hint="default" w:ascii="Times New Roman" w:hAnsi="Times New Roman" w:cs="Times New Roman"/>
                <w:color w:val="auto"/>
                <w:highlight w:val="none"/>
              </w:rPr>
              <w:t>、NMHC、</w:t>
            </w:r>
            <w:r>
              <w:rPr>
                <w:rFonts w:hint="default" w:ascii="Times New Roman" w:hAnsi="Times New Roman" w:cs="Times New Roman"/>
                <w:color w:val="auto"/>
                <w:highlight w:val="none"/>
                <w:lang w:eastAsia="zh-CN"/>
              </w:rPr>
              <w:t>NH</w:t>
            </w:r>
            <w:r>
              <w:rPr>
                <w:rFonts w:hint="default" w:ascii="Times New Roman" w:hAnsi="Times New Roman" w:cs="Times New Roman"/>
                <w:color w:val="auto"/>
                <w:highlight w:val="none"/>
                <w:vertAlign w:val="subscript"/>
                <w:lang w:eastAsia="zh-CN"/>
              </w:rPr>
              <w:t>3</w:t>
            </w:r>
            <w:r>
              <w:rPr>
                <w:rFonts w:hint="eastAsia" w:cs="Times New Roman"/>
                <w:color w:val="auto"/>
                <w:highlight w:val="none"/>
                <w:lang w:val="en-US" w:eastAsia="zh-CN"/>
              </w:rPr>
              <w:t>、H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w:t>
            </w:r>
          </w:p>
        </w:tc>
        <w:tc>
          <w:tcPr>
            <w:tcW w:w="1231" w:type="dxa"/>
            <w:tcMar>
              <w:left w:w="85" w:type="dxa"/>
              <w:right w:w="85" w:type="dxa"/>
            </w:tcMar>
            <w:vAlign w:val="center"/>
          </w:tcPr>
          <w:p>
            <w:pPr>
              <w:pStyle w:val="2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50" w:hRule="atLeast"/>
          <w:jc w:val="center"/>
        </w:trPr>
        <w:tc>
          <w:tcPr>
            <w:tcW w:w="9241" w:type="dxa"/>
            <w:gridSpan w:val="4"/>
            <w:tcMar>
              <w:left w:w="85" w:type="dxa"/>
              <w:right w:w="85" w:type="dxa"/>
            </w:tcMar>
            <w:vAlign w:val="center"/>
          </w:tcPr>
          <w:p>
            <w:pPr>
              <w:pStyle w:val="21"/>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备注：①监测点位按照《环境影响评价技术导则 大气环境》（HJ2.2-2018）9.3.2环境质量监测点位一般在项目厂界外或大气环境防护距离(如有)外侧设置1-2个监测点。本项目选择在</w:t>
            </w:r>
            <w:r>
              <w:rPr>
                <w:rFonts w:hint="eastAsia" w:cs="Times New Roman"/>
                <w:color w:val="auto"/>
                <w:highlight w:val="none"/>
                <w:lang w:val="en-US" w:eastAsia="zh-CN"/>
              </w:rPr>
              <w:t>距厂界最近的敏感目标一层村</w:t>
            </w:r>
            <w:r>
              <w:rPr>
                <w:rFonts w:hint="default" w:ascii="Times New Roman" w:hAnsi="Times New Roman" w:cs="Times New Roman"/>
                <w:color w:val="auto"/>
                <w:highlight w:val="none"/>
              </w:rPr>
              <w:t>设置1个监测点。</w:t>
            </w:r>
          </w:p>
          <w:p>
            <w:pPr>
              <w:pStyle w:val="21"/>
              <w:keepNext w:val="0"/>
              <w:keepLines w:val="0"/>
              <w:pageBreakBefore w:val="0"/>
              <w:widowControl/>
              <w:kinsoku/>
              <w:wordWrap/>
              <w:overflowPunct/>
              <w:topLinePunct w:val="0"/>
              <w:autoSpaceDE/>
              <w:autoSpaceDN/>
              <w:bidi w:val="0"/>
              <w:adjustRightInd/>
              <w:snapToGrid/>
              <w:ind w:firstLine="630" w:firstLineChars="3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②监测因子按照《环境影响评价技术导则 大气环境》（HJ2.2-2018）9.3.1筛选项目排放污染物Pi≥1.0%的其他污染物作为环境质量监测因子。</w:t>
            </w:r>
            <w:r>
              <w:rPr>
                <w:rFonts w:hint="eastAsia" w:cs="Times New Roman"/>
                <w:color w:val="auto"/>
                <w:highlight w:val="none"/>
                <w:lang w:val="en-US" w:eastAsia="zh-CN"/>
              </w:rPr>
              <w:t>Pi（H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S）虽然＜1.0%，但根据本项目生产工艺及产污情况，本次评价建议将H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S也作为环境空气现状监测因子。</w:t>
            </w:r>
          </w:p>
        </w:tc>
      </w:tr>
    </w:tbl>
    <w:p>
      <w:pPr>
        <w:pStyle w:val="3"/>
        <w:numPr>
          <w:ilvl w:val="1"/>
          <w:numId w:val="12"/>
        </w:numPr>
        <w:bidi w:val="0"/>
        <w:rPr>
          <w:rFonts w:hint="default" w:ascii="Times New Roman" w:hAnsi="Times New Roman" w:cs="Times New Roman"/>
          <w:color w:val="auto"/>
          <w:highlight w:val="none"/>
          <w:lang w:val="en-US" w:eastAsia="zh-CN"/>
        </w:rPr>
      </w:pPr>
      <w:bookmarkStart w:id="731" w:name="_Toc5705"/>
      <w:bookmarkStart w:id="732" w:name="_Toc23841"/>
      <w:bookmarkStart w:id="733" w:name="_Toc28499"/>
      <w:bookmarkStart w:id="734" w:name="_Toc9301"/>
      <w:r>
        <w:rPr>
          <w:rFonts w:hint="default" w:ascii="Times New Roman" w:hAnsi="Times New Roman" w:cs="Times New Roman"/>
          <w:color w:val="auto"/>
          <w:highlight w:val="none"/>
          <w:lang w:val="en-US" w:eastAsia="zh-CN"/>
        </w:rPr>
        <w:t>环保措施竣工验收要求</w:t>
      </w:r>
      <w:bookmarkEnd w:id="731"/>
      <w:bookmarkEnd w:id="732"/>
      <w:bookmarkEnd w:id="733"/>
      <w:bookmarkEnd w:id="734"/>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保护管理条例》的规定，本项目竣工后，建设单位应按照国务院环境保护行政主管部门规定的标准和程序，对配套建设的环保保护设施进行验收，编制验收报告。本项目的主要环保措施与项目环保验收的主要内容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_Ref23428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表9.9-1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24"/>
        <w:bidi w:val="0"/>
        <w:rPr>
          <w:rFonts w:hint="default"/>
          <w:color w:val="auto"/>
          <w:lang w:val="en-US" w:eastAsia="zh-CN"/>
        </w:rPr>
      </w:pPr>
      <w:bookmarkStart w:id="735" w:name="_Ref23428"/>
      <w:r>
        <w:rPr>
          <w:rFonts w:hint="default"/>
          <w:color w:val="auto"/>
          <w:lang w:val="en-US" w:eastAsia="zh-CN"/>
        </w:rPr>
        <w:t>项目环境保护措施及竣工验收要求一览表</w:t>
      </w:r>
      <w:bookmarkEnd w:id="735"/>
    </w:p>
    <w:tbl>
      <w:tblPr>
        <w:tblStyle w:val="18"/>
        <w:tblW w:w="1415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204"/>
        <w:gridCol w:w="881"/>
        <w:gridCol w:w="1646"/>
        <w:gridCol w:w="3587"/>
        <w:gridCol w:w="60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序号</w:t>
            </w:r>
          </w:p>
        </w:tc>
        <w:tc>
          <w:tcPr>
            <w:tcW w:w="3731"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项目类别</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防治措施</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验收标准及要求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20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水污染防治措施</w:t>
            </w: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生活污水</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容积不小于15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的化粪池</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验收落实情况，化粪池出口水质执行牙城镇污水处理厂设计进水水质标准（即：pH：6~9、COD≤400 mg/L、BOD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≤200 mg/L、SS≤240 mg/L、NH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-N≤35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生产废水</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雨污分流，建设污水处理站1座，采用“气浮+水解酸化+A/O池+MBR膜+板框压滤”处理工艺，设计处理规模为50 t/d</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验收落实情况，污水处理站出口水质执行《合成树脂工业污染物排放标准》（GB31572-2015）中表1直接排放限值（石油类参照排放标准参照现有工程环评报告书的要求）（即：pH：6~9、COD≤60 mg/L、BOD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≤20 mg/L、SS≤30 mg/L、NH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-N≤8 mg/L、总磷≤1.0 mg/L、石油类≤10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初期雨水池</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建设1座容积为100 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的初期雨水池</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在线监测</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生产废水总排放口应安装流量、COD、氨氮在线监测设备</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20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大气污染防治措施</w:t>
            </w:r>
          </w:p>
        </w:tc>
        <w:tc>
          <w:tcPr>
            <w:tcW w:w="881"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有组织废气</w:t>
            </w:r>
          </w:p>
        </w:tc>
        <w:tc>
          <w:tcPr>
            <w:tcW w:w="16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lang w:val="en-US" w:eastAsia="zh-CN"/>
              </w:rPr>
              <w:t>排气筒</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采用“集气罩+布袋除尘器+碱液喷淋+除雾器+低温等离子+1根32 m高排气筒”</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验收落实情况，颗粒物、非甲烷总烃排放浓度执行《合成树脂工业污染物排放标准》（GB</w:t>
            </w:r>
            <w:r>
              <w:rPr>
                <w:rFonts w:hint="eastAsia" w:cs="Times New Roman"/>
                <w:color w:val="auto"/>
                <w:sz w:val="21"/>
                <w:szCs w:val="21"/>
                <w:highlight w:val="none"/>
                <w:lang w:val="en-US" w:eastAsia="zh-CN"/>
              </w:rPr>
              <w:t>31572</w:t>
            </w:r>
            <w:r>
              <w:rPr>
                <w:rFonts w:hint="default" w:ascii="Times New Roman" w:hAnsi="Times New Roman" w:cs="Times New Roman"/>
                <w:color w:val="auto"/>
                <w:sz w:val="21"/>
                <w:szCs w:val="21"/>
                <w:highlight w:val="none"/>
                <w:lang w:val="en-US" w:eastAsia="zh-CN"/>
              </w:rPr>
              <w:t>-2015）中表4大气污染物排放限值（即：颗粒物≤30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、非甲烷总烃≤100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8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16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排气筒</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采用“静电油烟吸附+低温等离子+1根32 m高排气筒”</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验收落实情况，非甲烷总烃排放浓度执行《合成树脂工业污染物排放标准》（GB</w:t>
            </w:r>
            <w:r>
              <w:rPr>
                <w:rFonts w:hint="eastAsia" w:cs="Times New Roman"/>
                <w:color w:val="auto"/>
                <w:sz w:val="21"/>
                <w:szCs w:val="21"/>
                <w:highlight w:val="none"/>
                <w:lang w:val="en-US" w:eastAsia="zh-CN"/>
              </w:rPr>
              <w:t>31572</w:t>
            </w:r>
            <w:r>
              <w:rPr>
                <w:rFonts w:hint="default" w:ascii="Times New Roman" w:hAnsi="Times New Roman" w:cs="Times New Roman"/>
                <w:color w:val="auto"/>
                <w:sz w:val="21"/>
                <w:szCs w:val="21"/>
                <w:highlight w:val="none"/>
                <w:lang w:val="en-US" w:eastAsia="zh-CN"/>
              </w:rPr>
              <w:t>-2015）中表4大气污染物排放限值（即：非甲烷总烃≤100 mg/m</w:t>
            </w:r>
            <w:r>
              <w:rPr>
                <w:rFonts w:hint="default" w:ascii="Times New Roman" w:hAnsi="Times New Roman"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乙醛≤50 mg/m</w:t>
            </w:r>
            <w:r>
              <w:rPr>
                <w:rFonts w:hint="eastAsia"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8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16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lang w:val="en-US" w:eastAsia="zh-CN"/>
              </w:rPr>
              <w:t>排气筒</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通过≥15 m高的排气筒排放</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验收落实情况，</w:t>
            </w:r>
            <w:r>
              <w:rPr>
                <w:rFonts w:hint="default" w:ascii="Times New Roman" w:hAnsi="Times New Roman" w:cs="Times New Roman"/>
                <w:color w:val="auto"/>
                <w:szCs w:val="20"/>
                <w:highlight w:val="none"/>
                <w:lang w:val="en-US" w:eastAsia="zh-CN"/>
              </w:rPr>
              <w:t>颗粒物、SO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i/>
                <w:iCs/>
                <w:color w:val="auto"/>
                <w:szCs w:val="20"/>
                <w:highlight w:val="none"/>
                <w:lang w:val="en-US" w:eastAsia="zh-CN"/>
              </w:rPr>
              <w:t>x</w:t>
            </w:r>
            <w:r>
              <w:rPr>
                <w:rFonts w:hint="default" w:ascii="Times New Roman" w:hAnsi="Times New Roman" w:cs="Times New Roman"/>
                <w:color w:val="auto"/>
                <w:szCs w:val="20"/>
                <w:highlight w:val="none"/>
                <w:lang w:val="en-US" w:eastAsia="zh-CN"/>
              </w:rPr>
              <w:t>排放浓度执行《锅炉大气污染物排放标准》（GB13271-2014）表2燃气锅炉排放浓度限值（即：颗粒物</w:t>
            </w:r>
            <w:r>
              <w:rPr>
                <w:rFonts w:hint="default" w:ascii="Times New Roman" w:hAnsi="Times New Roman" w:cs="Times New Roman"/>
                <w:color w:val="auto"/>
                <w:sz w:val="21"/>
                <w:szCs w:val="21"/>
                <w:highlight w:val="none"/>
                <w:lang w:val="en-US" w:eastAsia="zh-CN"/>
              </w:rPr>
              <w:t>≤20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Cs w:val="20"/>
                <w:highlight w:val="none"/>
                <w:lang w:val="en-US" w:eastAsia="zh-CN"/>
              </w:rPr>
              <w:t>、SO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 w:val="21"/>
                <w:szCs w:val="21"/>
                <w:highlight w:val="none"/>
                <w:lang w:val="en-US" w:eastAsia="zh-CN"/>
              </w:rPr>
              <w:t>≤50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Cs w:val="20"/>
                <w:highlight w:val="none"/>
                <w:lang w:val="en-US" w:eastAsia="zh-CN"/>
              </w:rPr>
              <w:t>、NO</w:t>
            </w:r>
            <w:r>
              <w:rPr>
                <w:rFonts w:hint="default" w:ascii="Times New Roman" w:hAnsi="Times New Roman" w:cs="Times New Roman"/>
                <w:i/>
                <w:iCs/>
                <w:color w:val="auto"/>
                <w:szCs w:val="20"/>
                <w:highlight w:val="none"/>
                <w:lang w:val="en-US" w:eastAsia="zh-CN"/>
              </w:rPr>
              <w:t>x</w:t>
            </w:r>
            <w:r>
              <w:rPr>
                <w:rFonts w:hint="default" w:ascii="Times New Roman" w:hAnsi="Times New Roman" w:cs="Times New Roman"/>
                <w:color w:val="auto"/>
                <w:sz w:val="21"/>
                <w:szCs w:val="21"/>
                <w:highlight w:val="none"/>
                <w:lang w:val="en-US" w:eastAsia="zh-CN"/>
              </w:rPr>
              <w:t>≤200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、烟气黑度≤1</w:t>
            </w:r>
            <w:r>
              <w:rPr>
                <w:rFonts w:hint="eastAsia" w:cs="Times New Roman"/>
                <w:color w:val="auto"/>
                <w:sz w:val="21"/>
                <w:szCs w:val="21"/>
                <w:highlight w:val="none"/>
                <w:vertAlign w:val="baseline"/>
                <w:lang w:val="en-US" w:eastAsia="zh-CN"/>
              </w:rPr>
              <w:t>级</w:t>
            </w: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881"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rPr>
            </w:pPr>
          </w:p>
        </w:tc>
        <w:tc>
          <w:tcPr>
            <w:tcW w:w="1646"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排气筒</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活性炭吸附+15 m高排气筒</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 w:val="21"/>
                <w:szCs w:val="21"/>
                <w:highlight w:val="none"/>
                <w:lang w:val="en-US" w:eastAsia="zh-CN"/>
              </w:rPr>
              <w:t>验收落实情况，</w:t>
            </w:r>
            <w:r>
              <w:rPr>
                <w:rFonts w:hint="eastAsia" w:cs="Times New Roman"/>
                <w:color w:val="auto"/>
                <w:sz w:val="21"/>
                <w:szCs w:val="21"/>
                <w:highlight w:val="none"/>
                <w:lang w:val="en-US" w:eastAsia="zh-CN"/>
              </w:rPr>
              <w:t>非甲烷总烃排放执行</w:t>
            </w:r>
            <w:r>
              <w:rPr>
                <w:rFonts w:hint="default" w:ascii="Times New Roman" w:hAnsi="Times New Roman" w:eastAsia="宋体" w:cs="Times New Roman"/>
                <w:color w:val="auto"/>
                <w:kern w:val="2"/>
                <w:sz w:val="21"/>
                <w:szCs w:val="21"/>
                <w:highlight w:val="none"/>
                <w:lang w:val="en-US" w:eastAsia="zh-CN" w:bidi="ar-SA"/>
              </w:rPr>
              <w:t>《工业企业挥发性有机物排放标准》（DB35/1782-2018）</w:t>
            </w:r>
            <w:r>
              <w:rPr>
                <w:rFonts w:hint="eastAsia" w:cs="Times New Roman"/>
                <w:color w:val="auto"/>
                <w:kern w:val="2"/>
                <w:sz w:val="21"/>
                <w:szCs w:val="21"/>
                <w:highlight w:val="none"/>
                <w:lang w:val="en-US" w:eastAsia="zh-CN" w:bidi="ar-SA"/>
              </w:rPr>
              <w:t>表1排放限值（即：非甲烷总烃排放浓度100 mg/m</w:t>
            </w:r>
            <w:r>
              <w:rPr>
                <w:rFonts w:hint="eastAsia"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lang w:val="en-US" w:eastAsia="zh-CN" w:bidi="ar-SA"/>
              </w:rPr>
              <w:t>，排放速率1.8 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无组织废气</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①前纺楼破碎工序采用布袋除尘器处理后排放；</w:t>
            </w:r>
          </w:p>
          <w:p>
            <w:pPr>
              <w:pStyle w:val="21"/>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②污水处理站主要构筑物进行加盖、密闭</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验收落实情况，厂界颗粒物排放浓度执行《合成树脂工业污染物排放标准》（GB</w:t>
            </w:r>
            <w:r>
              <w:rPr>
                <w:rFonts w:hint="eastAsia" w:cs="Times New Roman"/>
                <w:color w:val="auto"/>
                <w:sz w:val="21"/>
                <w:szCs w:val="21"/>
                <w:highlight w:val="none"/>
                <w:lang w:val="en-US" w:eastAsia="zh-CN"/>
              </w:rPr>
              <w:t>31572</w:t>
            </w:r>
            <w:r>
              <w:rPr>
                <w:rFonts w:hint="default" w:ascii="Times New Roman" w:hAnsi="Times New Roman" w:cs="Times New Roman"/>
                <w:color w:val="auto"/>
                <w:sz w:val="21"/>
                <w:szCs w:val="21"/>
                <w:highlight w:val="none"/>
                <w:lang w:val="en-US" w:eastAsia="zh-CN"/>
              </w:rPr>
              <w:t>-2015）中表9大气污染物排放限值（即：颗粒物≤1.0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）；非甲烷总烃</w:t>
            </w:r>
            <w:r>
              <w:rPr>
                <w:rFonts w:hint="eastAsia" w:cs="Times New Roman"/>
                <w:color w:val="auto"/>
                <w:sz w:val="21"/>
                <w:szCs w:val="21"/>
                <w:highlight w:val="none"/>
                <w:lang w:val="en-US" w:eastAsia="zh-CN"/>
              </w:rPr>
              <w:t>厂界、</w:t>
            </w:r>
            <w:r>
              <w:rPr>
                <w:rFonts w:hint="default" w:ascii="Times New Roman" w:hAnsi="Times New Roman" w:cs="Times New Roman"/>
                <w:color w:val="auto"/>
                <w:sz w:val="21"/>
                <w:szCs w:val="21"/>
                <w:highlight w:val="none"/>
                <w:lang w:val="en-US" w:eastAsia="zh-CN"/>
              </w:rPr>
              <w:t>厂内无组织排放浓度执行</w:t>
            </w:r>
            <w:r>
              <w:rPr>
                <w:rFonts w:hint="default" w:ascii="Times New Roman" w:hAnsi="Times New Roman" w:cs="Times New Roman"/>
                <w:color w:val="auto"/>
                <w:szCs w:val="20"/>
                <w:highlight w:val="none"/>
                <w:lang w:val="en-US" w:eastAsia="zh-CN"/>
              </w:rPr>
              <w:t>《工业企业挥发性有机物排放标准》（DB35/1782-2018）表2</w:t>
            </w:r>
            <w:r>
              <w:rPr>
                <w:rFonts w:hint="eastAsia" w:cs="Times New Roman"/>
                <w:color w:val="auto"/>
                <w:szCs w:val="20"/>
                <w:highlight w:val="none"/>
                <w:lang w:val="en-US" w:eastAsia="zh-CN"/>
              </w:rPr>
              <w:t>、表3</w:t>
            </w:r>
            <w:r>
              <w:rPr>
                <w:rFonts w:hint="default" w:ascii="Times New Roman" w:hAnsi="Times New Roman" w:cs="Times New Roman"/>
                <w:color w:val="auto"/>
                <w:szCs w:val="20"/>
                <w:highlight w:val="none"/>
                <w:lang w:val="en-US" w:eastAsia="zh-CN"/>
              </w:rPr>
              <w:t>中浓度限值（即：</w:t>
            </w:r>
            <w:r>
              <w:rPr>
                <w:rFonts w:hint="eastAsia" w:cs="Times New Roman"/>
                <w:color w:val="auto"/>
                <w:szCs w:val="20"/>
                <w:highlight w:val="none"/>
                <w:lang w:val="en-US" w:eastAsia="zh-CN"/>
              </w:rPr>
              <w:t>厂内</w:t>
            </w:r>
            <w:r>
              <w:rPr>
                <w:rFonts w:hint="default" w:ascii="Times New Roman" w:hAnsi="Times New Roman" w:cs="Times New Roman"/>
                <w:color w:val="auto"/>
                <w:sz w:val="21"/>
                <w:szCs w:val="21"/>
                <w:highlight w:val="none"/>
                <w:lang w:val="en-US" w:eastAsia="zh-CN"/>
              </w:rPr>
              <w:t>≤8.0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厂界</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w:t>
            </w:r>
            <w:r>
              <w:rPr>
                <w:rFonts w:hint="default" w:ascii="Times New Roman" w:hAnsi="Times New Roman" w:cs="Times New Roman"/>
                <w:color w:val="auto"/>
                <w:sz w:val="21"/>
                <w:szCs w:val="21"/>
                <w:highlight w:val="none"/>
                <w:lang w:val="en-US" w:eastAsia="zh-CN"/>
              </w:rPr>
              <w:t>臭气浓度、氨、硫化氢厂界无组织排放浓度执行《恶臭污染物排放标准》（GB14554-93）表1中二级新改扩建标准限值（即：氨≤1.5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，硫化氢≤0.06 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，臭气浓度限值≤20）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1204"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噪声污染防治措施</w:t>
            </w: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选用低噪声型设备，设备采用消声、隔声、减振等综合降噪措施</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验收落实情况，厂界噪声排放执行《工业企业厂界环境噪声排放标准》（GB12348-2008）中3类标准（即：昼间噪声≤65 dB（A），夜间噪声≤55 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204" w:type="dxa"/>
            <w:vMerge w:val="restart"/>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固体废物污染防治措施</w:t>
            </w: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一般工业固体废物</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0"/>
                <w:highlight w:val="none"/>
                <w:lang w:val="en-US" w:eastAsia="zh-CN"/>
              </w:rPr>
              <w:t>杂质收集后委托环卫部门清运处置；废熔块、废丝、布袋粉尘收集后暂存于一般工业固体废物贮存间，定期回用于破碎、造粒生产；废过滤网</w:t>
            </w:r>
            <w:r>
              <w:rPr>
                <w:rFonts w:hint="eastAsia" w:cs="Times New Roman"/>
                <w:color w:val="auto"/>
                <w:szCs w:val="20"/>
                <w:highlight w:val="none"/>
                <w:lang w:val="en-US" w:eastAsia="zh-CN"/>
              </w:rPr>
              <w:t>、</w:t>
            </w:r>
            <w:r>
              <w:rPr>
                <w:rFonts w:hint="eastAsia" w:cs="Times New Roman"/>
                <w:color w:val="auto"/>
                <w:szCs w:val="20"/>
                <w:highlight w:val="none"/>
                <w:lang w:val="en-US" w:eastAsia="zh-CN"/>
              </w:rPr>
              <w:t>废机械零部件</w:t>
            </w:r>
            <w:r>
              <w:rPr>
                <w:rFonts w:hint="default" w:ascii="Times New Roman" w:hAnsi="Times New Roman" w:eastAsia="宋体" w:cs="Times New Roman"/>
                <w:color w:val="auto"/>
                <w:szCs w:val="20"/>
                <w:highlight w:val="none"/>
                <w:lang w:val="en-US" w:eastAsia="zh-CN"/>
              </w:rPr>
              <w:t>收集后暂存于一般工业固体废物贮存间，定期外售综合利用；污泥收集后暂存于一般工业固体废物贮存间，可继续由三明金牛环保科技有限公司水泥窑协同处置或送入填埋场处理。一般工业固体废物贮存间面积80 m</w:t>
            </w:r>
            <w:r>
              <w:rPr>
                <w:rFonts w:hint="default" w:ascii="Times New Roman" w:hAnsi="Times New Roman" w:eastAsia="宋体" w:cs="Times New Roman"/>
                <w:color w:val="auto"/>
                <w:szCs w:val="20"/>
                <w:highlight w:val="none"/>
                <w:vertAlign w:val="superscript"/>
                <w:lang w:val="en-US" w:eastAsia="zh-CN"/>
              </w:rPr>
              <w:t>2</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验收落实情况，一般工业固体废物贮存间按</w:t>
            </w:r>
            <w:r>
              <w:rPr>
                <w:rFonts w:hint="default" w:ascii="Times New Roman" w:hAnsi="Times New Roman" w:cs="Times New Roman"/>
                <w:color w:val="auto"/>
                <w:szCs w:val="20"/>
                <w:highlight w:val="none"/>
              </w:rPr>
              <w:t>《一般工业固体废物贮存</w:t>
            </w:r>
            <w:r>
              <w:rPr>
                <w:rFonts w:hint="default" w:ascii="Times New Roman" w:hAnsi="Times New Roman" w:cs="Times New Roman"/>
                <w:color w:val="auto"/>
                <w:szCs w:val="20"/>
                <w:highlight w:val="none"/>
                <w:lang w:val="en-US" w:eastAsia="zh-CN"/>
              </w:rPr>
              <w:t>和填埋</w:t>
            </w:r>
            <w:r>
              <w:rPr>
                <w:rFonts w:hint="default" w:ascii="Times New Roman" w:hAnsi="Times New Roman" w:cs="Times New Roman"/>
                <w:color w:val="auto"/>
                <w:szCs w:val="20"/>
                <w:highlight w:val="none"/>
              </w:rPr>
              <w:t>污染控制标准》(GB18599-20</w:t>
            </w:r>
            <w:r>
              <w:rPr>
                <w:rFonts w:hint="default" w:ascii="Times New Roman" w:hAnsi="Times New Roman" w:cs="Times New Roman"/>
                <w:color w:val="auto"/>
                <w:szCs w:val="20"/>
                <w:highlight w:val="none"/>
                <w:lang w:val="en-US" w:eastAsia="zh-CN"/>
              </w:rPr>
              <w:t>20</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要求进行建设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Cs w:val="21"/>
                <w:highlight w:val="none"/>
                <w:lang w:val="en-US" w:eastAsia="zh-CN"/>
              </w:rPr>
            </w:pPr>
            <w:r>
              <w:rPr>
                <w:rFonts w:hint="eastAsia" w:cs="Times New Roman"/>
                <w:color w:val="auto"/>
                <w:szCs w:val="20"/>
                <w:highlight w:val="none"/>
                <w:lang w:val="en-US" w:eastAsia="zh-CN"/>
              </w:rPr>
              <w:t>真空废液、废纺丝油剂</w:t>
            </w:r>
            <w:r>
              <w:rPr>
                <w:rFonts w:hint="default" w:ascii="Times New Roman" w:hAnsi="Times New Roman" w:cs="Times New Roman"/>
                <w:color w:val="auto"/>
                <w:szCs w:val="20"/>
                <w:highlight w:val="none"/>
                <w:lang w:val="en-US" w:eastAsia="zh-CN"/>
              </w:rPr>
              <w:t>、浸油槽废液、煅烧废渣、废机油</w:t>
            </w:r>
            <w:r>
              <w:rPr>
                <w:rFonts w:hint="eastAsia" w:cs="Times New Roman"/>
                <w:color w:val="auto"/>
                <w:szCs w:val="20"/>
                <w:highlight w:val="none"/>
                <w:lang w:val="en-US" w:eastAsia="zh-CN"/>
              </w:rPr>
              <w:t>、废布袋、</w:t>
            </w:r>
            <w:r>
              <w:rPr>
                <w:rFonts w:hint="eastAsia" w:cs="Times New Roman"/>
                <w:color w:val="auto"/>
                <w:szCs w:val="20"/>
                <w:highlight w:val="none"/>
                <w:lang w:val="en-US" w:eastAsia="zh-CN"/>
              </w:rPr>
              <w:t>废活性炭</w:t>
            </w:r>
            <w:r>
              <w:rPr>
                <w:rFonts w:hint="default" w:ascii="Times New Roman" w:hAnsi="Times New Roman" w:cs="Times New Roman"/>
                <w:color w:val="auto"/>
                <w:szCs w:val="20"/>
                <w:highlight w:val="none"/>
                <w:lang w:val="en-US" w:eastAsia="zh-CN"/>
              </w:rPr>
              <w:t>收集后暂存于危险废物贮存间，定期委托有资质单位处置；废油剂空桶由厂家回收，但贮存、运输等环节应按危险废物进行管理；含油抹布属于豁免项目，全过程不按危险废物管理，可混入生活垃圾一并委托环卫部门及时清运处理。危险废物贮存间30 m</w:t>
            </w:r>
            <w:r>
              <w:rPr>
                <w:rFonts w:hint="default" w:ascii="Times New Roman" w:hAnsi="Times New Roman" w:cs="Times New Roman"/>
                <w:color w:val="auto"/>
                <w:szCs w:val="20"/>
                <w:highlight w:val="none"/>
                <w:vertAlign w:val="superscript"/>
                <w:lang w:val="en-US" w:eastAsia="zh-CN"/>
              </w:rPr>
              <w:t>2</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验收落实情况，危险废物贮存间按《危险废物贮存污染控制标准》(GB18597-2001)及修改单要求进行设置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生活垃圾</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分类收集后，定期环卫部门清运处置</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1204" w:type="dxa"/>
            <w:vMerge w:val="continue"/>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p>
        </w:tc>
        <w:tc>
          <w:tcPr>
            <w:tcW w:w="2527" w:type="dxa"/>
            <w:gridSpan w:val="2"/>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（涤纶织物下脚料）</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应按</w:t>
            </w:r>
            <w:r>
              <w:rPr>
                <w:rFonts w:hint="default" w:ascii="Times New Roman" w:hAnsi="Times New Roman" w:cs="Times New Roman"/>
                <w:color w:val="auto"/>
                <w:szCs w:val="20"/>
                <w:highlight w:val="none"/>
              </w:rPr>
              <w:t>《一般工业固体废物贮存</w:t>
            </w:r>
            <w:r>
              <w:rPr>
                <w:rFonts w:hint="default" w:ascii="Times New Roman" w:hAnsi="Times New Roman" w:cs="Times New Roman"/>
                <w:color w:val="auto"/>
                <w:szCs w:val="20"/>
                <w:highlight w:val="none"/>
                <w:lang w:val="en-US" w:eastAsia="zh-CN"/>
              </w:rPr>
              <w:t>和填埋</w:t>
            </w:r>
            <w:r>
              <w:rPr>
                <w:rFonts w:hint="default" w:ascii="Times New Roman" w:hAnsi="Times New Roman" w:cs="Times New Roman"/>
                <w:color w:val="auto"/>
                <w:szCs w:val="20"/>
                <w:highlight w:val="none"/>
              </w:rPr>
              <w:t>污染控制标准》(GB18599-20</w:t>
            </w:r>
            <w:r>
              <w:rPr>
                <w:rFonts w:hint="default" w:ascii="Times New Roman" w:hAnsi="Times New Roman" w:cs="Times New Roman"/>
                <w:color w:val="auto"/>
                <w:szCs w:val="20"/>
                <w:highlight w:val="none"/>
                <w:lang w:val="en-US" w:eastAsia="zh-CN"/>
              </w:rPr>
              <w:t>20</w:t>
            </w:r>
            <w:r>
              <w:rPr>
                <w:rFonts w:hint="default" w:ascii="Times New Roman" w:hAnsi="Times New Roman" w:cs="Times New Roman"/>
                <w:color w:val="auto"/>
                <w:szCs w:val="20"/>
                <w:highlight w:val="none"/>
              </w:rPr>
              <w:t>)</w:t>
            </w:r>
            <w:r>
              <w:rPr>
                <w:rFonts w:hint="default" w:ascii="Times New Roman" w:hAnsi="Times New Roman" w:cs="Times New Roman"/>
                <w:color w:val="auto"/>
                <w:szCs w:val="20"/>
                <w:highlight w:val="none"/>
                <w:lang w:val="en-US" w:eastAsia="zh-CN"/>
              </w:rPr>
              <w:t>要求进行建设</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3731"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土壤、地下水污染防治措施</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按照规范要求进行分区防渗，厂区内下游设置1个地下水监测井，定期开展监测</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p>
        </w:tc>
        <w:tc>
          <w:tcPr>
            <w:tcW w:w="3731"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环境管理</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设立专门的环保机构，配备专职环保工作人员；建立日常环境管理制度和环境管理工作计划；加强环保设施运行管理维护，建立环保设施运行台账，确保环保设施正常运行及污染物稳定达标排放</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w:t>
            </w:r>
          </w:p>
        </w:tc>
        <w:tc>
          <w:tcPr>
            <w:tcW w:w="3731"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环境风险</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新建事故应急池1座</w:t>
            </w:r>
            <w:r>
              <w:rPr>
                <w:rFonts w:hint="default" w:ascii="Times New Roman" w:hAnsi="Times New Roman" w:cs="Times New Roman"/>
                <w:color w:val="auto"/>
                <w:sz w:val="21"/>
                <w:szCs w:val="21"/>
                <w:highlight w:val="none"/>
                <w:lang w:eastAsia="zh-CN"/>
              </w:rPr>
              <w:t>，容积为</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00</w:t>
            </w:r>
            <w:r>
              <w:rPr>
                <w:rFonts w:hint="default" w:ascii="Times New Roman" w:hAnsi="Times New Roman" w:cs="Times New Roman"/>
                <w:color w:val="auto"/>
                <w:sz w:val="21"/>
                <w:szCs w:val="21"/>
                <w:highlight w:val="none"/>
                <w:lang w:eastAsia="zh-CN"/>
              </w:rPr>
              <w:t xml:space="preserve"> 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应修编应急预案</w:t>
            </w:r>
            <w:r>
              <w:rPr>
                <w:rFonts w:hint="default" w:ascii="Times New Roman" w:hAnsi="Times New Roman" w:cs="Times New Roman"/>
                <w:color w:val="auto"/>
                <w:sz w:val="21"/>
                <w:szCs w:val="21"/>
                <w:highlight w:val="none"/>
              </w:rPr>
              <w:t>，并报</w:t>
            </w:r>
            <w:r>
              <w:rPr>
                <w:rFonts w:hint="default" w:ascii="Times New Roman" w:hAnsi="Times New Roman" w:cs="Times New Roman"/>
                <w:color w:val="auto"/>
                <w:sz w:val="21"/>
                <w:szCs w:val="21"/>
                <w:highlight w:val="none"/>
                <w:lang w:val="en-US" w:eastAsia="zh-CN"/>
              </w:rPr>
              <w:t>宁德市霞浦</w:t>
            </w:r>
            <w:r>
              <w:rPr>
                <w:rFonts w:hint="default" w:ascii="Times New Roman" w:hAnsi="Times New Roman" w:cs="Times New Roman"/>
                <w:color w:val="auto"/>
                <w:sz w:val="21"/>
                <w:szCs w:val="21"/>
                <w:highlight w:val="none"/>
              </w:rPr>
              <w:t>生态环境局备案</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3731"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自行监测</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REF _Ref12070 \n \h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表9.8-1</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REF _Ref12083 \n \h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表9.8-2</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定期开展环境自行监测计划</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3731" w:type="dxa"/>
            <w:gridSpan w:val="3"/>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现有工程“以新带老”设施</w:t>
            </w:r>
          </w:p>
        </w:tc>
        <w:tc>
          <w:tcPr>
            <w:tcW w:w="358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1号厂区危险废物贮存间尾气采用</w:t>
            </w:r>
            <w:r>
              <w:rPr>
                <w:rFonts w:hint="eastAsia"/>
                <w:color w:val="auto"/>
                <w:szCs w:val="20"/>
                <w:highlight w:val="none"/>
                <w:lang w:val="en-US" w:eastAsia="zh-CN"/>
              </w:rPr>
              <w:t>“活性炭吸附装置+15 m高排气筒（DA006）”的废气处理设施</w:t>
            </w:r>
          </w:p>
        </w:tc>
        <w:tc>
          <w:tcPr>
            <w:tcW w:w="6027" w:type="dxa"/>
            <w:tcBorders>
              <w:tl2br w:val="nil"/>
              <w:tr2bl w:val="nil"/>
            </w:tcBorders>
            <w:vAlign w:val="center"/>
          </w:tcPr>
          <w:p>
            <w:pPr>
              <w:pStyle w:val="21"/>
              <w:keepNext w:val="0"/>
              <w:keepLines w:val="0"/>
              <w:widowControl w:val="0"/>
              <w:suppressLineNumbers w:val="0"/>
              <w:bidi w:val="0"/>
              <w:spacing w:before="0" w:beforeAutospacing="0" w:after="0" w:afterAutospacing="0"/>
              <w:ind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验收落实情况</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非甲烷总烃排放执行</w:t>
            </w:r>
            <w:r>
              <w:rPr>
                <w:rFonts w:hint="default" w:ascii="Times New Roman" w:hAnsi="Times New Roman" w:eastAsia="宋体" w:cs="Times New Roman"/>
                <w:color w:val="auto"/>
                <w:kern w:val="2"/>
                <w:sz w:val="21"/>
                <w:szCs w:val="21"/>
                <w:highlight w:val="none"/>
                <w:lang w:val="en-US" w:eastAsia="zh-CN" w:bidi="ar-SA"/>
              </w:rPr>
              <w:t>《工业企业挥发性有机物排放标准》（DB35/1782-2018）</w:t>
            </w:r>
            <w:r>
              <w:rPr>
                <w:rFonts w:hint="eastAsia" w:cs="Times New Roman"/>
                <w:color w:val="auto"/>
                <w:kern w:val="2"/>
                <w:sz w:val="21"/>
                <w:szCs w:val="21"/>
                <w:highlight w:val="none"/>
                <w:lang w:val="en-US" w:eastAsia="zh-CN" w:bidi="ar-SA"/>
              </w:rPr>
              <w:t>表1排放限值（即：非甲烷总烃排放浓度100 mg/m</w:t>
            </w:r>
            <w:r>
              <w:rPr>
                <w:rFonts w:hint="eastAsia"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lang w:val="en-US" w:eastAsia="zh-CN" w:bidi="ar-SA"/>
              </w:rPr>
              <w:t>，排放速率1.8 kg/h）</w:t>
            </w:r>
          </w:p>
        </w:tc>
      </w:tr>
    </w:tbl>
    <w:p>
      <w:pPr>
        <w:rPr>
          <w:rFonts w:hint="default" w:ascii="Times New Roman" w:hAnsi="Times New Roman" w:cs="Times New Roman"/>
          <w:color w:val="auto"/>
          <w:highlight w:val="none"/>
          <w:lang w:val="en-US" w:eastAsia="zh-CN"/>
        </w:rPr>
      </w:pPr>
    </w:p>
    <w:p>
      <w:pPr>
        <w:rPr>
          <w:rFonts w:hint="default" w:ascii="Times New Roman" w:hAnsi="Times New Roman" w:cs="Times New Roman"/>
          <w:color w:val="auto"/>
          <w:highlight w:val="none"/>
          <w:lang w:val="en-US" w:eastAsia="zh-CN"/>
        </w:rPr>
        <w:sectPr>
          <w:pgSz w:w="16838" w:h="11906" w:orient="landscape"/>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3"/>
        <w:numPr>
          <w:ilvl w:val="1"/>
          <w:numId w:val="12"/>
        </w:numPr>
        <w:bidi w:val="0"/>
        <w:rPr>
          <w:rFonts w:hint="default" w:ascii="Times New Roman" w:hAnsi="Times New Roman" w:cs="Times New Roman"/>
          <w:color w:val="auto"/>
          <w:highlight w:val="none"/>
          <w:lang w:val="en-US" w:eastAsia="zh-CN"/>
        </w:rPr>
      </w:pPr>
      <w:bookmarkStart w:id="736" w:name="_Toc17773"/>
      <w:bookmarkStart w:id="737" w:name="_Toc11995"/>
      <w:bookmarkStart w:id="738" w:name="_Toc25136"/>
      <w:bookmarkStart w:id="739" w:name="_Toc24986"/>
      <w:r>
        <w:rPr>
          <w:rFonts w:hint="default" w:ascii="Times New Roman" w:hAnsi="Times New Roman" w:cs="Times New Roman"/>
          <w:color w:val="auto"/>
          <w:highlight w:val="none"/>
          <w:lang w:val="en-US" w:eastAsia="zh-CN"/>
        </w:rPr>
        <w:t>结论与建议</w:t>
      </w:r>
      <w:bookmarkEnd w:id="736"/>
      <w:bookmarkEnd w:id="737"/>
      <w:bookmarkEnd w:id="738"/>
      <w:bookmarkEnd w:id="739"/>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总结论</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综上所述，福建闽宏纤维</w:t>
      </w:r>
      <w:r>
        <w:rPr>
          <w:rFonts w:hint="default" w:ascii="Times New Roman" w:hAnsi="Times New Roman" w:cs="Times New Roman"/>
          <w:color w:val="auto"/>
          <w:highlight w:val="none"/>
        </w:rPr>
        <w:t>有限公司</w:t>
      </w:r>
      <w:r>
        <w:rPr>
          <w:rFonts w:hint="default" w:ascii="Times New Roman" w:hAnsi="Times New Roman" w:cs="Times New Roman"/>
          <w:color w:val="auto"/>
          <w:highlight w:val="none"/>
          <w:lang w:val="en-US" w:eastAsia="zh-CN"/>
        </w:rPr>
        <w:t>年产5万吨PET再生纤维生产线项目</w:t>
      </w:r>
      <w:r>
        <w:rPr>
          <w:rFonts w:hint="default" w:ascii="Times New Roman" w:hAnsi="Times New Roman" w:cs="Times New Roman"/>
          <w:color w:val="auto"/>
          <w:highlight w:val="none"/>
          <w:lang w:eastAsia="zh-CN"/>
        </w:rPr>
        <w:t>符合国家产业政策，选址合理可行，符合“三线一单”管控要求，符合清洁生产的要求，</w:t>
      </w:r>
      <w:r>
        <w:rPr>
          <w:rFonts w:hint="default" w:ascii="Times New Roman" w:hAnsi="Times New Roman" w:cs="Times New Roman"/>
          <w:color w:val="auto"/>
          <w:highlight w:val="none"/>
          <w:lang w:val="en-US" w:eastAsia="zh-CN"/>
        </w:rPr>
        <w:t>符合《宁德市霞浦县牙城镇东洋工业园区控制性详细规划》及审查意见要求</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扩</w:t>
      </w:r>
      <w:r>
        <w:rPr>
          <w:rFonts w:hint="default" w:ascii="Times New Roman" w:hAnsi="Times New Roman" w:cs="Times New Roman"/>
          <w:color w:val="auto"/>
          <w:highlight w:val="none"/>
          <w:lang w:val="en-US" w:eastAsia="zh-CN"/>
        </w:rPr>
        <w:t>工程实施</w:t>
      </w:r>
      <w:r>
        <w:rPr>
          <w:rFonts w:hint="default" w:ascii="Times New Roman" w:hAnsi="Times New Roman" w:cs="Times New Roman"/>
          <w:color w:val="auto"/>
          <w:highlight w:val="none"/>
          <w:lang w:eastAsia="zh-CN"/>
        </w:rPr>
        <w:t>后，</w:t>
      </w:r>
      <w:r>
        <w:rPr>
          <w:rFonts w:hint="default" w:ascii="Times New Roman" w:hAnsi="Times New Roman" w:cs="Times New Roman"/>
          <w:color w:val="auto"/>
          <w:highlight w:val="none"/>
        </w:rPr>
        <w:t>在严格落实国家有关法律法规、技术规范及相关环保措施，落实各项环境风险防范措施，确保污染物排放总量控制在经环保行政主管部门核定的范围内，污染物达标排放的前提下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对周边环境影响较小，从环境保护的角度分析，该项目的建设是可行的。</w:t>
      </w:r>
    </w:p>
    <w:p>
      <w:pPr>
        <w:pStyle w:val="4"/>
        <w:numPr>
          <w:ilvl w:val="2"/>
          <w:numId w:val="12"/>
        </w:numPr>
        <w:tabs>
          <w:tab w:val="left" w:pos="42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建议</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（1）建设单位要加强环境管理，设专门的环保机构和人员，定期对环保设施进行检查和维护，确保其长期在正常状态下运行，杜绝发生污染事故，并严格</w:t>
      </w:r>
      <w:r>
        <w:rPr>
          <w:rFonts w:hint="eastAsia" w:cs="Times New Roman"/>
          <w:color w:val="auto"/>
          <w:highlight w:val="none"/>
          <w:lang w:val="en-US" w:eastAsia="zh-CN"/>
        </w:rPr>
        <w:t>接受</w:t>
      </w:r>
      <w:r>
        <w:rPr>
          <w:rFonts w:hint="default" w:ascii="Times New Roman" w:hAnsi="Times New Roman" w:cs="Times New Roman"/>
          <w:color w:val="auto"/>
          <w:highlight w:val="none"/>
          <w:lang w:val="en-US" w:eastAsia="zh-CN"/>
        </w:rPr>
        <w:t>环境保护主管部门的日常监督管理；确保污染物稳定达标排放、资源利用、环境保护等指标符合相应的要求。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eastAsia="F1" w:cs="Times New Roman"/>
          <w:color w:val="auto"/>
          <w:kern w:val="0"/>
          <w:sz w:val="24"/>
          <w:szCs w:val="24"/>
          <w:highlight w:val="none"/>
          <w:lang w:val="en-US" w:eastAsia="zh-CN" w:bidi="ar"/>
        </w:rPr>
        <w:t>加大宣传力度，处理好项目与周围群众的关系。</w:t>
      </w:r>
    </w:p>
    <w:sectPr>
      <w:pgSz w:w="11906" w:h="16838"/>
      <w:pgMar w:top="1417" w:right="1417" w:bottom="1417" w:left="1417"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宋体u.砸.葷.">
    <w:altName w:val="宋体"/>
    <w:panose1 w:val="00000000000000000000"/>
    <w:charset w:val="86"/>
    <w:family w:val="roman"/>
    <w:pitch w:val="default"/>
    <w:sig w:usb0="00000000" w:usb1="00000000" w:usb2="00000010" w:usb3="00000000" w:csb0="00040000" w:csb1="00000000"/>
  </w:font>
  <w:font w:name="Wingdings 2">
    <w:panose1 w:val="05020102010507070707"/>
    <w:charset w:val="02"/>
    <w:family w:val="auto"/>
    <w:pitch w:val="default"/>
    <w:sig w:usb0="00000000" w:usb1="00000000" w:usb2="00000000" w:usb3="00000000" w:csb0="80000000" w:csb1="00000000"/>
  </w:font>
  <w:font w:name="F1">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keepNext w:val="0"/>
                            <w:keepLines w:val="0"/>
                            <w:pageBreakBefore w:val="0"/>
                            <w:widowControl w:val="0"/>
                            <w:kinsoku/>
                            <w:wordWrap/>
                            <w:overflowPunct/>
                            <w:topLinePunct w:val="0"/>
                            <w:autoSpaceDE/>
                            <w:autoSpaceDN/>
                            <w:bidi w:val="0"/>
                            <w:adjustRightInd/>
                            <w:snapToGrid w:val="0"/>
                            <w:ind w:firstLine="0" w:firstLineChars="0"/>
                            <w:jc w:val="center"/>
                            <w:textAlignment w:val="auto"/>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13"/>
                      <w:keepNext w:val="0"/>
                      <w:keepLines w:val="0"/>
                      <w:pageBreakBefore w:val="0"/>
                      <w:widowControl w:val="0"/>
                      <w:kinsoku/>
                      <w:wordWrap/>
                      <w:overflowPunct/>
                      <w:topLinePunct w:val="0"/>
                      <w:autoSpaceDE/>
                      <w:autoSpaceDN/>
                      <w:bidi w:val="0"/>
                      <w:adjustRightInd/>
                      <w:snapToGrid w:val="0"/>
                      <w:ind w:firstLine="0" w:firstLineChars="0"/>
                      <w:jc w:val="center"/>
                      <w:textAlignment w:val="auto"/>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keepNext w:val="0"/>
                            <w:keepLines w:val="0"/>
                            <w:pageBreakBefore w:val="0"/>
                            <w:widowControl w:val="0"/>
                            <w:kinsoku/>
                            <w:wordWrap/>
                            <w:overflowPunct/>
                            <w:topLinePunct w:val="0"/>
                            <w:autoSpaceDE/>
                            <w:autoSpaceDN/>
                            <w:bidi w:val="0"/>
                            <w:adjustRightInd/>
                            <w:snapToGrid w:val="0"/>
                            <w:ind w:firstLine="0" w:firstLineChars="0"/>
                            <w:textAlignment w:val="auto"/>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pPr>
                      <w:pStyle w:val="13"/>
                      <w:keepNext w:val="0"/>
                      <w:keepLines w:val="0"/>
                      <w:pageBreakBefore w:val="0"/>
                      <w:widowControl w:val="0"/>
                      <w:kinsoku/>
                      <w:wordWrap/>
                      <w:overflowPunct/>
                      <w:topLinePunct w:val="0"/>
                      <w:autoSpaceDE/>
                      <w:autoSpaceDN/>
                      <w:bidi w:val="0"/>
                      <w:adjustRightInd/>
                      <w:snapToGrid w:val="0"/>
                      <w:ind w:firstLine="0" w:firstLineChars="0"/>
                      <w:textAlignment w:val="auto"/>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8AB0DB"/>
    <w:multiLevelType w:val="singleLevel"/>
    <w:tmpl w:val="A08AB0DB"/>
    <w:lvl w:ilvl="0" w:tentative="0">
      <w:start w:val="3"/>
      <w:numFmt w:val="decimal"/>
      <w:suff w:val="nothing"/>
      <w:lvlText w:val="（%1）"/>
      <w:lvlJc w:val="left"/>
    </w:lvl>
  </w:abstractNum>
  <w:abstractNum w:abstractNumId="1">
    <w:nsid w:val="F8E595D9"/>
    <w:multiLevelType w:val="singleLevel"/>
    <w:tmpl w:val="F8E595D9"/>
    <w:lvl w:ilvl="0" w:tentative="0">
      <w:start w:val="1"/>
      <w:numFmt w:val="upperLetter"/>
      <w:lvlText w:val="%1."/>
      <w:lvlJc w:val="left"/>
      <w:pPr>
        <w:tabs>
          <w:tab w:val="left" w:pos="312"/>
        </w:tabs>
      </w:pPr>
    </w:lvl>
  </w:abstractNum>
  <w:abstractNum w:abstractNumId="2">
    <w:nsid w:val="10F1F188"/>
    <w:multiLevelType w:val="multilevel"/>
    <w:tmpl w:val="10F1F188"/>
    <w:lvl w:ilvl="0" w:tentative="0">
      <w:start w:val="1"/>
      <w:numFmt w:val="decimal"/>
      <w:isLgl/>
      <w:suff w:val="space"/>
      <w:lvlText w:val="第%1章 "/>
      <w:lvlJc w:val="left"/>
      <w:pPr>
        <w:tabs>
          <w:tab w:val="left" w:pos="0"/>
        </w:tabs>
        <w:ind w:left="0" w:leftChars="0" w:firstLine="0" w:firstLineChars="0"/>
      </w:pPr>
      <w:rPr>
        <w:rFonts w:hint="default" w:ascii="宋体" w:hAnsi="宋体" w:eastAsia="宋体" w:cs="宋体"/>
      </w:rPr>
    </w:lvl>
    <w:lvl w:ilvl="1" w:tentative="0">
      <w:start w:val="1"/>
      <w:numFmt w:val="decimal"/>
      <w:isLgl/>
      <w:suff w:val="space"/>
      <w:lvlText w:val="%1.%2"/>
      <w:lvlJc w:val="left"/>
      <w:pPr>
        <w:tabs>
          <w:tab w:val="left" w:pos="420"/>
        </w:tabs>
        <w:ind w:left="0" w:leftChars="0" w:firstLine="0" w:firstLineChars="0"/>
      </w:pPr>
      <w:rPr>
        <w:rFonts w:hint="default" w:ascii="宋体" w:hAnsi="宋体" w:eastAsia="宋体" w:cs="宋体"/>
      </w:rPr>
    </w:lvl>
    <w:lvl w:ilvl="2" w:tentative="0">
      <w:start w:val="1"/>
      <w:numFmt w:val="decimal"/>
      <w:isLgl/>
      <w:suff w:val="space"/>
      <w:lvlText w:val="%1.%2.%3"/>
      <w:lvlJc w:val="left"/>
      <w:pPr>
        <w:tabs>
          <w:tab w:val="left" w:pos="420"/>
        </w:tabs>
        <w:ind w:left="0" w:leftChars="0" w:firstLine="0" w:firstLineChars="0"/>
      </w:pPr>
      <w:rPr>
        <w:rFonts w:hint="default" w:ascii="宋体" w:hAnsi="宋体" w:eastAsia="宋体" w:cs="宋体"/>
      </w:rPr>
    </w:lvl>
    <w:lvl w:ilvl="3" w:tentative="0">
      <w:start w:val="1"/>
      <w:numFmt w:val="decimal"/>
      <w:isLgl/>
      <w:suff w:val="space"/>
      <w:lvlText w:val="%1.%2.%3.%4"/>
      <w:lvlJc w:val="left"/>
      <w:pPr>
        <w:tabs>
          <w:tab w:val="left" w:pos="420"/>
        </w:tabs>
        <w:ind w:left="0" w:leftChars="0" w:firstLine="0" w:firstLineChars="0"/>
      </w:pPr>
      <w:rPr>
        <w:rFonts w:hint="default" w:ascii="宋体" w:hAnsi="宋体" w:eastAsia="宋体" w:cs="宋体"/>
      </w:rPr>
    </w:lvl>
    <w:lvl w:ilvl="4" w:tentative="0">
      <w:start w:val="1"/>
      <w:numFmt w:val="decimal"/>
      <w:isLgl/>
      <w:lvlText w:val="%1.%2.%3.%4.%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3">
    <w:nsid w:val="2A8E815E"/>
    <w:multiLevelType w:val="singleLevel"/>
    <w:tmpl w:val="2A8E815E"/>
    <w:lvl w:ilvl="0" w:tentative="0">
      <w:start w:val="3"/>
      <w:numFmt w:val="decimal"/>
      <w:suff w:val="nothing"/>
      <w:lvlText w:val="（%1）"/>
      <w:lvlJc w:val="left"/>
    </w:lvl>
  </w:abstractNum>
  <w:abstractNum w:abstractNumId="4">
    <w:nsid w:val="59974A52"/>
    <w:multiLevelType w:val="multilevel"/>
    <w:tmpl w:val="59974A52"/>
    <w:lvl w:ilvl="0" w:tentative="0">
      <w:start w:val="1"/>
      <w:numFmt w:val="decimal"/>
      <w:pStyle w:val="2"/>
      <w:suff w:val="nothing"/>
      <w:lvlText w:val="第%1章 "/>
      <w:lvlJc w:val="left"/>
      <w:pPr>
        <w:tabs>
          <w:tab w:val="left" w:pos="0"/>
        </w:tabs>
        <w:ind w:left="0" w:leftChars="0" w:firstLine="0" w:firstLineChars="0"/>
      </w:pPr>
      <w:rPr>
        <w:rFonts w:hint="default" w:ascii="Times New Roman" w:hAnsi="Times New Roman" w:eastAsia="宋体" w:cs="宋体"/>
      </w:rPr>
    </w:lvl>
    <w:lvl w:ilvl="1" w:tentative="0">
      <w:start w:val="1"/>
      <w:numFmt w:val="decimal"/>
      <w:pStyle w:val="3"/>
      <w:isLgl/>
      <w:suff w:val="space"/>
      <w:lvlText w:val="%1.%2"/>
      <w:lvlJc w:val="left"/>
      <w:pPr>
        <w:tabs>
          <w:tab w:val="left" w:pos="420"/>
        </w:tabs>
        <w:ind w:left="0" w:leftChars="0" w:firstLine="0" w:firstLineChars="0"/>
      </w:pPr>
      <w:rPr>
        <w:rFonts w:hint="default" w:ascii="Times New Roman" w:hAnsi="Times New Roman" w:eastAsia="宋体" w:cs="宋体"/>
      </w:rPr>
    </w:lvl>
    <w:lvl w:ilvl="2" w:tentative="0">
      <w:start w:val="1"/>
      <w:numFmt w:val="decimal"/>
      <w:pStyle w:val="4"/>
      <w:isLgl/>
      <w:suff w:val="space"/>
      <w:lvlText w:val="%1.%2.%3"/>
      <w:lvlJc w:val="left"/>
      <w:pPr>
        <w:tabs>
          <w:tab w:val="left" w:pos="420"/>
        </w:tabs>
        <w:ind w:left="567" w:leftChars="0" w:hanging="567" w:firstLineChars="0"/>
      </w:pPr>
      <w:rPr>
        <w:rFonts w:hint="default" w:ascii="Times New Roman" w:hAnsi="Times New Roman" w:eastAsia="宋体" w:cs="宋体"/>
      </w:rPr>
    </w:lvl>
    <w:lvl w:ilvl="3" w:tentative="0">
      <w:start w:val="1"/>
      <w:numFmt w:val="decimal"/>
      <w:pStyle w:val="5"/>
      <w:isLgl/>
      <w:suff w:val="space"/>
      <w:lvlText w:val="%1.%2.%3.%4"/>
      <w:lvlJc w:val="left"/>
      <w:pPr>
        <w:tabs>
          <w:tab w:val="left" w:pos="420"/>
        </w:tabs>
        <w:ind w:left="0" w:leftChars="0" w:firstLine="0" w:firstLineChars="0"/>
      </w:pPr>
      <w:rPr>
        <w:rFonts w:hint="default" w:ascii="Times New Roman" w:hAnsi="Times New Roman" w:eastAsia="宋体" w:cs="宋体"/>
      </w:rPr>
    </w:lvl>
    <w:lvl w:ilvl="4" w:tentative="0">
      <w:start w:val="1"/>
      <w:numFmt w:val="decimal"/>
      <w:pStyle w:val="6"/>
      <w:lvlText w:val="(%5)"/>
      <w:lvlJc w:val="left"/>
      <w:pPr>
        <w:ind w:left="0" w:leftChars="0" w:firstLine="0" w:firstLineChars="0"/>
      </w:pPr>
      <w:rPr>
        <w:rFonts w:hint="default" w:ascii="Times New Roman" w:hAnsi="Times New Roman" w:eastAsia="宋体" w:cs="宋体"/>
      </w:rPr>
    </w:lvl>
    <w:lvl w:ilvl="5" w:tentative="0">
      <w:start w:val="1"/>
      <w:numFmt w:val="decimalEnclosedCircleChinese"/>
      <w:pStyle w:val="7"/>
      <w:lvlText w:val="%6"/>
      <w:lvlJc w:val="left"/>
      <w:pPr>
        <w:tabs>
          <w:tab w:val="left" w:pos="420"/>
        </w:tabs>
        <w:ind w:left="0" w:leftChars="0" w:firstLine="0" w:firstLineChars="0"/>
      </w:pPr>
      <w:rPr>
        <w:rFonts w:hint="eastAsia" w:ascii="宋体" w:hAnsi="宋体" w:eastAsia="宋体" w:cs="宋体"/>
      </w:rPr>
    </w:lvl>
    <w:lvl w:ilvl="6" w:tentative="0">
      <w:start w:val="1"/>
      <w:numFmt w:val="decimal"/>
      <w:lvlRestart w:val="2"/>
      <w:pStyle w:val="24"/>
      <w:suff w:val="space"/>
      <w:lvlText w:val="表%1.%2-%7 "/>
      <w:lvlJc w:val="left"/>
      <w:pPr>
        <w:tabs>
          <w:tab w:val="left" w:pos="420"/>
        </w:tabs>
        <w:ind w:left="1296" w:hanging="1296"/>
      </w:pPr>
      <w:rPr>
        <w:rFonts w:hint="default" w:ascii="Times New Roman" w:hAnsi="Times New Roman" w:eastAsia="宋体" w:cs="宋体"/>
      </w:rPr>
    </w:lvl>
    <w:lvl w:ilvl="7" w:tentative="0">
      <w:start w:val="1"/>
      <w:numFmt w:val="decimal"/>
      <w:lvlRestart w:val="2"/>
      <w:pStyle w:val="22"/>
      <w:suff w:val="space"/>
      <w:lvlText w:val="图%1.%2-%8 "/>
      <w:lvlJc w:val="left"/>
      <w:pPr>
        <w:tabs>
          <w:tab w:val="left" w:pos="420"/>
        </w:tabs>
        <w:ind w:left="1440" w:hanging="1440"/>
      </w:pPr>
      <w:rPr>
        <w:rFonts w:hint="default" w:ascii="Times New Roman" w:hAnsi="Times New Roman" w:eastAsia="宋体" w:cs="宋体"/>
      </w:rPr>
    </w:lvl>
    <w:lvl w:ilvl="8" w:tentative="0">
      <w:start w:val="1"/>
      <w:numFmt w:val="decimal"/>
      <w:pStyle w:val="10"/>
      <w:isLgl/>
      <w:lvlText w:val="%1.%2.%3.%4.%5.%6.%7.%8.%9."/>
      <w:lvlJc w:val="left"/>
      <w:pPr>
        <w:ind w:left="1583" w:hanging="1583"/>
      </w:pPr>
      <w:rPr>
        <w:rFonts w:hint="eastAsia"/>
      </w:rPr>
    </w:lvl>
  </w:abstractNum>
  <w:num w:numId="1">
    <w:abstractNumId w:val="4"/>
  </w:num>
  <w:num w:numId="2">
    <w:abstractNumId w:val="2"/>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
  </w:num>
  <w:num w:numId="10">
    <w:abstractNumId w:val="0"/>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18E184B"/>
    <w:rsid w:val="001F4AD0"/>
    <w:rsid w:val="00305CD5"/>
    <w:rsid w:val="00347098"/>
    <w:rsid w:val="00387F89"/>
    <w:rsid w:val="00416274"/>
    <w:rsid w:val="007C02F3"/>
    <w:rsid w:val="00AB477C"/>
    <w:rsid w:val="00C82353"/>
    <w:rsid w:val="00CA346A"/>
    <w:rsid w:val="00CD4002"/>
    <w:rsid w:val="00F57928"/>
    <w:rsid w:val="00F70F11"/>
    <w:rsid w:val="01353F77"/>
    <w:rsid w:val="014B62BC"/>
    <w:rsid w:val="01545B2F"/>
    <w:rsid w:val="01644A66"/>
    <w:rsid w:val="017509D3"/>
    <w:rsid w:val="017910CA"/>
    <w:rsid w:val="019A6A84"/>
    <w:rsid w:val="01AB0835"/>
    <w:rsid w:val="01DC5606"/>
    <w:rsid w:val="01E3477C"/>
    <w:rsid w:val="01E9226B"/>
    <w:rsid w:val="020915A8"/>
    <w:rsid w:val="020C570D"/>
    <w:rsid w:val="0247794C"/>
    <w:rsid w:val="024A5930"/>
    <w:rsid w:val="025A2334"/>
    <w:rsid w:val="0260526C"/>
    <w:rsid w:val="028713F8"/>
    <w:rsid w:val="029B2BBE"/>
    <w:rsid w:val="02B51562"/>
    <w:rsid w:val="02E87EED"/>
    <w:rsid w:val="02F13F6D"/>
    <w:rsid w:val="02F922B2"/>
    <w:rsid w:val="03107366"/>
    <w:rsid w:val="033D03F5"/>
    <w:rsid w:val="03594488"/>
    <w:rsid w:val="03B22972"/>
    <w:rsid w:val="03B808D0"/>
    <w:rsid w:val="03E5706A"/>
    <w:rsid w:val="03E64143"/>
    <w:rsid w:val="03E80483"/>
    <w:rsid w:val="03EA2D84"/>
    <w:rsid w:val="03EE6E51"/>
    <w:rsid w:val="03F61C3C"/>
    <w:rsid w:val="04295BCF"/>
    <w:rsid w:val="04323FAD"/>
    <w:rsid w:val="04367BB4"/>
    <w:rsid w:val="0439382A"/>
    <w:rsid w:val="043B2446"/>
    <w:rsid w:val="044661F0"/>
    <w:rsid w:val="046E64FB"/>
    <w:rsid w:val="0476698F"/>
    <w:rsid w:val="0488324D"/>
    <w:rsid w:val="049806DF"/>
    <w:rsid w:val="04B576B0"/>
    <w:rsid w:val="04B65CB5"/>
    <w:rsid w:val="04F4271B"/>
    <w:rsid w:val="050241E5"/>
    <w:rsid w:val="05194024"/>
    <w:rsid w:val="051C00C7"/>
    <w:rsid w:val="056301AE"/>
    <w:rsid w:val="05915F18"/>
    <w:rsid w:val="05C471E8"/>
    <w:rsid w:val="05CE393B"/>
    <w:rsid w:val="05DC66AA"/>
    <w:rsid w:val="05DD2713"/>
    <w:rsid w:val="05F13E0F"/>
    <w:rsid w:val="05F32EAF"/>
    <w:rsid w:val="06037872"/>
    <w:rsid w:val="061D16E3"/>
    <w:rsid w:val="063D241F"/>
    <w:rsid w:val="06500F09"/>
    <w:rsid w:val="067A59EF"/>
    <w:rsid w:val="067D77EB"/>
    <w:rsid w:val="068E3F28"/>
    <w:rsid w:val="06B1520B"/>
    <w:rsid w:val="06C41AC6"/>
    <w:rsid w:val="06D270E6"/>
    <w:rsid w:val="06E35E6D"/>
    <w:rsid w:val="06FB2A11"/>
    <w:rsid w:val="07094658"/>
    <w:rsid w:val="07173322"/>
    <w:rsid w:val="07296236"/>
    <w:rsid w:val="07356E84"/>
    <w:rsid w:val="074E030D"/>
    <w:rsid w:val="075272A3"/>
    <w:rsid w:val="07CC17CE"/>
    <w:rsid w:val="07E36C10"/>
    <w:rsid w:val="07F90114"/>
    <w:rsid w:val="08044F60"/>
    <w:rsid w:val="080D404D"/>
    <w:rsid w:val="082E743C"/>
    <w:rsid w:val="08322BD2"/>
    <w:rsid w:val="08426FE3"/>
    <w:rsid w:val="084352F0"/>
    <w:rsid w:val="084C4607"/>
    <w:rsid w:val="086316D3"/>
    <w:rsid w:val="087879F0"/>
    <w:rsid w:val="089A2A5B"/>
    <w:rsid w:val="089B0F14"/>
    <w:rsid w:val="08A347A3"/>
    <w:rsid w:val="08B92D4A"/>
    <w:rsid w:val="08C2547D"/>
    <w:rsid w:val="08EA0FDA"/>
    <w:rsid w:val="08ED0900"/>
    <w:rsid w:val="08F26411"/>
    <w:rsid w:val="09036FED"/>
    <w:rsid w:val="09092007"/>
    <w:rsid w:val="090E4B5B"/>
    <w:rsid w:val="091F512B"/>
    <w:rsid w:val="09600B52"/>
    <w:rsid w:val="096503CE"/>
    <w:rsid w:val="09736702"/>
    <w:rsid w:val="097E3588"/>
    <w:rsid w:val="09947A0B"/>
    <w:rsid w:val="099B42E7"/>
    <w:rsid w:val="099C7510"/>
    <w:rsid w:val="09BA0FB2"/>
    <w:rsid w:val="09C73C1F"/>
    <w:rsid w:val="09CC1A27"/>
    <w:rsid w:val="09CF17C9"/>
    <w:rsid w:val="09D25F31"/>
    <w:rsid w:val="09DF27C8"/>
    <w:rsid w:val="09E81438"/>
    <w:rsid w:val="0A363B12"/>
    <w:rsid w:val="0A4C39AA"/>
    <w:rsid w:val="0A5B1653"/>
    <w:rsid w:val="0A6F3FC1"/>
    <w:rsid w:val="0AA37167"/>
    <w:rsid w:val="0AAB28D8"/>
    <w:rsid w:val="0AB82D97"/>
    <w:rsid w:val="0ABC60CD"/>
    <w:rsid w:val="0AF13A26"/>
    <w:rsid w:val="0B500179"/>
    <w:rsid w:val="0B5B083B"/>
    <w:rsid w:val="0B607F54"/>
    <w:rsid w:val="0B8A51D5"/>
    <w:rsid w:val="0B911B99"/>
    <w:rsid w:val="0B9A4A88"/>
    <w:rsid w:val="0BB141B2"/>
    <w:rsid w:val="0BCB2482"/>
    <w:rsid w:val="0BD765DF"/>
    <w:rsid w:val="0BE6225F"/>
    <w:rsid w:val="0BFA3F23"/>
    <w:rsid w:val="0C1C11B8"/>
    <w:rsid w:val="0C240A14"/>
    <w:rsid w:val="0C972B5B"/>
    <w:rsid w:val="0CAC7E71"/>
    <w:rsid w:val="0CB864D4"/>
    <w:rsid w:val="0CCD47A9"/>
    <w:rsid w:val="0CE363B0"/>
    <w:rsid w:val="0D014702"/>
    <w:rsid w:val="0D026624"/>
    <w:rsid w:val="0D1E0734"/>
    <w:rsid w:val="0D5F3CC9"/>
    <w:rsid w:val="0D671E03"/>
    <w:rsid w:val="0D8F451E"/>
    <w:rsid w:val="0DE122B9"/>
    <w:rsid w:val="0DE30799"/>
    <w:rsid w:val="0E0249A2"/>
    <w:rsid w:val="0E07270A"/>
    <w:rsid w:val="0E1765FD"/>
    <w:rsid w:val="0E6150B5"/>
    <w:rsid w:val="0E66047D"/>
    <w:rsid w:val="0E7D0E50"/>
    <w:rsid w:val="0EB90F48"/>
    <w:rsid w:val="0EBC04B5"/>
    <w:rsid w:val="0EDF7D61"/>
    <w:rsid w:val="0EF6598D"/>
    <w:rsid w:val="0EFB41F4"/>
    <w:rsid w:val="0F2A1E80"/>
    <w:rsid w:val="0F3D5480"/>
    <w:rsid w:val="0F4E07B2"/>
    <w:rsid w:val="0F546DFA"/>
    <w:rsid w:val="0F5625F7"/>
    <w:rsid w:val="0F744387"/>
    <w:rsid w:val="0F7B7B45"/>
    <w:rsid w:val="0F7D7FBE"/>
    <w:rsid w:val="0F8D06EA"/>
    <w:rsid w:val="0F923B3E"/>
    <w:rsid w:val="0F9A4DD9"/>
    <w:rsid w:val="0FE036D4"/>
    <w:rsid w:val="0FE60D3B"/>
    <w:rsid w:val="0FE7141C"/>
    <w:rsid w:val="105428CF"/>
    <w:rsid w:val="106D3079"/>
    <w:rsid w:val="107C5BFF"/>
    <w:rsid w:val="107F280B"/>
    <w:rsid w:val="10865056"/>
    <w:rsid w:val="109D72CB"/>
    <w:rsid w:val="10B30AF0"/>
    <w:rsid w:val="10E01D7A"/>
    <w:rsid w:val="10EC2157"/>
    <w:rsid w:val="10F112A0"/>
    <w:rsid w:val="10F601C6"/>
    <w:rsid w:val="10F605D3"/>
    <w:rsid w:val="1147187F"/>
    <w:rsid w:val="11691417"/>
    <w:rsid w:val="116B09BD"/>
    <w:rsid w:val="11832372"/>
    <w:rsid w:val="118A5268"/>
    <w:rsid w:val="118B0BC2"/>
    <w:rsid w:val="11A46D62"/>
    <w:rsid w:val="11A74BB6"/>
    <w:rsid w:val="11AB6354"/>
    <w:rsid w:val="11E71C46"/>
    <w:rsid w:val="120712C2"/>
    <w:rsid w:val="120D3343"/>
    <w:rsid w:val="121C3F9A"/>
    <w:rsid w:val="122523D3"/>
    <w:rsid w:val="12294A28"/>
    <w:rsid w:val="12383DD7"/>
    <w:rsid w:val="123C2130"/>
    <w:rsid w:val="12505FC2"/>
    <w:rsid w:val="125D36B6"/>
    <w:rsid w:val="12927299"/>
    <w:rsid w:val="12BF02E4"/>
    <w:rsid w:val="12C21864"/>
    <w:rsid w:val="12C52882"/>
    <w:rsid w:val="12CF5D52"/>
    <w:rsid w:val="12E9638D"/>
    <w:rsid w:val="1306062A"/>
    <w:rsid w:val="13093560"/>
    <w:rsid w:val="13094012"/>
    <w:rsid w:val="13141008"/>
    <w:rsid w:val="136331C5"/>
    <w:rsid w:val="137A429D"/>
    <w:rsid w:val="138B30B3"/>
    <w:rsid w:val="1396216F"/>
    <w:rsid w:val="13A02395"/>
    <w:rsid w:val="13AD093D"/>
    <w:rsid w:val="13DD464F"/>
    <w:rsid w:val="13F36620"/>
    <w:rsid w:val="13F86B79"/>
    <w:rsid w:val="141704CA"/>
    <w:rsid w:val="1420538F"/>
    <w:rsid w:val="14261F09"/>
    <w:rsid w:val="142F6852"/>
    <w:rsid w:val="143C644A"/>
    <w:rsid w:val="144239CC"/>
    <w:rsid w:val="1445358E"/>
    <w:rsid w:val="14591520"/>
    <w:rsid w:val="145E68C4"/>
    <w:rsid w:val="148922FD"/>
    <w:rsid w:val="1497750A"/>
    <w:rsid w:val="14B17EDE"/>
    <w:rsid w:val="14B90A7F"/>
    <w:rsid w:val="14C92AF0"/>
    <w:rsid w:val="14D91CB2"/>
    <w:rsid w:val="14D94A56"/>
    <w:rsid w:val="14E4049E"/>
    <w:rsid w:val="14E56A0B"/>
    <w:rsid w:val="14ED13A5"/>
    <w:rsid w:val="14F11390"/>
    <w:rsid w:val="14FB7D36"/>
    <w:rsid w:val="14FD6D15"/>
    <w:rsid w:val="15174FAA"/>
    <w:rsid w:val="152422AE"/>
    <w:rsid w:val="152431CD"/>
    <w:rsid w:val="152674E7"/>
    <w:rsid w:val="152D1468"/>
    <w:rsid w:val="1588063C"/>
    <w:rsid w:val="158C48B0"/>
    <w:rsid w:val="15C56446"/>
    <w:rsid w:val="15C56D34"/>
    <w:rsid w:val="15E57D72"/>
    <w:rsid w:val="15E8055A"/>
    <w:rsid w:val="16092C34"/>
    <w:rsid w:val="161372CA"/>
    <w:rsid w:val="16326939"/>
    <w:rsid w:val="1653165D"/>
    <w:rsid w:val="16592AB4"/>
    <w:rsid w:val="166C26F8"/>
    <w:rsid w:val="167A7E9A"/>
    <w:rsid w:val="167F3699"/>
    <w:rsid w:val="1680011D"/>
    <w:rsid w:val="168F07F3"/>
    <w:rsid w:val="16A21DF3"/>
    <w:rsid w:val="16AD34F5"/>
    <w:rsid w:val="16B10535"/>
    <w:rsid w:val="16CD37D6"/>
    <w:rsid w:val="16DD0351"/>
    <w:rsid w:val="16F1185A"/>
    <w:rsid w:val="16F25F23"/>
    <w:rsid w:val="16F70B34"/>
    <w:rsid w:val="17452619"/>
    <w:rsid w:val="17725662"/>
    <w:rsid w:val="17B03D27"/>
    <w:rsid w:val="17BD228F"/>
    <w:rsid w:val="17CD679E"/>
    <w:rsid w:val="180F0B0B"/>
    <w:rsid w:val="182866E7"/>
    <w:rsid w:val="183365DC"/>
    <w:rsid w:val="186B0D4D"/>
    <w:rsid w:val="188838CC"/>
    <w:rsid w:val="18A327DB"/>
    <w:rsid w:val="191A2013"/>
    <w:rsid w:val="19310644"/>
    <w:rsid w:val="19325642"/>
    <w:rsid w:val="196009F6"/>
    <w:rsid w:val="19916E8C"/>
    <w:rsid w:val="19A41FCE"/>
    <w:rsid w:val="19A711C4"/>
    <w:rsid w:val="19A737C4"/>
    <w:rsid w:val="19BE0769"/>
    <w:rsid w:val="19DA18F0"/>
    <w:rsid w:val="1A0835CC"/>
    <w:rsid w:val="1A0B6D9F"/>
    <w:rsid w:val="1A2D001C"/>
    <w:rsid w:val="1A2E7EB6"/>
    <w:rsid w:val="1A376524"/>
    <w:rsid w:val="1A3F6490"/>
    <w:rsid w:val="1A4B561E"/>
    <w:rsid w:val="1A524FB6"/>
    <w:rsid w:val="1A6B3796"/>
    <w:rsid w:val="1AAE5502"/>
    <w:rsid w:val="1AC3415A"/>
    <w:rsid w:val="1AF210C0"/>
    <w:rsid w:val="1AF42606"/>
    <w:rsid w:val="1B0336CF"/>
    <w:rsid w:val="1B1B7012"/>
    <w:rsid w:val="1B2019E2"/>
    <w:rsid w:val="1B2F2E4B"/>
    <w:rsid w:val="1B47072A"/>
    <w:rsid w:val="1B4A0FB7"/>
    <w:rsid w:val="1B7F6EC5"/>
    <w:rsid w:val="1B807075"/>
    <w:rsid w:val="1B9C2042"/>
    <w:rsid w:val="1BAD1A88"/>
    <w:rsid w:val="1BBB3008"/>
    <w:rsid w:val="1BBC1300"/>
    <w:rsid w:val="1BBF7F9E"/>
    <w:rsid w:val="1BC074A0"/>
    <w:rsid w:val="1BD74007"/>
    <w:rsid w:val="1BDA3622"/>
    <w:rsid w:val="1BEB7868"/>
    <w:rsid w:val="1BEF420D"/>
    <w:rsid w:val="1C12543B"/>
    <w:rsid w:val="1C1F0732"/>
    <w:rsid w:val="1C200651"/>
    <w:rsid w:val="1C2200B3"/>
    <w:rsid w:val="1C2456AD"/>
    <w:rsid w:val="1C2B0647"/>
    <w:rsid w:val="1C3621E0"/>
    <w:rsid w:val="1C59585F"/>
    <w:rsid w:val="1C7A6A16"/>
    <w:rsid w:val="1C950972"/>
    <w:rsid w:val="1C9C2F7B"/>
    <w:rsid w:val="1CBA178A"/>
    <w:rsid w:val="1CC7209E"/>
    <w:rsid w:val="1CD12BE5"/>
    <w:rsid w:val="1CDD5A00"/>
    <w:rsid w:val="1CEC2FAB"/>
    <w:rsid w:val="1CFD2A54"/>
    <w:rsid w:val="1D0320FC"/>
    <w:rsid w:val="1D1847C6"/>
    <w:rsid w:val="1D1A70E5"/>
    <w:rsid w:val="1D1B226B"/>
    <w:rsid w:val="1D3F05A0"/>
    <w:rsid w:val="1D4E249A"/>
    <w:rsid w:val="1D4E5F79"/>
    <w:rsid w:val="1D644E33"/>
    <w:rsid w:val="1D6B625E"/>
    <w:rsid w:val="1D892739"/>
    <w:rsid w:val="1DA566CE"/>
    <w:rsid w:val="1DDA6A65"/>
    <w:rsid w:val="1E134B4B"/>
    <w:rsid w:val="1E160E4C"/>
    <w:rsid w:val="1E2B60B7"/>
    <w:rsid w:val="1E2C5AEA"/>
    <w:rsid w:val="1E2D6278"/>
    <w:rsid w:val="1E767896"/>
    <w:rsid w:val="1E8312F0"/>
    <w:rsid w:val="1EA32155"/>
    <w:rsid w:val="1EAB637A"/>
    <w:rsid w:val="1EAE4797"/>
    <w:rsid w:val="1EBC5AF7"/>
    <w:rsid w:val="1ED24E16"/>
    <w:rsid w:val="1ED30A8B"/>
    <w:rsid w:val="1EE22335"/>
    <w:rsid w:val="1EF30C31"/>
    <w:rsid w:val="1EF62FD1"/>
    <w:rsid w:val="1F10612E"/>
    <w:rsid w:val="1F276E72"/>
    <w:rsid w:val="1F5051D6"/>
    <w:rsid w:val="1F56762D"/>
    <w:rsid w:val="1F8E6667"/>
    <w:rsid w:val="1F9F756C"/>
    <w:rsid w:val="1FA058FA"/>
    <w:rsid w:val="1FA37493"/>
    <w:rsid w:val="1FF2488A"/>
    <w:rsid w:val="200C37E8"/>
    <w:rsid w:val="201409E6"/>
    <w:rsid w:val="201B416E"/>
    <w:rsid w:val="2031206C"/>
    <w:rsid w:val="203D156E"/>
    <w:rsid w:val="204F4767"/>
    <w:rsid w:val="205B3DA4"/>
    <w:rsid w:val="20701519"/>
    <w:rsid w:val="2081157C"/>
    <w:rsid w:val="208A4FA9"/>
    <w:rsid w:val="208C7FE7"/>
    <w:rsid w:val="20957F2A"/>
    <w:rsid w:val="20FA0B59"/>
    <w:rsid w:val="21124F84"/>
    <w:rsid w:val="213440F5"/>
    <w:rsid w:val="2135380B"/>
    <w:rsid w:val="213E55B4"/>
    <w:rsid w:val="216038B0"/>
    <w:rsid w:val="21B3614C"/>
    <w:rsid w:val="21D20049"/>
    <w:rsid w:val="21E36B70"/>
    <w:rsid w:val="21E956A0"/>
    <w:rsid w:val="21EF43DD"/>
    <w:rsid w:val="224035A7"/>
    <w:rsid w:val="226B70D3"/>
    <w:rsid w:val="228412CA"/>
    <w:rsid w:val="228A4081"/>
    <w:rsid w:val="22962CEB"/>
    <w:rsid w:val="22C44FAA"/>
    <w:rsid w:val="22CB7FCC"/>
    <w:rsid w:val="22D63349"/>
    <w:rsid w:val="22FC59E7"/>
    <w:rsid w:val="230B1613"/>
    <w:rsid w:val="23234747"/>
    <w:rsid w:val="23385355"/>
    <w:rsid w:val="234F2FA9"/>
    <w:rsid w:val="2352692F"/>
    <w:rsid w:val="23533AD3"/>
    <w:rsid w:val="23873DAF"/>
    <w:rsid w:val="238B0B25"/>
    <w:rsid w:val="23AE346B"/>
    <w:rsid w:val="23BB1D54"/>
    <w:rsid w:val="23CD5F57"/>
    <w:rsid w:val="23D80534"/>
    <w:rsid w:val="23DA02B1"/>
    <w:rsid w:val="2401581A"/>
    <w:rsid w:val="241F723B"/>
    <w:rsid w:val="242D6F9B"/>
    <w:rsid w:val="24850DAB"/>
    <w:rsid w:val="248B1356"/>
    <w:rsid w:val="24A2788D"/>
    <w:rsid w:val="24D0121E"/>
    <w:rsid w:val="2506427F"/>
    <w:rsid w:val="25173678"/>
    <w:rsid w:val="25327201"/>
    <w:rsid w:val="256D7EE3"/>
    <w:rsid w:val="25880F03"/>
    <w:rsid w:val="259170DF"/>
    <w:rsid w:val="2603218F"/>
    <w:rsid w:val="26200506"/>
    <w:rsid w:val="263530D8"/>
    <w:rsid w:val="263E54E3"/>
    <w:rsid w:val="26757A5C"/>
    <w:rsid w:val="267D1389"/>
    <w:rsid w:val="26817B19"/>
    <w:rsid w:val="26913563"/>
    <w:rsid w:val="269222D1"/>
    <w:rsid w:val="26A86550"/>
    <w:rsid w:val="26C5502A"/>
    <w:rsid w:val="26E0622C"/>
    <w:rsid w:val="26E30B65"/>
    <w:rsid w:val="27122831"/>
    <w:rsid w:val="27514E97"/>
    <w:rsid w:val="275E6BA7"/>
    <w:rsid w:val="277D4EAE"/>
    <w:rsid w:val="278B3C28"/>
    <w:rsid w:val="27AD3A8B"/>
    <w:rsid w:val="27AD78D2"/>
    <w:rsid w:val="27C279C2"/>
    <w:rsid w:val="27C77881"/>
    <w:rsid w:val="27CF0512"/>
    <w:rsid w:val="28037B88"/>
    <w:rsid w:val="2804686A"/>
    <w:rsid w:val="280A3E55"/>
    <w:rsid w:val="284C0951"/>
    <w:rsid w:val="284E3EC9"/>
    <w:rsid w:val="2855720D"/>
    <w:rsid w:val="285B1038"/>
    <w:rsid w:val="287353CC"/>
    <w:rsid w:val="287B0C62"/>
    <w:rsid w:val="287F359D"/>
    <w:rsid w:val="28E41306"/>
    <w:rsid w:val="28E64616"/>
    <w:rsid w:val="28FC10C4"/>
    <w:rsid w:val="290342A1"/>
    <w:rsid w:val="290A5F49"/>
    <w:rsid w:val="290D6AA6"/>
    <w:rsid w:val="29177234"/>
    <w:rsid w:val="29295FEC"/>
    <w:rsid w:val="29320EB3"/>
    <w:rsid w:val="29552DC0"/>
    <w:rsid w:val="295D4746"/>
    <w:rsid w:val="296B339F"/>
    <w:rsid w:val="29A37E16"/>
    <w:rsid w:val="29B27DAC"/>
    <w:rsid w:val="2A0E2C23"/>
    <w:rsid w:val="2A210E82"/>
    <w:rsid w:val="2A3E34A2"/>
    <w:rsid w:val="2A532BEF"/>
    <w:rsid w:val="2A6522EF"/>
    <w:rsid w:val="2A7140F8"/>
    <w:rsid w:val="2A83080D"/>
    <w:rsid w:val="2A8F2B74"/>
    <w:rsid w:val="2AC85F55"/>
    <w:rsid w:val="2AD079C6"/>
    <w:rsid w:val="2AD6023B"/>
    <w:rsid w:val="2AD629A3"/>
    <w:rsid w:val="2AEA4FFB"/>
    <w:rsid w:val="2B362100"/>
    <w:rsid w:val="2B603080"/>
    <w:rsid w:val="2B6B34D2"/>
    <w:rsid w:val="2B74780F"/>
    <w:rsid w:val="2B980A8B"/>
    <w:rsid w:val="2BA6721A"/>
    <w:rsid w:val="2BAB61BA"/>
    <w:rsid w:val="2BD97307"/>
    <w:rsid w:val="2C060F2C"/>
    <w:rsid w:val="2C166DFA"/>
    <w:rsid w:val="2C2034AF"/>
    <w:rsid w:val="2C2C1183"/>
    <w:rsid w:val="2C4A431B"/>
    <w:rsid w:val="2C5E39B9"/>
    <w:rsid w:val="2C8A7704"/>
    <w:rsid w:val="2CA00703"/>
    <w:rsid w:val="2CE75F42"/>
    <w:rsid w:val="2D057155"/>
    <w:rsid w:val="2D292755"/>
    <w:rsid w:val="2D2C4E0A"/>
    <w:rsid w:val="2D4776AA"/>
    <w:rsid w:val="2D6425E7"/>
    <w:rsid w:val="2DB47046"/>
    <w:rsid w:val="2DBA5694"/>
    <w:rsid w:val="2DC83464"/>
    <w:rsid w:val="2DF4084D"/>
    <w:rsid w:val="2E0928AA"/>
    <w:rsid w:val="2E16132D"/>
    <w:rsid w:val="2E16638F"/>
    <w:rsid w:val="2E612E1E"/>
    <w:rsid w:val="2E6371FF"/>
    <w:rsid w:val="2E6E3773"/>
    <w:rsid w:val="2E7E6F58"/>
    <w:rsid w:val="2E804A8E"/>
    <w:rsid w:val="2E8172ED"/>
    <w:rsid w:val="2E875F6E"/>
    <w:rsid w:val="2E971A2A"/>
    <w:rsid w:val="2EAC3398"/>
    <w:rsid w:val="2EB03684"/>
    <w:rsid w:val="2EC16B0E"/>
    <w:rsid w:val="2EC3675B"/>
    <w:rsid w:val="2EC83D84"/>
    <w:rsid w:val="2ECB5594"/>
    <w:rsid w:val="2ED41560"/>
    <w:rsid w:val="2ED4573C"/>
    <w:rsid w:val="2EFA48F1"/>
    <w:rsid w:val="2F295F5D"/>
    <w:rsid w:val="2F506687"/>
    <w:rsid w:val="2F5654F6"/>
    <w:rsid w:val="2F702810"/>
    <w:rsid w:val="2F70350B"/>
    <w:rsid w:val="2F8540A7"/>
    <w:rsid w:val="2F906A45"/>
    <w:rsid w:val="2FB26360"/>
    <w:rsid w:val="2FC45F2F"/>
    <w:rsid w:val="2FDA7820"/>
    <w:rsid w:val="2FEA7C07"/>
    <w:rsid w:val="30316CE5"/>
    <w:rsid w:val="30400251"/>
    <w:rsid w:val="307B0871"/>
    <w:rsid w:val="307D247A"/>
    <w:rsid w:val="309B23F2"/>
    <w:rsid w:val="30C12F57"/>
    <w:rsid w:val="30C637E5"/>
    <w:rsid w:val="30E8348D"/>
    <w:rsid w:val="30EF328D"/>
    <w:rsid w:val="30F2099E"/>
    <w:rsid w:val="30FD5A9E"/>
    <w:rsid w:val="313E5E61"/>
    <w:rsid w:val="313F75E4"/>
    <w:rsid w:val="3141018B"/>
    <w:rsid w:val="3147167C"/>
    <w:rsid w:val="315C7400"/>
    <w:rsid w:val="31686778"/>
    <w:rsid w:val="316E35FA"/>
    <w:rsid w:val="31730C40"/>
    <w:rsid w:val="31C21FEF"/>
    <w:rsid w:val="31EC3086"/>
    <w:rsid w:val="31F52C3B"/>
    <w:rsid w:val="32034AB3"/>
    <w:rsid w:val="320B1D1B"/>
    <w:rsid w:val="321F4E00"/>
    <w:rsid w:val="322B7998"/>
    <w:rsid w:val="323C2952"/>
    <w:rsid w:val="323E4762"/>
    <w:rsid w:val="324E5BEB"/>
    <w:rsid w:val="325E22BF"/>
    <w:rsid w:val="3272101C"/>
    <w:rsid w:val="32B557B6"/>
    <w:rsid w:val="32EF1311"/>
    <w:rsid w:val="32FB4A0A"/>
    <w:rsid w:val="3302609A"/>
    <w:rsid w:val="33121D46"/>
    <w:rsid w:val="33166F83"/>
    <w:rsid w:val="33174074"/>
    <w:rsid w:val="33372487"/>
    <w:rsid w:val="33383C83"/>
    <w:rsid w:val="333C6AF3"/>
    <w:rsid w:val="33425C8F"/>
    <w:rsid w:val="3345462C"/>
    <w:rsid w:val="33547EC8"/>
    <w:rsid w:val="33702291"/>
    <w:rsid w:val="33834482"/>
    <w:rsid w:val="33962CA2"/>
    <w:rsid w:val="339E5486"/>
    <w:rsid w:val="33AD5D94"/>
    <w:rsid w:val="33F811C1"/>
    <w:rsid w:val="342466AD"/>
    <w:rsid w:val="3428657F"/>
    <w:rsid w:val="34294B91"/>
    <w:rsid w:val="342C3C48"/>
    <w:rsid w:val="34335B68"/>
    <w:rsid w:val="344D2926"/>
    <w:rsid w:val="346C6E00"/>
    <w:rsid w:val="3478751C"/>
    <w:rsid w:val="348F1367"/>
    <w:rsid w:val="349C132B"/>
    <w:rsid w:val="349D6418"/>
    <w:rsid w:val="34A86A9C"/>
    <w:rsid w:val="34BF0E71"/>
    <w:rsid w:val="34DB0C3F"/>
    <w:rsid w:val="34DE7B98"/>
    <w:rsid w:val="34E52032"/>
    <w:rsid w:val="34E618D2"/>
    <w:rsid w:val="3506323B"/>
    <w:rsid w:val="35381D00"/>
    <w:rsid w:val="355B086D"/>
    <w:rsid w:val="35665933"/>
    <w:rsid w:val="356A3467"/>
    <w:rsid w:val="358814D7"/>
    <w:rsid w:val="358E002B"/>
    <w:rsid w:val="3591310E"/>
    <w:rsid w:val="359D58B5"/>
    <w:rsid w:val="35B86B70"/>
    <w:rsid w:val="35BE5065"/>
    <w:rsid w:val="35E1330D"/>
    <w:rsid w:val="35EA3CC2"/>
    <w:rsid w:val="35EE00A0"/>
    <w:rsid w:val="361349D0"/>
    <w:rsid w:val="36484300"/>
    <w:rsid w:val="364A4395"/>
    <w:rsid w:val="364E24FC"/>
    <w:rsid w:val="365B0178"/>
    <w:rsid w:val="36910E34"/>
    <w:rsid w:val="369B0982"/>
    <w:rsid w:val="36AA0B7D"/>
    <w:rsid w:val="36D4023A"/>
    <w:rsid w:val="36DD755D"/>
    <w:rsid w:val="36F055A8"/>
    <w:rsid w:val="37130B08"/>
    <w:rsid w:val="372650CC"/>
    <w:rsid w:val="375C0246"/>
    <w:rsid w:val="376C0A36"/>
    <w:rsid w:val="376D157C"/>
    <w:rsid w:val="37A134EC"/>
    <w:rsid w:val="37A7641E"/>
    <w:rsid w:val="37B5085E"/>
    <w:rsid w:val="37C74100"/>
    <w:rsid w:val="37CA052B"/>
    <w:rsid w:val="37F00EA0"/>
    <w:rsid w:val="38254B3C"/>
    <w:rsid w:val="3826663A"/>
    <w:rsid w:val="38331FB5"/>
    <w:rsid w:val="384855BD"/>
    <w:rsid w:val="385811FF"/>
    <w:rsid w:val="386A7AA1"/>
    <w:rsid w:val="387C0F20"/>
    <w:rsid w:val="38877177"/>
    <w:rsid w:val="389A30D2"/>
    <w:rsid w:val="389F2324"/>
    <w:rsid w:val="38AA08CA"/>
    <w:rsid w:val="38AF480B"/>
    <w:rsid w:val="38BB5763"/>
    <w:rsid w:val="38DE4CAB"/>
    <w:rsid w:val="38FC3737"/>
    <w:rsid w:val="39055F58"/>
    <w:rsid w:val="392632A4"/>
    <w:rsid w:val="3932137A"/>
    <w:rsid w:val="394F0A5F"/>
    <w:rsid w:val="39511281"/>
    <w:rsid w:val="39613C68"/>
    <w:rsid w:val="398C4B2D"/>
    <w:rsid w:val="39902BB2"/>
    <w:rsid w:val="39950B8D"/>
    <w:rsid w:val="399B7030"/>
    <w:rsid w:val="39BA16CE"/>
    <w:rsid w:val="39CC59BD"/>
    <w:rsid w:val="39DF291D"/>
    <w:rsid w:val="39E872AD"/>
    <w:rsid w:val="3A2A1650"/>
    <w:rsid w:val="3A3914D1"/>
    <w:rsid w:val="3A3F4AFF"/>
    <w:rsid w:val="3A4B7230"/>
    <w:rsid w:val="3A7C50D8"/>
    <w:rsid w:val="3A846B6C"/>
    <w:rsid w:val="3A8913AD"/>
    <w:rsid w:val="3AC5258B"/>
    <w:rsid w:val="3AC7496F"/>
    <w:rsid w:val="3AC82065"/>
    <w:rsid w:val="3ACE23AC"/>
    <w:rsid w:val="3B007C89"/>
    <w:rsid w:val="3B044B25"/>
    <w:rsid w:val="3B317B00"/>
    <w:rsid w:val="3B4E6856"/>
    <w:rsid w:val="3B6B6873"/>
    <w:rsid w:val="3B780D32"/>
    <w:rsid w:val="3BD836CD"/>
    <w:rsid w:val="3BFD352F"/>
    <w:rsid w:val="3BFF7A2C"/>
    <w:rsid w:val="3C0445B5"/>
    <w:rsid w:val="3C2760A9"/>
    <w:rsid w:val="3C48335D"/>
    <w:rsid w:val="3C5C1182"/>
    <w:rsid w:val="3C6C20F3"/>
    <w:rsid w:val="3C7C4443"/>
    <w:rsid w:val="3C922CD8"/>
    <w:rsid w:val="3C9D3952"/>
    <w:rsid w:val="3CA91F0C"/>
    <w:rsid w:val="3CB32BA2"/>
    <w:rsid w:val="3CB94B7F"/>
    <w:rsid w:val="3CC50B74"/>
    <w:rsid w:val="3CC57DA5"/>
    <w:rsid w:val="3CD949FA"/>
    <w:rsid w:val="3D29785F"/>
    <w:rsid w:val="3D417F81"/>
    <w:rsid w:val="3D5536F4"/>
    <w:rsid w:val="3D5B098F"/>
    <w:rsid w:val="3D6010EF"/>
    <w:rsid w:val="3D655259"/>
    <w:rsid w:val="3D694117"/>
    <w:rsid w:val="3D762656"/>
    <w:rsid w:val="3D831490"/>
    <w:rsid w:val="3DA11E55"/>
    <w:rsid w:val="3DA14544"/>
    <w:rsid w:val="3DB35645"/>
    <w:rsid w:val="3DC163B6"/>
    <w:rsid w:val="3DC169CE"/>
    <w:rsid w:val="3DD2164C"/>
    <w:rsid w:val="3DE4681A"/>
    <w:rsid w:val="3E0D6854"/>
    <w:rsid w:val="3E2056C0"/>
    <w:rsid w:val="3E3B260A"/>
    <w:rsid w:val="3E3B631F"/>
    <w:rsid w:val="3E59050E"/>
    <w:rsid w:val="3E607FB4"/>
    <w:rsid w:val="3E7111AC"/>
    <w:rsid w:val="3EED7C9C"/>
    <w:rsid w:val="3F345F94"/>
    <w:rsid w:val="3F7062AB"/>
    <w:rsid w:val="3F8D5FC9"/>
    <w:rsid w:val="3FA91133"/>
    <w:rsid w:val="3FB231C8"/>
    <w:rsid w:val="3FBB7000"/>
    <w:rsid w:val="3FCF458B"/>
    <w:rsid w:val="3FD60B70"/>
    <w:rsid w:val="3FEB1EF8"/>
    <w:rsid w:val="400633C5"/>
    <w:rsid w:val="40415073"/>
    <w:rsid w:val="40454748"/>
    <w:rsid w:val="406B6071"/>
    <w:rsid w:val="4070412A"/>
    <w:rsid w:val="4080575C"/>
    <w:rsid w:val="40AC4766"/>
    <w:rsid w:val="40B15BA0"/>
    <w:rsid w:val="40ED207C"/>
    <w:rsid w:val="40F15411"/>
    <w:rsid w:val="41405A4C"/>
    <w:rsid w:val="415C3E7A"/>
    <w:rsid w:val="416710C3"/>
    <w:rsid w:val="416F7716"/>
    <w:rsid w:val="41977206"/>
    <w:rsid w:val="419F4E4F"/>
    <w:rsid w:val="41D23ED0"/>
    <w:rsid w:val="41E6530D"/>
    <w:rsid w:val="41FF2168"/>
    <w:rsid w:val="42000DAA"/>
    <w:rsid w:val="420E5B38"/>
    <w:rsid w:val="422B2488"/>
    <w:rsid w:val="42390C3E"/>
    <w:rsid w:val="423F0B31"/>
    <w:rsid w:val="424F65A1"/>
    <w:rsid w:val="426C46A0"/>
    <w:rsid w:val="428D3FA2"/>
    <w:rsid w:val="429053BA"/>
    <w:rsid w:val="42B4364E"/>
    <w:rsid w:val="42C53213"/>
    <w:rsid w:val="42C8358E"/>
    <w:rsid w:val="42D4265F"/>
    <w:rsid w:val="42E2210C"/>
    <w:rsid w:val="43276D20"/>
    <w:rsid w:val="432D178B"/>
    <w:rsid w:val="43342C62"/>
    <w:rsid w:val="43396DDE"/>
    <w:rsid w:val="437419F1"/>
    <w:rsid w:val="43A02D3E"/>
    <w:rsid w:val="43A648C6"/>
    <w:rsid w:val="43EB28C8"/>
    <w:rsid w:val="44005F0F"/>
    <w:rsid w:val="44240A92"/>
    <w:rsid w:val="447F1C00"/>
    <w:rsid w:val="44A84ED5"/>
    <w:rsid w:val="44AB31F4"/>
    <w:rsid w:val="44D53F87"/>
    <w:rsid w:val="44D92412"/>
    <w:rsid w:val="44E83D54"/>
    <w:rsid w:val="44EE7D04"/>
    <w:rsid w:val="450F0EDF"/>
    <w:rsid w:val="45110A7B"/>
    <w:rsid w:val="45253FB2"/>
    <w:rsid w:val="452D2D05"/>
    <w:rsid w:val="454E75A4"/>
    <w:rsid w:val="455D3A62"/>
    <w:rsid w:val="456F76E7"/>
    <w:rsid w:val="4573623B"/>
    <w:rsid w:val="46146F38"/>
    <w:rsid w:val="462264A4"/>
    <w:rsid w:val="46273146"/>
    <w:rsid w:val="462F0178"/>
    <w:rsid w:val="464F0440"/>
    <w:rsid w:val="465B3526"/>
    <w:rsid w:val="468B02DC"/>
    <w:rsid w:val="46A565B5"/>
    <w:rsid w:val="46AB40B8"/>
    <w:rsid w:val="46B7772E"/>
    <w:rsid w:val="46D810E4"/>
    <w:rsid w:val="47087682"/>
    <w:rsid w:val="472F5C27"/>
    <w:rsid w:val="4730240B"/>
    <w:rsid w:val="47321FBD"/>
    <w:rsid w:val="474A7450"/>
    <w:rsid w:val="475D3EB7"/>
    <w:rsid w:val="47862322"/>
    <w:rsid w:val="47904CE5"/>
    <w:rsid w:val="479E4C06"/>
    <w:rsid w:val="47AC1B89"/>
    <w:rsid w:val="47B52962"/>
    <w:rsid w:val="47BB6463"/>
    <w:rsid w:val="47CE5B61"/>
    <w:rsid w:val="47DB30DF"/>
    <w:rsid w:val="480E2BCA"/>
    <w:rsid w:val="482022A3"/>
    <w:rsid w:val="48393C6B"/>
    <w:rsid w:val="48404450"/>
    <w:rsid w:val="48475EB6"/>
    <w:rsid w:val="485258B4"/>
    <w:rsid w:val="48791A57"/>
    <w:rsid w:val="48985A62"/>
    <w:rsid w:val="48A273F1"/>
    <w:rsid w:val="48AB310F"/>
    <w:rsid w:val="48E64FA6"/>
    <w:rsid w:val="490E5443"/>
    <w:rsid w:val="49221F62"/>
    <w:rsid w:val="492E441F"/>
    <w:rsid w:val="49400C45"/>
    <w:rsid w:val="496F7F72"/>
    <w:rsid w:val="498456B1"/>
    <w:rsid w:val="49857353"/>
    <w:rsid w:val="499F64FE"/>
    <w:rsid w:val="49D43D77"/>
    <w:rsid w:val="49E73946"/>
    <w:rsid w:val="49E8564D"/>
    <w:rsid w:val="49FE65D8"/>
    <w:rsid w:val="4A0303EF"/>
    <w:rsid w:val="4A1C3E34"/>
    <w:rsid w:val="4A47198B"/>
    <w:rsid w:val="4A605A59"/>
    <w:rsid w:val="4A63630F"/>
    <w:rsid w:val="4A9C24D3"/>
    <w:rsid w:val="4AAB06C7"/>
    <w:rsid w:val="4AAD4DBD"/>
    <w:rsid w:val="4AC117A9"/>
    <w:rsid w:val="4ACA17C0"/>
    <w:rsid w:val="4AE13D68"/>
    <w:rsid w:val="4AF46755"/>
    <w:rsid w:val="4B300894"/>
    <w:rsid w:val="4B337E60"/>
    <w:rsid w:val="4B3B0790"/>
    <w:rsid w:val="4B47410D"/>
    <w:rsid w:val="4B4E14EA"/>
    <w:rsid w:val="4B5C7890"/>
    <w:rsid w:val="4B6612DF"/>
    <w:rsid w:val="4BA32D90"/>
    <w:rsid w:val="4BD4247E"/>
    <w:rsid w:val="4BE33723"/>
    <w:rsid w:val="4BF96274"/>
    <w:rsid w:val="4C061E6F"/>
    <w:rsid w:val="4C1B5793"/>
    <w:rsid w:val="4C210610"/>
    <w:rsid w:val="4C444F86"/>
    <w:rsid w:val="4C4C123C"/>
    <w:rsid w:val="4C800CAB"/>
    <w:rsid w:val="4CA82E19"/>
    <w:rsid w:val="4CE14BFA"/>
    <w:rsid w:val="4D041F9A"/>
    <w:rsid w:val="4D442A80"/>
    <w:rsid w:val="4D500253"/>
    <w:rsid w:val="4D583033"/>
    <w:rsid w:val="4DA5327E"/>
    <w:rsid w:val="4DB36E49"/>
    <w:rsid w:val="4DC3198E"/>
    <w:rsid w:val="4E046B64"/>
    <w:rsid w:val="4E071611"/>
    <w:rsid w:val="4E167B72"/>
    <w:rsid w:val="4E7062F1"/>
    <w:rsid w:val="4E835FFD"/>
    <w:rsid w:val="4EC24967"/>
    <w:rsid w:val="4EFA1FFA"/>
    <w:rsid w:val="4F0879D6"/>
    <w:rsid w:val="4F0D1DD2"/>
    <w:rsid w:val="4F2312E1"/>
    <w:rsid w:val="4F3F60D5"/>
    <w:rsid w:val="4F700270"/>
    <w:rsid w:val="4F804F58"/>
    <w:rsid w:val="4F962FD7"/>
    <w:rsid w:val="4FAD76D6"/>
    <w:rsid w:val="4FBC7DA2"/>
    <w:rsid w:val="50692877"/>
    <w:rsid w:val="50825C06"/>
    <w:rsid w:val="50895F66"/>
    <w:rsid w:val="508C60A2"/>
    <w:rsid w:val="5090217E"/>
    <w:rsid w:val="50DC5C52"/>
    <w:rsid w:val="50DF52C4"/>
    <w:rsid w:val="50E156EB"/>
    <w:rsid w:val="511E6577"/>
    <w:rsid w:val="5147004A"/>
    <w:rsid w:val="51486B15"/>
    <w:rsid w:val="515073E4"/>
    <w:rsid w:val="516E0253"/>
    <w:rsid w:val="517A1753"/>
    <w:rsid w:val="517B7A46"/>
    <w:rsid w:val="518E184B"/>
    <w:rsid w:val="51BA27C6"/>
    <w:rsid w:val="51CC73BB"/>
    <w:rsid w:val="51DC7623"/>
    <w:rsid w:val="51E0267C"/>
    <w:rsid w:val="51ED1ED2"/>
    <w:rsid w:val="51F90336"/>
    <w:rsid w:val="52532816"/>
    <w:rsid w:val="52543607"/>
    <w:rsid w:val="525C6E68"/>
    <w:rsid w:val="526414A4"/>
    <w:rsid w:val="52671C26"/>
    <w:rsid w:val="527717B7"/>
    <w:rsid w:val="527B57F9"/>
    <w:rsid w:val="527E409D"/>
    <w:rsid w:val="52857442"/>
    <w:rsid w:val="529575E4"/>
    <w:rsid w:val="52C213FC"/>
    <w:rsid w:val="52D44604"/>
    <w:rsid w:val="52DC280D"/>
    <w:rsid w:val="52DD4D7C"/>
    <w:rsid w:val="52E419B4"/>
    <w:rsid w:val="52E56AC7"/>
    <w:rsid w:val="530F0DF2"/>
    <w:rsid w:val="533741C7"/>
    <w:rsid w:val="5344529B"/>
    <w:rsid w:val="537375E7"/>
    <w:rsid w:val="538B38CA"/>
    <w:rsid w:val="53A15C24"/>
    <w:rsid w:val="53AF3943"/>
    <w:rsid w:val="53C20111"/>
    <w:rsid w:val="53C440EE"/>
    <w:rsid w:val="53E05976"/>
    <w:rsid w:val="53FB63CF"/>
    <w:rsid w:val="540A6077"/>
    <w:rsid w:val="541F3391"/>
    <w:rsid w:val="542066B3"/>
    <w:rsid w:val="54276867"/>
    <w:rsid w:val="54643CC5"/>
    <w:rsid w:val="549F1991"/>
    <w:rsid w:val="54B7789B"/>
    <w:rsid w:val="54EF3EE3"/>
    <w:rsid w:val="55023A2E"/>
    <w:rsid w:val="55283A60"/>
    <w:rsid w:val="555F1DC5"/>
    <w:rsid w:val="557F59ED"/>
    <w:rsid w:val="55905666"/>
    <w:rsid w:val="55973FB5"/>
    <w:rsid w:val="559D2841"/>
    <w:rsid w:val="55A01496"/>
    <w:rsid w:val="55B14119"/>
    <w:rsid w:val="55B73C37"/>
    <w:rsid w:val="55BC69AC"/>
    <w:rsid w:val="55FE6AAE"/>
    <w:rsid w:val="56153DD8"/>
    <w:rsid w:val="561C634D"/>
    <w:rsid w:val="562644FB"/>
    <w:rsid w:val="562C2E45"/>
    <w:rsid w:val="568F6EDF"/>
    <w:rsid w:val="56923715"/>
    <w:rsid w:val="56936E24"/>
    <w:rsid w:val="569C38D8"/>
    <w:rsid w:val="56B16A7B"/>
    <w:rsid w:val="56BC4D78"/>
    <w:rsid w:val="56CA17B7"/>
    <w:rsid w:val="56D359EB"/>
    <w:rsid w:val="56D407EC"/>
    <w:rsid w:val="56F50451"/>
    <w:rsid w:val="56F50876"/>
    <w:rsid w:val="56F64DB8"/>
    <w:rsid w:val="572C3F80"/>
    <w:rsid w:val="573F3261"/>
    <w:rsid w:val="574A2E2A"/>
    <w:rsid w:val="57617F94"/>
    <w:rsid w:val="57626F5E"/>
    <w:rsid w:val="576C1320"/>
    <w:rsid w:val="57C00F17"/>
    <w:rsid w:val="57D739FF"/>
    <w:rsid w:val="57D96130"/>
    <w:rsid w:val="57DE3BDF"/>
    <w:rsid w:val="57F952A6"/>
    <w:rsid w:val="58121559"/>
    <w:rsid w:val="58274672"/>
    <w:rsid w:val="582D30DD"/>
    <w:rsid w:val="583E71E0"/>
    <w:rsid w:val="584235F1"/>
    <w:rsid w:val="58716C84"/>
    <w:rsid w:val="58802C80"/>
    <w:rsid w:val="5884242E"/>
    <w:rsid w:val="58DC12EB"/>
    <w:rsid w:val="58F620BF"/>
    <w:rsid w:val="59133DA0"/>
    <w:rsid w:val="596465BB"/>
    <w:rsid w:val="59C5075D"/>
    <w:rsid w:val="59CB07A5"/>
    <w:rsid w:val="59F12949"/>
    <w:rsid w:val="59F911CB"/>
    <w:rsid w:val="5A0563CC"/>
    <w:rsid w:val="5A0A07BC"/>
    <w:rsid w:val="5A1D0A4A"/>
    <w:rsid w:val="5A210291"/>
    <w:rsid w:val="5A572C89"/>
    <w:rsid w:val="5A5A78A1"/>
    <w:rsid w:val="5A6D3C29"/>
    <w:rsid w:val="5A8258ED"/>
    <w:rsid w:val="5A8E77E7"/>
    <w:rsid w:val="5AB16E41"/>
    <w:rsid w:val="5AB550FA"/>
    <w:rsid w:val="5AE03F7E"/>
    <w:rsid w:val="5AE17447"/>
    <w:rsid w:val="5AF06772"/>
    <w:rsid w:val="5AF848DA"/>
    <w:rsid w:val="5B023724"/>
    <w:rsid w:val="5B256B48"/>
    <w:rsid w:val="5B2F5763"/>
    <w:rsid w:val="5B375169"/>
    <w:rsid w:val="5B450433"/>
    <w:rsid w:val="5B6432C5"/>
    <w:rsid w:val="5B6556ED"/>
    <w:rsid w:val="5B9F111C"/>
    <w:rsid w:val="5BA36EE1"/>
    <w:rsid w:val="5BB42DA9"/>
    <w:rsid w:val="5BBA05DF"/>
    <w:rsid w:val="5BBA3AC7"/>
    <w:rsid w:val="5BC51163"/>
    <w:rsid w:val="5BE95CA5"/>
    <w:rsid w:val="5C1A1681"/>
    <w:rsid w:val="5C2554AD"/>
    <w:rsid w:val="5C47261E"/>
    <w:rsid w:val="5C532CF9"/>
    <w:rsid w:val="5C580E0F"/>
    <w:rsid w:val="5C5A4124"/>
    <w:rsid w:val="5C7407CF"/>
    <w:rsid w:val="5CA31181"/>
    <w:rsid w:val="5CC23712"/>
    <w:rsid w:val="5CE32A78"/>
    <w:rsid w:val="5CE53E6C"/>
    <w:rsid w:val="5CF1357F"/>
    <w:rsid w:val="5D2609E4"/>
    <w:rsid w:val="5D304555"/>
    <w:rsid w:val="5D404FA1"/>
    <w:rsid w:val="5D502716"/>
    <w:rsid w:val="5D58464B"/>
    <w:rsid w:val="5D605B86"/>
    <w:rsid w:val="5D873105"/>
    <w:rsid w:val="5D991359"/>
    <w:rsid w:val="5DA92C4C"/>
    <w:rsid w:val="5DA97C3A"/>
    <w:rsid w:val="5DC13EC0"/>
    <w:rsid w:val="5DC210A6"/>
    <w:rsid w:val="5E0F0754"/>
    <w:rsid w:val="5E25726B"/>
    <w:rsid w:val="5E403330"/>
    <w:rsid w:val="5E4E75DD"/>
    <w:rsid w:val="5E5B103E"/>
    <w:rsid w:val="5E7761F4"/>
    <w:rsid w:val="5EA627A8"/>
    <w:rsid w:val="5EC46BD5"/>
    <w:rsid w:val="5EC66F4E"/>
    <w:rsid w:val="5EC740C9"/>
    <w:rsid w:val="5EC85EDE"/>
    <w:rsid w:val="5F0260F4"/>
    <w:rsid w:val="5F0C6B9D"/>
    <w:rsid w:val="5F1811A3"/>
    <w:rsid w:val="5F2702FE"/>
    <w:rsid w:val="5F2B7847"/>
    <w:rsid w:val="5F497094"/>
    <w:rsid w:val="5F4B4BE2"/>
    <w:rsid w:val="5F84024D"/>
    <w:rsid w:val="5FA8016A"/>
    <w:rsid w:val="5FB64464"/>
    <w:rsid w:val="5FB73766"/>
    <w:rsid w:val="5FD02D91"/>
    <w:rsid w:val="5FF84A2E"/>
    <w:rsid w:val="601E749A"/>
    <w:rsid w:val="603D717E"/>
    <w:rsid w:val="60413E75"/>
    <w:rsid w:val="605C4A30"/>
    <w:rsid w:val="605D31BC"/>
    <w:rsid w:val="606856EC"/>
    <w:rsid w:val="607F3052"/>
    <w:rsid w:val="6082465C"/>
    <w:rsid w:val="60B6068B"/>
    <w:rsid w:val="60BD0625"/>
    <w:rsid w:val="60BD3AE9"/>
    <w:rsid w:val="60FD6A28"/>
    <w:rsid w:val="61162D92"/>
    <w:rsid w:val="612B1B94"/>
    <w:rsid w:val="612F56D5"/>
    <w:rsid w:val="613F5E78"/>
    <w:rsid w:val="6142508E"/>
    <w:rsid w:val="61442763"/>
    <w:rsid w:val="614A0B44"/>
    <w:rsid w:val="617B6D2F"/>
    <w:rsid w:val="61910D52"/>
    <w:rsid w:val="61BB07E3"/>
    <w:rsid w:val="61CD3592"/>
    <w:rsid w:val="61D56673"/>
    <w:rsid w:val="61D734CC"/>
    <w:rsid w:val="620E50E1"/>
    <w:rsid w:val="621B503F"/>
    <w:rsid w:val="622C27B8"/>
    <w:rsid w:val="623840F1"/>
    <w:rsid w:val="628D64D7"/>
    <w:rsid w:val="62A770C6"/>
    <w:rsid w:val="62AF024B"/>
    <w:rsid w:val="62B54A90"/>
    <w:rsid w:val="63317C4E"/>
    <w:rsid w:val="6338731B"/>
    <w:rsid w:val="635462F8"/>
    <w:rsid w:val="6358751F"/>
    <w:rsid w:val="63714278"/>
    <w:rsid w:val="639E5C75"/>
    <w:rsid w:val="63A321CE"/>
    <w:rsid w:val="63B862FC"/>
    <w:rsid w:val="63B91E59"/>
    <w:rsid w:val="63C3088C"/>
    <w:rsid w:val="63EF0CAC"/>
    <w:rsid w:val="63FE0F0F"/>
    <w:rsid w:val="641B0226"/>
    <w:rsid w:val="64205BC6"/>
    <w:rsid w:val="64445D49"/>
    <w:rsid w:val="644657FE"/>
    <w:rsid w:val="644C745A"/>
    <w:rsid w:val="648E2A84"/>
    <w:rsid w:val="64C94460"/>
    <w:rsid w:val="64DA2F3A"/>
    <w:rsid w:val="64F84569"/>
    <w:rsid w:val="64FC5DE7"/>
    <w:rsid w:val="650149BD"/>
    <w:rsid w:val="65085971"/>
    <w:rsid w:val="650E0320"/>
    <w:rsid w:val="651311AF"/>
    <w:rsid w:val="65155131"/>
    <w:rsid w:val="65205E69"/>
    <w:rsid w:val="652C3CBA"/>
    <w:rsid w:val="65393D8E"/>
    <w:rsid w:val="65522316"/>
    <w:rsid w:val="6573584E"/>
    <w:rsid w:val="6577597D"/>
    <w:rsid w:val="658F0899"/>
    <w:rsid w:val="65A125E2"/>
    <w:rsid w:val="65A6252C"/>
    <w:rsid w:val="65CA17F7"/>
    <w:rsid w:val="66030A53"/>
    <w:rsid w:val="66404C97"/>
    <w:rsid w:val="664F0546"/>
    <w:rsid w:val="6656785D"/>
    <w:rsid w:val="66570549"/>
    <w:rsid w:val="66746CAB"/>
    <w:rsid w:val="668879D8"/>
    <w:rsid w:val="668E267E"/>
    <w:rsid w:val="66A96AA2"/>
    <w:rsid w:val="66AA3F78"/>
    <w:rsid w:val="66AF2B17"/>
    <w:rsid w:val="66CA071C"/>
    <w:rsid w:val="67122077"/>
    <w:rsid w:val="6714720A"/>
    <w:rsid w:val="67461DC1"/>
    <w:rsid w:val="67563755"/>
    <w:rsid w:val="678F60E1"/>
    <w:rsid w:val="67A36B4C"/>
    <w:rsid w:val="67A7376F"/>
    <w:rsid w:val="67A9786A"/>
    <w:rsid w:val="67F02766"/>
    <w:rsid w:val="67F602BE"/>
    <w:rsid w:val="683A5738"/>
    <w:rsid w:val="683F5DBF"/>
    <w:rsid w:val="684A2E70"/>
    <w:rsid w:val="68703089"/>
    <w:rsid w:val="688975DA"/>
    <w:rsid w:val="689F483E"/>
    <w:rsid w:val="68A16F98"/>
    <w:rsid w:val="68A32C7A"/>
    <w:rsid w:val="68E27B11"/>
    <w:rsid w:val="692A327D"/>
    <w:rsid w:val="69544CDF"/>
    <w:rsid w:val="697A795D"/>
    <w:rsid w:val="697E43F6"/>
    <w:rsid w:val="69805750"/>
    <w:rsid w:val="698973AB"/>
    <w:rsid w:val="69CB281B"/>
    <w:rsid w:val="6A0364E0"/>
    <w:rsid w:val="6A08186C"/>
    <w:rsid w:val="6A0F74AC"/>
    <w:rsid w:val="6A232528"/>
    <w:rsid w:val="6A3B177D"/>
    <w:rsid w:val="6A40289B"/>
    <w:rsid w:val="6A4618A2"/>
    <w:rsid w:val="6A937A34"/>
    <w:rsid w:val="6AAC6834"/>
    <w:rsid w:val="6AC11918"/>
    <w:rsid w:val="6AC249E8"/>
    <w:rsid w:val="6ACC79C5"/>
    <w:rsid w:val="6ADA751B"/>
    <w:rsid w:val="6AF24775"/>
    <w:rsid w:val="6AF807BA"/>
    <w:rsid w:val="6B1A29E9"/>
    <w:rsid w:val="6B262B75"/>
    <w:rsid w:val="6B374D49"/>
    <w:rsid w:val="6B3C11E5"/>
    <w:rsid w:val="6B640C22"/>
    <w:rsid w:val="6B6744B0"/>
    <w:rsid w:val="6B6E175C"/>
    <w:rsid w:val="6B8C3E0D"/>
    <w:rsid w:val="6B9F086E"/>
    <w:rsid w:val="6BC0732A"/>
    <w:rsid w:val="6BDD22A6"/>
    <w:rsid w:val="6C117C8C"/>
    <w:rsid w:val="6C1B66FD"/>
    <w:rsid w:val="6C2D3E0E"/>
    <w:rsid w:val="6C303368"/>
    <w:rsid w:val="6C613F7C"/>
    <w:rsid w:val="6C705AB3"/>
    <w:rsid w:val="6C710274"/>
    <w:rsid w:val="6C8E434C"/>
    <w:rsid w:val="6C900E07"/>
    <w:rsid w:val="6CBC60A9"/>
    <w:rsid w:val="6CD46A35"/>
    <w:rsid w:val="6CFA259C"/>
    <w:rsid w:val="6D0020BC"/>
    <w:rsid w:val="6D156E73"/>
    <w:rsid w:val="6D207C43"/>
    <w:rsid w:val="6D251F4D"/>
    <w:rsid w:val="6D347ECA"/>
    <w:rsid w:val="6D424F0B"/>
    <w:rsid w:val="6D455B93"/>
    <w:rsid w:val="6D471D2E"/>
    <w:rsid w:val="6D75200E"/>
    <w:rsid w:val="6DAE5727"/>
    <w:rsid w:val="6DBA129B"/>
    <w:rsid w:val="6DDA6063"/>
    <w:rsid w:val="6DEA4B98"/>
    <w:rsid w:val="6DF64663"/>
    <w:rsid w:val="6E097035"/>
    <w:rsid w:val="6E1A694B"/>
    <w:rsid w:val="6E37392F"/>
    <w:rsid w:val="6E4D7892"/>
    <w:rsid w:val="6E4E6782"/>
    <w:rsid w:val="6E561D24"/>
    <w:rsid w:val="6E636587"/>
    <w:rsid w:val="6E7358AB"/>
    <w:rsid w:val="6E8E2CF2"/>
    <w:rsid w:val="6E980744"/>
    <w:rsid w:val="6EA45AD2"/>
    <w:rsid w:val="6EB11F7E"/>
    <w:rsid w:val="6EBF5FC5"/>
    <w:rsid w:val="6EE62D5D"/>
    <w:rsid w:val="6F8F0CF4"/>
    <w:rsid w:val="6FBC0B31"/>
    <w:rsid w:val="6FFE230F"/>
    <w:rsid w:val="7005437F"/>
    <w:rsid w:val="700F2AB7"/>
    <w:rsid w:val="702C4015"/>
    <w:rsid w:val="704F7775"/>
    <w:rsid w:val="705107FB"/>
    <w:rsid w:val="707B4A61"/>
    <w:rsid w:val="707F32A1"/>
    <w:rsid w:val="70A52797"/>
    <w:rsid w:val="70CA0F8A"/>
    <w:rsid w:val="70CB5FD1"/>
    <w:rsid w:val="70D8740C"/>
    <w:rsid w:val="70E85238"/>
    <w:rsid w:val="70FC07CE"/>
    <w:rsid w:val="710071C1"/>
    <w:rsid w:val="71156931"/>
    <w:rsid w:val="71182164"/>
    <w:rsid w:val="714A5E80"/>
    <w:rsid w:val="719178D8"/>
    <w:rsid w:val="719A60CC"/>
    <w:rsid w:val="719E663F"/>
    <w:rsid w:val="71A121AD"/>
    <w:rsid w:val="71B0748E"/>
    <w:rsid w:val="71CF2E2A"/>
    <w:rsid w:val="71E704F7"/>
    <w:rsid w:val="71F463C0"/>
    <w:rsid w:val="72065002"/>
    <w:rsid w:val="723A692F"/>
    <w:rsid w:val="72453851"/>
    <w:rsid w:val="72453C42"/>
    <w:rsid w:val="7254439A"/>
    <w:rsid w:val="72667D65"/>
    <w:rsid w:val="7273589B"/>
    <w:rsid w:val="72777EED"/>
    <w:rsid w:val="727C296E"/>
    <w:rsid w:val="72BA06E9"/>
    <w:rsid w:val="72D14A1C"/>
    <w:rsid w:val="72F617A8"/>
    <w:rsid w:val="72F74AA7"/>
    <w:rsid w:val="730B7D27"/>
    <w:rsid w:val="731A4304"/>
    <w:rsid w:val="73451BEE"/>
    <w:rsid w:val="735F7F15"/>
    <w:rsid w:val="73746C96"/>
    <w:rsid w:val="73A40AA5"/>
    <w:rsid w:val="73D819C6"/>
    <w:rsid w:val="74314F44"/>
    <w:rsid w:val="74385C59"/>
    <w:rsid w:val="745A65AA"/>
    <w:rsid w:val="747B37B3"/>
    <w:rsid w:val="7483676D"/>
    <w:rsid w:val="74A12098"/>
    <w:rsid w:val="74BA42CE"/>
    <w:rsid w:val="74ED7610"/>
    <w:rsid w:val="74FB6971"/>
    <w:rsid w:val="7504690A"/>
    <w:rsid w:val="751B0796"/>
    <w:rsid w:val="751B1D49"/>
    <w:rsid w:val="7559101C"/>
    <w:rsid w:val="75936781"/>
    <w:rsid w:val="75AD240A"/>
    <w:rsid w:val="75B1065C"/>
    <w:rsid w:val="75CA3EC2"/>
    <w:rsid w:val="764F12F9"/>
    <w:rsid w:val="76503237"/>
    <w:rsid w:val="76757E24"/>
    <w:rsid w:val="76842F27"/>
    <w:rsid w:val="76A662F2"/>
    <w:rsid w:val="76A9123D"/>
    <w:rsid w:val="76FD24BA"/>
    <w:rsid w:val="771402C3"/>
    <w:rsid w:val="77246277"/>
    <w:rsid w:val="77302EC9"/>
    <w:rsid w:val="773111CB"/>
    <w:rsid w:val="7743172C"/>
    <w:rsid w:val="77436A88"/>
    <w:rsid w:val="77591BBB"/>
    <w:rsid w:val="775A2632"/>
    <w:rsid w:val="775E4FB3"/>
    <w:rsid w:val="776A1081"/>
    <w:rsid w:val="779C4F4E"/>
    <w:rsid w:val="77B25F3A"/>
    <w:rsid w:val="77B37D43"/>
    <w:rsid w:val="77BD410B"/>
    <w:rsid w:val="77CB23DB"/>
    <w:rsid w:val="77F05F70"/>
    <w:rsid w:val="78036AB7"/>
    <w:rsid w:val="78046304"/>
    <w:rsid w:val="780A03F8"/>
    <w:rsid w:val="78151AC4"/>
    <w:rsid w:val="78175C6D"/>
    <w:rsid w:val="78391979"/>
    <w:rsid w:val="783A0FA9"/>
    <w:rsid w:val="78441C4C"/>
    <w:rsid w:val="784B2AE5"/>
    <w:rsid w:val="78587E73"/>
    <w:rsid w:val="787F1BC8"/>
    <w:rsid w:val="78A43B6D"/>
    <w:rsid w:val="78AB7C4F"/>
    <w:rsid w:val="78D0199F"/>
    <w:rsid w:val="78D11067"/>
    <w:rsid w:val="78E02098"/>
    <w:rsid w:val="79661BC8"/>
    <w:rsid w:val="79783ABC"/>
    <w:rsid w:val="79856871"/>
    <w:rsid w:val="799645F2"/>
    <w:rsid w:val="7997238E"/>
    <w:rsid w:val="799D1BDC"/>
    <w:rsid w:val="79A7430E"/>
    <w:rsid w:val="79AE407D"/>
    <w:rsid w:val="79C95AF2"/>
    <w:rsid w:val="79D2397F"/>
    <w:rsid w:val="79D52E97"/>
    <w:rsid w:val="79D62B0A"/>
    <w:rsid w:val="7A005903"/>
    <w:rsid w:val="7A3622D7"/>
    <w:rsid w:val="7A411868"/>
    <w:rsid w:val="7A4F60FF"/>
    <w:rsid w:val="7A6A032D"/>
    <w:rsid w:val="7A820C3E"/>
    <w:rsid w:val="7A820EAF"/>
    <w:rsid w:val="7A8B6250"/>
    <w:rsid w:val="7A903E49"/>
    <w:rsid w:val="7A9235A0"/>
    <w:rsid w:val="7AB30C2D"/>
    <w:rsid w:val="7ABE2A90"/>
    <w:rsid w:val="7AC07C5F"/>
    <w:rsid w:val="7ACC16BB"/>
    <w:rsid w:val="7B1712E5"/>
    <w:rsid w:val="7B247FB6"/>
    <w:rsid w:val="7B292DE7"/>
    <w:rsid w:val="7B2B0467"/>
    <w:rsid w:val="7B48380B"/>
    <w:rsid w:val="7B525906"/>
    <w:rsid w:val="7B5B547D"/>
    <w:rsid w:val="7B747917"/>
    <w:rsid w:val="7B8865E4"/>
    <w:rsid w:val="7B9855ED"/>
    <w:rsid w:val="7B9A37C7"/>
    <w:rsid w:val="7BA56569"/>
    <w:rsid w:val="7BBF2247"/>
    <w:rsid w:val="7BE2362C"/>
    <w:rsid w:val="7BFA49C7"/>
    <w:rsid w:val="7C0C1031"/>
    <w:rsid w:val="7C122F42"/>
    <w:rsid w:val="7C1E41E4"/>
    <w:rsid w:val="7C3964B3"/>
    <w:rsid w:val="7C5D7F4C"/>
    <w:rsid w:val="7C673F31"/>
    <w:rsid w:val="7C766C91"/>
    <w:rsid w:val="7CB26975"/>
    <w:rsid w:val="7CD72F58"/>
    <w:rsid w:val="7CE60843"/>
    <w:rsid w:val="7D22463E"/>
    <w:rsid w:val="7D301072"/>
    <w:rsid w:val="7D62403A"/>
    <w:rsid w:val="7D654100"/>
    <w:rsid w:val="7D753DF2"/>
    <w:rsid w:val="7D9C3A69"/>
    <w:rsid w:val="7DAC5D74"/>
    <w:rsid w:val="7DB41943"/>
    <w:rsid w:val="7DED165C"/>
    <w:rsid w:val="7DEF11E8"/>
    <w:rsid w:val="7DF30D47"/>
    <w:rsid w:val="7E2A6C73"/>
    <w:rsid w:val="7E312645"/>
    <w:rsid w:val="7E410F06"/>
    <w:rsid w:val="7E73137E"/>
    <w:rsid w:val="7E93180D"/>
    <w:rsid w:val="7EA32BB3"/>
    <w:rsid w:val="7EA77B77"/>
    <w:rsid w:val="7EB73ECF"/>
    <w:rsid w:val="7F356685"/>
    <w:rsid w:val="7F57616A"/>
    <w:rsid w:val="7FB2446A"/>
    <w:rsid w:val="7FBE33E6"/>
    <w:rsid w:val="7FC813E4"/>
    <w:rsid w:val="7FCC7A53"/>
    <w:rsid w:val="7FD30537"/>
    <w:rsid w:val="7FE21294"/>
    <w:rsid w:val="7FF353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qFormat="1"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link w:val="30"/>
    <w:qFormat/>
    <w:uiPriority w:val="0"/>
    <w:pPr>
      <w:keepNext/>
      <w:keepLines/>
      <w:numPr>
        <w:ilvl w:val="0"/>
        <w:numId w:val="1"/>
      </w:numPr>
      <w:adjustRightInd/>
      <w:snapToGrid/>
      <w:spacing w:before="300" w:beforeLines="0" w:beforeAutospacing="0" w:after="300" w:afterLines="0" w:afterAutospacing="0" w:line="360" w:lineRule="auto"/>
      <w:ind w:left="0" w:firstLine="0" w:firstLineChars="0"/>
      <w:jc w:val="center"/>
      <w:outlineLvl w:val="0"/>
    </w:pPr>
    <w:rPr>
      <w:rFonts w:ascii="Times New Roman" w:hAnsi="Times New Roman" w:eastAsia="宋体"/>
      <w:b/>
      <w:kern w:val="44"/>
      <w:sz w:val="36"/>
    </w:rPr>
  </w:style>
  <w:style w:type="paragraph" w:styleId="3">
    <w:name w:val="heading 2"/>
    <w:basedOn w:val="1"/>
    <w:next w:val="1"/>
    <w:link w:val="29"/>
    <w:unhideWhenUsed/>
    <w:qFormat/>
    <w:uiPriority w:val="0"/>
    <w:pPr>
      <w:keepNext/>
      <w:keepLines/>
      <w:numPr>
        <w:ilvl w:val="1"/>
        <w:numId w:val="1"/>
      </w:numPr>
      <w:tabs>
        <w:tab w:val="left" w:pos="0"/>
      </w:tabs>
      <w:adjustRightInd/>
      <w:snapToGrid/>
      <w:spacing w:before="50" w:beforeLines="50" w:beforeAutospacing="0" w:after="50" w:afterLines="50" w:afterAutospacing="0" w:line="360" w:lineRule="auto"/>
      <w:ind w:left="0" w:firstLine="0" w:firstLineChars="0"/>
      <w:jc w:val="left"/>
      <w:outlineLvl w:val="1"/>
    </w:pPr>
    <w:rPr>
      <w:rFonts w:ascii="Times New Roman" w:hAnsi="Times New Roman" w:eastAsia="宋体"/>
      <w:b/>
      <w:sz w:val="30"/>
    </w:rPr>
  </w:style>
  <w:style w:type="paragraph" w:styleId="4">
    <w:name w:val="heading 3"/>
    <w:basedOn w:val="1"/>
    <w:next w:val="1"/>
    <w:link w:val="26"/>
    <w:unhideWhenUsed/>
    <w:qFormat/>
    <w:uiPriority w:val="0"/>
    <w:pPr>
      <w:keepNext/>
      <w:keepLines/>
      <w:numPr>
        <w:ilvl w:val="2"/>
        <w:numId w:val="1"/>
      </w:numPr>
      <w:tabs>
        <w:tab w:val="left" w:pos="0"/>
        <w:tab w:val="clear" w:pos="420"/>
      </w:tabs>
      <w:adjustRightInd/>
      <w:snapToGrid/>
      <w:spacing w:before="50" w:beforeLines="50" w:beforeAutospacing="0" w:after="50" w:afterLines="50" w:afterAutospacing="0" w:line="360" w:lineRule="auto"/>
      <w:ind w:left="0" w:firstLine="0" w:firstLineChars="0"/>
      <w:jc w:val="left"/>
      <w:outlineLvl w:val="2"/>
    </w:pPr>
    <w:rPr>
      <w:rFonts w:ascii="Times New Roman" w:hAnsi="Times New Roman" w:eastAsia="宋体"/>
      <w:b/>
    </w:rPr>
  </w:style>
  <w:style w:type="paragraph" w:styleId="5">
    <w:name w:val="heading 4"/>
    <w:basedOn w:val="1"/>
    <w:next w:val="1"/>
    <w:link w:val="28"/>
    <w:unhideWhenUsed/>
    <w:qFormat/>
    <w:uiPriority w:val="0"/>
    <w:pPr>
      <w:keepNext/>
      <w:keepLines/>
      <w:numPr>
        <w:ilvl w:val="3"/>
        <w:numId w:val="1"/>
      </w:numPr>
      <w:tabs>
        <w:tab w:val="left" w:pos="0"/>
        <w:tab w:val="clear" w:pos="420"/>
      </w:tabs>
      <w:adjustRightInd/>
      <w:snapToGrid/>
      <w:spacing w:beforeLines="0" w:beforeAutospacing="0" w:afterLines="0" w:afterAutospacing="0" w:line="360" w:lineRule="auto"/>
      <w:ind w:left="0" w:firstLine="0" w:firstLineChars="0"/>
      <w:jc w:val="left"/>
      <w:outlineLvl w:val="3"/>
    </w:pPr>
    <w:rPr>
      <w:rFonts w:ascii="Times New Roman" w:hAnsi="Times New Roman" w:eastAsia="宋体"/>
    </w:rPr>
  </w:style>
  <w:style w:type="paragraph" w:styleId="6">
    <w:name w:val="heading 5"/>
    <w:basedOn w:val="1"/>
    <w:next w:val="1"/>
    <w:link w:val="27"/>
    <w:unhideWhenUsed/>
    <w:qFormat/>
    <w:uiPriority w:val="0"/>
    <w:pPr>
      <w:keepNext/>
      <w:keepLines/>
      <w:numPr>
        <w:ilvl w:val="4"/>
        <w:numId w:val="1"/>
      </w:numPr>
      <w:tabs>
        <w:tab w:val="left" w:pos="0"/>
      </w:tabs>
      <w:spacing w:before="280" w:beforeLines="0" w:beforeAutospacing="0" w:after="290" w:afterLines="0" w:afterAutospacing="0" w:line="372" w:lineRule="auto"/>
      <w:ind w:left="0" w:firstLine="0" w:firstLineChars="0"/>
      <w:outlineLvl w:val="4"/>
    </w:pPr>
    <w:rPr>
      <w:b/>
      <w:sz w:val="28"/>
    </w:rPr>
  </w:style>
  <w:style w:type="paragraph" w:styleId="7">
    <w:name w:val="heading 6"/>
    <w:basedOn w:val="1"/>
    <w:next w:val="1"/>
    <w:unhideWhenUsed/>
    <w:qFormat/>
    <w:uiPriority w:val="0"/>
    <w:pPr>
      <w:keepNext/>
      <w:keepLines/>
      <w:numPr>
        <w:ilvl w:val="5"/>
        <w:numId w:val="1"/>
      </w:numPr>
      <w:spacing w:before="240" w:beforeLines="0" w:beforeAutospacing="0" w:after="64" w:afterLines="0" w:afterAutospacing="0" w:line="317" w:lineRule="auto"/>
      <w:ind w:left="0" w:firstLine="0" w:firstLineChars="0"/>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2"/>
      </w:numPr>
      <w:tabs>
        <w:tab w:val="left" w:pos="420"/>
      </w:tabs>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semiHidden/>
    <w:unhideWhenUsed/>
    <w:qFormat/>
    <w:uiPriority w:val="0"/>
    <w:pPr>
      <w:keepNext/>
      <w:keepLines/>
      <w:numPr>
        <w:ilvl w:val="7"/>
        <w:numId w:val="2"/>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19">
    <w:name w:val="Default Paragraph Font"/>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11">
    <w:name w:val="toc 7"/>
    <w:basedOn w:val="1"/>
    <w:next w:val="1"/>
    <w:qFormat/>
    <w:uiPriority w:val="0"/>
    <w:pPr>
      <w:ind w:left="2520"/>
    </w:pPr>
    <w:rPr>
      <w:rFonts w:ascii="Times New Roman" w:hAnsi="Times New Roman"/>
      <w:szCs w:val="20"/>
    </w:rPr>
  </w:style>
  <w:style w:type="paragraph" w:styleId="12">
    <w:name w:val="annotation text"/>
    <w:basedOn w:val="1"/>
    <w:qFormat/>
    <w:uiPriority w:val="0"/>
    <w:pPr>
      <w:jc w:val="left"/>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toc 2"/>
    <w:basedOn w:val="1"/>
    <w:next w:val="1"/>
    <w:qFormat/>
    <w:uiPriority w:val="0"/>
    <w:pPr>
      <w:ind w:left="420" w:leftChars="200"/>
    </w:pPr>
  </w:style>
  <w:style w:type="table" w:styleId="18">
    <w:name w:val="Table Grid"/>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20">
    <w:name w:val="page number"/>
    <w:basedOn w:val="19"/>
    <w:qFormat/>
    <w:uiPriority w:val="0"/>
  </w:style>
  <w:style w:type="paragraph" w:customStyle="1" w:styleId="21">
    <w:name w:val="表格内容"/>
    <w:basedOn w:val="1"/>
    <w:next w:val="1"/>
    <w:link w:val="31"/>
    <w:qFormat/>
    <w:uiPriority w:val="0"/>
    <w:pPr>
      <w:adjustRightInd/>
      <w:snapToGrid/>
      <w:spacing w:line="240" w:lineRule="auto"/>
      <w:ind w:left="0" w:firstLine="0" w:firstLineChars="0"/>
      <w:jc w:val="center"/>
    </w:pPr>
    <w:rPr>
      <w:rFonts w:ascii="Times New Roman" w:hAnsi="Times New Roman" w:eastAsia="宋体" w:cs="Times New Roman"/>
      <w:sz w:val="21"/>
    </w:rPr>
  </w:style>
  <w:style w:type="paragraph" w:customStyle="1" w:styleId="22">
    <w:name w:val="图文底部标题"/>
    <w:next w:val="1"/>
    <w:link w:val="23"/>
    <w:qFormat/>
    <w:uiPriority w:val="0"/>
    <w:pPr>
      <w:widowControl w:val="0"/>
      <w:numPr>
        <w:ilvl w:val="7"/>
        <w:numId w:val="1"/>
      </w:numPr>
      <w:spacing w:line="360" w:lineRule="auto"/>
      <w:ind w:left="1440" w:hanging="1440" w:firstLineChars="0"/>
      <w:jc w:val="center"/>
    </w:pPr>
    <w:rPr>
      <w:rFonts w:ascii="Times New Roman" w:hAnsi="Times New Roman" w:eastAsia="宋体" w:cstheme="minorBidi"/>
      <w:b/>
      <w:kern w:val="2"/>
      <w:sz w:val="24"/>
      <w:szCs w:val="24"/>
      <w:lang w:val="en-US" w:eastAsia="zh-CN" w:bidi="ar-SA"/>
    </w:rPr>
  </w:style>
  <w:style w:type="character" w:customStyle="1" w:styleId="23">
    <w:name w:val="图文底部标题 Char"/>
    <w:link w:val="22"/>
    <w:qFormat/>
    <w:uiPriority w:val="0"/>
    <w:rPr>
      <w:rFonts w:ascii="Times New Roman" w:hAnsi="Times New Roman" w:eastAsia="宋体" w:cstheme="minorBidi"/>
      <w:b/>
      <w:kern w:val="2"/>
      <w:sz w:val="24"/>
      <w:szCs w:val="24"/>
      <w:lang w:val="en-US" w:eastAsia="zh-CN" w:bidi="ar-SA"/>
    </w:rPr>
  </w:style>
  <w:style w:type="paragraph" w:customStyle="1" w:styleId="24">
    <w:name w:val="表头1"/>
    <w:basedOn w:val="1"/>
    <w:next w:val="1"/>
    <w:link w:val="25"/>
    <w:qFormat/>
    <w:uiPriority w:val="0"/>
    <w:pPr>
      <w:numPr>
        <w:ilvl w:val="6"/>
        <w:numId w:val="1"/>
      </w:numPr>
      <w:tabs>
        <w:tab w:val="left" w:pos="0"/>
        <w:tab w:val="clear" w:pos="420"/>
      </w:tabs>
      <w:adjustRightInd/>
      <w:snapToGrid/>
      <w:spacing w:line="360" w:lineRule="auto"/>
      <w:ind w:left="1296" w:hanging="1296" w:firstLineChars="0"/>
      <w:jc w:val="center"/>
      <w:outlineLvl w:val="7"/>
    </w:pPr>
    <w:rPr>
      <w:rFonts w:ascii="Times New Roman" w:hAnsi="Times New Roman" w:eastAsia="宋体"/>
      <w:b/>
    </w:rPr>
  </w:style>
  <w:style w:type="character" w:customStyle="1" w:styleId="25">
    <w:name w:val="表头 Char"/>
    <w:link w:val="24"/>
    <w:qFormat/>
    <w:uiPriority w:val="0"/>
    <w:rPr>
      <w:rFonts w:ascii="Times New Roman" w:hAnsi="Times New Roman" w:eastAsia="宋体"/>
      <w:b/>
    </w:rPr>
  </w:style>
  <w:style w:type="character" w:customStyle="1" w:styleId="26">
    <w:name w:val="标题 3 Char"/>
    <w:link w:val="4"/>
    <w:qFormat/>
    <w:uiPriority w:val="0"/>
    <w:rPr>
      <w:rFonts w:ascii="Times New Roman" w:hAnsi="Times New Roman" w:eastAsia="宋体"/>
      <w:b/>
    </w:rPr>
  </w:style>
  <w:style w:type="character" w:customStyle="1" w:styleId="27">
    <w:name w:val="标题 5 Char"/>
    <w:link w:val="6"/>
    <w:qFormat/>
    <w:uiPriority w:val="0"/>
    <w:rPr>
      <w:b/>
      <w:sz w:val="28"/>
    </w:rPr>
  </w:style>
  <w:style w:type="character" w:customStyle="1" w:styleId="28">
    <w:name w:val="标题 4 Char"/>
    <w:link w:val="5"/>
    <w:qFormat/>
    <w:uiPriority w:val="0"/>
    <w:rPr>
      <w:rFonts w:ascii="Times New Roman" w:hAnsi="Times New Roman" w:eastAsia="宋体"/>
    </w:rPr>
  </w:style>
  <w:style w:type="character" w:customStyle="1" w:styleId="29">
    <w:name w:val="标题 2 Char"/>
    <w:link w:val="3"/>
    <w:qFormat/>
    <w:uiPriority w:val="0"/>
    <w:rPr>
      <w:rFonts w:ascii="Times New Roman" w:hAnsi="Times New Roman" w:eastAsia="宋体"/>
      <w:b/>
      <w:sz w:val="30"/>
    </w:rPr>
  </w:style>
  <w:style w:type="character" w:customStyle="1" w:styleId="30">
    <w:name w:val="标题 1 Char"/>
    <w:link w:val="2"/>
    <w:qFormat/>
    <w:uiPriority w:val="0"/>
    <w:rPr>
      <w:rFonts w:ascii="Times New Roman" w:hAnsi="Times New Roman" w:eastAsia="宋体"/>
      <w:b/>
      <w:kern w:val="44"/>
      <w:sz w:val="36"/>
    </w:rPr>
  </w:style>
  <w:style w:type="character" w:customStyle="1" w:styleId="31">
    <w:name w:val="表格内容 Char"/>
    <w:link w:val="21"/>
    <w:qFormat/>
    <w:uiPriority w:val="0"/>
    <w:rPr>
      <w:rFonts w:ascii="Times New Roman" w:hAnsi="Times New Roman" w:eastAsia="宋体" w:cs="Times New Roman"/>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54.png"/><Relationship Id="rId98" Type="http://schemas.openxmlformats.org/officeDocument/2006/relationships/image" Target="media/image53.png"/><Relationship Id="rId97" Type="http://schemas.openxmlformats.org/officeDocument/2006/relationships/image" Target="media/image52.wmf"/><Relationship Id="rId96" Type="http://schemas.openxmlformats.org/officeDocument/2006/relationships/oleObject" Target="embeddings/oleObject37.bin"/><Relationship Id="rId95" Type="http://schemas.openxmlformats.org/officeDocument/2006/relationships/oleObject" Target="embeddings/oleObject36.bin"/><Relationship Id="rId94" Type="http://schemas.openxmlformats.org/officeDocument/2006/relationships/oleObject" Target="embeddings/oleObject35.bin"/><Relationship Id="rId93" Type="http://schemas.openxmlformats.org/officeDocument/2006/relationships/image" Target="media/image51.wmf"/><Relationship Id="rId92" Type="http://schemas.openxmlformats.org/officeDocument/2006/relationships/oleObject" Target="embeddings/oleObject34.bin"/><Relationship Id="rId91" Type="http://schemas.openxmlformats.org/officeDocument/2006/relationships/image" Target="media/image50.wmf"/><Relationship Id="rId90" Type="http://schemas.openxmlformats.org/officeDocument/2006/relationships/oleObject" Target="embeddings/oleObject33.bin"/><Relationship Id="rId9" Type="http://schemas.openxmlformats.org/officeDocument/2006/relationships/oleObject" Target="embeddings/oleObject1.bin"/><Relationship Id="rId89" Type="http://schemas.openxmlformats.org/officeDocument/2006/relationships/image" Target="media/image49.wmf"/><Relationship Id="rId88" Type="http://schemas.openxmlformats.org/officeDocument/2006/relationships/oleObject" Target="embeddings/oleObject32.bin"/><Relationship Id="rId87" Type="http://schemas.openxmlformats.org/officeDocument/2006/relationships/image" Target="media/image48.wmf"/><Relationship Id="rId86" Type="http://schemas.openxmlformats.org/officeDocument/2006/relationships/oleObject" Target="embeddings/oleObject31.bin"/><Relationship Id="rId85" Type="http://schemas.openxmlformats.org/officeDocument/2006/relationships/image" Target="media/image47.wmf"/><Relationship Id="rId84" Type="http://schemas.openxmlformats.org/officeDocument/2006/relationships/oleObject" Target="embeddings/oleObject30.bin"/><Relationship Id="rId83" Type="http://schemas.openxmlformats.org/officeDocument/2006/relationships/image" Target="media/image46.wmf"/><Relationship Id="rId82" Type="http://schemas.openxmlformats.org/officeDocument/2006/relationships/oleObject" Target="embeddings/oleObject29.bin"/><Relationship Id="rId81" Type="http://schemas.openxmlformats.org/officeDocument/2006/relationships/image" Target="media/image45.wmf"/><Relationship Id="rId80" Type="http://schemas.openxmlformats.org/officeDocument/2006/relationships/oleObject" Target="embeddings/oleObject28.bin"/><Relationship Id="rId8" Type="http://schemas.openxmlformats.org/officeDocument/2006/relationships/theme" Target="theme/theme1.xml"/><Relationship Id="rId79" Type="http://schemas.openxmlformats.org/officeDocument/2006/relationships/image" Target="media/image44.wmf"/><Relationship Id="rId78" Type="http://schemas.openxmlformats.org/officeDocument/2006/relationships/oleObject" Target="embeddings/oleObject27.bin"/><Relationship Id="rId77" Type="http://schemas.openxmlformats.org/officeDocument/2006/relationships/image" Target="media/image43.wmf"/><Relationship Id="rId76" Type="http://schemas.openxmlformats.org/officeDocument/2006/relationships/oleObject" Target="embeddings/oleObject26.bin"/><Relationship Id="rId75" Type="http://schemas.openxmlformats.org/officeDocument/2006/relationships/image" Target="media/image42.wmf"/><Relationship Id="rId74" Type="http://schemas.openxmlformats.org/officeDocument/2006/relationships/oleObject" Target="embeddings/oleObject25.bin"/><Relationship Id="rId73" Type="http://schemas.openxmlformats.org/officeDocument/2006/relationships/image" Target="media/image41.wmf"/><Relationship Id="rId72" Type="http://schemas.openxmlformats.org/officeDocument/2006/relationships/oleObject" Target="embeddings/oleObject24.bin"/><Relationship Id="rId71" Type="http://schemas.openxmlformats.org/officeDocument/2006/relationships/image" Target="media/image40.wmf"/><Relationship Id="rId70" Type="http://schemas.openxmlformats.org/officeDocument/2006/relationships/oleObject" Target="embeddings/oleObject23.bin"/><Relationship Id="rId7" Type="http://schemas.openxmlformats.org/officeDocument/2006/relationships/footer" Target="footer3.xml"/><Relationship Id="rId69" Type="http://schemas.openxmlformats.org/officeDocument/2006/relationships/image" Target="media/image39.wmf"/><Relationship Id="rId68" Type="http://schemas.openxmlformats.org/officeDocument/2006/relationships/oleObject" Target="embeddings/oleObject22.bin"/><Relationship Id="rId67" Type="http://schemas.openxmlformats.org/officeDocument/2006/relationships/oleObject" Target="embeddings/oleObject21.bin"/><Relationship Id="rId66" Type="http://schemas.openxmlformats.org/officeDocument/2006/relationships/image" Target="media/image38.wmf"/><Relationship Id="rId65" Type="http://schemas.openxmlformats.org/officeDocument/2006/relationships/oleObject" Target="embeddings/oleObject20.bin"/><Relationship Id="rId64" Type="http://schemas.openxmlformats.org/officeDocument/2006/relationships/oleObject" Target="embeddings/oleObject19.bin"/><Relationship Id="rId63" Type="http://schemas.openxmlformats.org/officeDocument/2006/relationships/image" Target="media/image37.wmf"/><Relationship Id="rId62" Type="http://schemas.openxmlformats.org/officeDocument/2006/relationships/oleObject" Target="embeddings/oleObject18.bin"/><Relationship Id="rId61" Type="http://schemas.openxmlformats.org/officeDocument/2006/relationships/image" Target="media/image36.wmf"/><Relationship Id="rId60" Type="http://schemas.openxmlformats.org/officeDocument/2006/relationships/oleObject" Target="embeddings/oleObject17.bin"/><Relationship Id="rId6" Type="http://schemas.openxmlformats.org/officeDocument/2006/relationships/footer" Target="footer2.xml"/><Relationship Id="rId59" Type="http://schemas.openxmlformats.org/officeDocument/2006/relationships/image" Target="media/image35.wmf"/><Relationship Id="rId58" Type="http://schemas.openxmlformats.org/officeDocument/2006/relationships/oleObject" Target="embeddings/oleObject16.bin"/><Relationship Id="rId57" Type="http://schemas.openxmlformats.org/officeDocument/2006/relationships/image" Target="media/image34.wmf"/><Relationship Id="rId56" Type="http://schemas.openxmlformats.org/officeDocument/2006/relationships/oleObject" Target="embeddings/oleObject15.bin"/><Relationship Id="rId55" Type="http://schemas.openxmlformats.org/officeDocument/2006/relationships/image" Target="media/image33.wmf"/><Relationship Id="rId54" Type="http://schemas.openxmlformats.org/officeDocument/2006/relationships/oleObject" Target="embeddings/oleObject14.bin"/><Relationship Id="rId53" Type="http://schemas.openxmlformats.org/officeDocument/2006/relationships/image" Target="media/image32.wmf"/><Relationship Id="rId52" Type="http://schemas.openxmlformats.org/officeDocument/2006/relationships/oleObject" Target="embeddings/oleObject13.bin"/><Relationship Id="rId51" Type="http://schemas.openxmlformats.org/officeDocument/2006/relationships/image" Target="media/image31.wmf"/><Relationship Id="rId50" Type="http://schemas.openxmlformats.org/officeDocument/2006/relationships/oleObject" Target="embeddings/oleObject12.bin"/><Relationship Id="rId5" Type="http://schemas.openxmlformats.org/officeDocument/2006/relationships/footer" Target="footer1.xml"/><Relationship Id="rId49" Type="http://schemas.openxmlformats.org/officeDocument/2006/relationships/image" Target="media/image30.wmf"/><Relationship Id="rId48" Type="http://schemas.openxmlformats.org/officeDocument/2006/relationships/oleObject" Target="embeddings/oleObject11.bin"/><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wmf"/><Relationship Id="rId44" Type="http://schemas.openxmlformats.org/officeDocument/2006/relationships/oleObject" Target="embeddings/oleObject10.bin"/><Relationship Id="rId43" Type="http://schemas.openxmlformats.org/officeDocument/2006/relationships/image" Target="media/image26.wmf"/><Relationship Id="rId42" Type="http://schemas.openxmlformats.org/officeDocument/2006/relationships/oleObject" Target="embeddings/oleObject9.bin"/><Relationship Id="rId41" Type="http://schemas.openxmlformats.org/officeDocument/2006/relationships/image" Target="media/image25.wmf"/><Relationship Id="rId40" Type="http://schemas.openxmlformats.org/officeDocument/2006/relationships/oleObject" Target="embeddings/oleObject8.bin"/><Relationship Id="rId4" Type="http://schemas.openxmlformats.org/officeDocument/2006/relationships/endnotes" Target="endnotes.xml"/><Relationship Id="rId39" Type="http://schemas.openxmlformats.org/officeDocument/2006/relationships/image" Target="media/image24.wmf"/><Relationship Id="rId38" Type="http://schemas.openxmlformats.org/officeDocument/2006/relationships/oleObject" Target="embeddings/oleObject7.bin"/><Relationship Id="rId37" Type="http://schemas.openxmlformats.org/officeDocument/2006/relationships/image" Target="media/image23.wmf"/><Relationship Id="rId36" Type="http://schemas.openxmlformats.org/officeDocument/2006/relationships/oleObject" Target="embeddings/oleObject6.bin"/><Relationship Id="rId35" Type="http://schemas.openxmlformats.org/officeDocument/2006/relationships/image" Target="media/image22.wmf"/><Relationship Id="rId34" Type="http://schemas.openxmlformats.org/officeDocument/2006/relationships/oleObject" Target="embeddings/oleObject5.bin"/><Relationship Id="rId33" Type="http://schemas.openxmlformats.org/officeDocument/2006/relationships/image" Target="media/image21.wmf"/><Relationship Id="rId32" Type="http://schemas.openxmlformats.org/officeDocument/2006/relationships/oleObject" Target="embeddings/oleObject4.bin"/><Relationship Id="rId31" Type="http://schemas.openxmlformats.org/officeDocument/2006/relationships/image" Target="media/image20.wmf"/><Relationship Id="rId30" Type="http://schemas.openxmlformats.org/officeDocument/2006/relationships/oleObject" Target="embeddings/oleObject3.bin"/><Relationship Id="rId3" Type="http://schemas.openxmlformats.org/officeDocument/2006/relationships/footnotes" Target="footnotes.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numbering" Target="numbering.xml"/><Relationship Id="rId196" Type="http://schemas.openxmlformats.org/officeDocument/2006/relationships/customXml" Target="../customXml/item1.xml"/><Relationship Id="rId195" Type="http://schemas.openxmlformats.org/officeDocument/2006/relationships/image" Target="media/image118.png"/><Relationship Id="rId194" Type="http://schemas.openxmlformats.org/officeDocument/2006/relationships/image" Target="media/image117.png"/><Relationship Id="rId193" Type="http://schemas.openxmlformats.org/officeDocument/2006/relationships/image" Target="media/image116.png"/><Relationship Id="rId192" Type="http://schemas.openxmlformats.org/officeDocument/2006/relationships/image" Target="media/image115.png"/><Relationship Id="rId191" Type="http://schemas.openxmlformats.org/officeDocument/2006/relationships/image" Target="media/image114.png"/><Relationship Id="rId190" Type="http://schemas.openxmlformats.org/officeDocument/2006/relationships/image" Target="media/image113.png"/><Relationship Id="rId19" Type="http://schemas.openxmlformats.org/officeDocument/2006/relationships/image" Target="media/image9.jpeg"/><Relationship Id="rId189" Type="http://schemas.openxmlformats.org/officeDocument/2006/relationships/image" Target="media/image112.png"/><Relationship Id="rId188" Type="http://schemas.openxmlformats.org/officeDocument/2006/relationships/image" Target="media/image111.wmf"/><Relationship Id="rId187" Type="http://schemas.openxmlformats.org/officeDocument/2006/relationships/image" Target="media/image110.wmf"/><Relationship Id="rId186" Type="http://schemas.openxmlformats.org/officeDocument/2006/relationships/image" Target="media/image109.png"/><Relationship Id="rId185" Type="http://schemas.openxmlformats.org/officeDocument/2006/relationships/image" Target="media/image108.png"/><Relationship Id="rId184" Type="http://schemas.openxmlformats.org/officeDocument/2006/relationships/image" Target="media/image107.wmf"/><Relationship Id="rId183" Type="http://schemas.openxmlformats.org/officeDocument/2006/relationships/image" Target="media/image106.wmf"/><Relationship Id="rId182" Type="http://schemas.openxmlformats.org/officeDocument/2006/relationships/oleObject" Target="embeddings/oleObject66.bin"/><Relationship Id="rId181" Type="http://schemas.openxmlformats.org/officeDocument/2006/relationships/image" Target="media/image105.wmf"/><Relationship Id="rId180" Type="http://schemas.openxmlformats.org/officeDocument/2006/relationships/oleObject" Target="embeddings/oleObject65.bin"/><Relationship Id="rId18" Type="http://schemas.openxmlformats.org/officeDocument/2006/relationships/image" Target="media/image8.jpeg"/><Relationship Id="rId179" Type="http://schemas.openxmlformats.org/officeDocument/2006/relationships/image" Target="media/image104.wmf"/><Relationship Id="rId178" Type="http://schemas.openxmlformats.org/officeDocument/2006/relationships/oleObject" Target="embeddings/oleObject64.bin"/><Relationship Id="rId177" Type="http://schemas.openxmlformats.org/officeDocument/2006/relationships/image" Target="media/image103.wmf"/><Relationship Id="rId176" Type="http://schemas.openxmlformats.org/officeDocument/2006/relationships/oleObject" Target="embeddings/oleObject63.bin"/><Relationship Id="rId175" Type="http://schemas.openxmlformats.org/officeDocument/2006/relationships/image" Target="media/image102.wmf"/><Relationship Id="rId174" Type="http://schemas.openxmlformats.org/officeDocument/2006/relationships/oleObject" Target="embeddings/oleObject62.bin"/><Relationship Id="rId173" Type="http://schemas.openxmlformats.org/officeDocument/2006/relationships/image" Target="media/image101.wmf"/><Relationship Id="rId172" Type="http://schemas.openxmlformats.org/officeDocument/2006/relationships/oleObject" Target="embeddings/oleObject61.bin"/><Relationship Id="rId171" Type="http://schemas.openxmlformats.org/officeDocument/2006/relationships/image" Target="media/image100.wmf"/><Relationship Id="rId170" Type="http://schemas.openxmlformats.org/officeDocument/2006/relationships/oleObject" Target="embeddings/oleObject60.bin"/><Relationship Id="rId17" Type="http://schemas.openxmlformats.org/officeDocument/2006/relationships/image" Target="media/image7.jpeg"/><Relationship Id="rId169" Type="http://schemas.openxmlformats.org/officeDocument/2006/relationships/image" Target="media/image99.wmf"/><Relationship Id="rId168" Type="http://schemas.openxmlformats.org/officeDocument/2006/relationships/oleObject" Target="embeddings/oleObject59.bin"/><Relationship Id="rId167" Type="http://schemas.openxmlformats.org/officeDocument/2006/relationships/image" Target="media/image98.wmf"/><Relationship Id="rId166" Type="http://schemas.openxmlformats.org/officeDocument/2006/relationships/oleObject" Target="embeddings/oleObject58.bin"/><Relationship Id="rId165" Type="http://schemas.openxmlformats.org/officeDocument/2006/relationships/image" Target="media/image97.wmf"/><Relationship Id="rId164" Type="http://schemas.openxmlformats.org/officeDocument/2006/relationships/oleObject" Target="embeddings/oleObject57.bin"/><Relationship Id="rId163" Type="http://schemas.openxmlformats.org/officeDocument/2006/relationships/image" Target="media/image96.wmf"/><Relationship Id="rId162" Type="http://schemas.openxmlformats.org/officeDocument/2006/relationships/oleObject" Target="embeddings/oleObject56.bin"/><Relationship Id="rId161" Type="http://schemas.openxmlformats.org/officeDocument/2006/relationships/oleObject" Target="embeddings/oleObject55.bin"/><Relationship Id="rId160" Type="http://schemas.openxmlformats.org/officeDocument/2006/relationships/oleObject" Target="embeddings/oleObject54.bin"/><Relationship Id="rId16" Type="http://schemas.openxmlformats.org/officeDocument/2006/relationships/image" Target="media/image6.jpeg"/><Relationship Id="rId159" Type="http://schemas.openxmlformats.org/officeDocument/2006/relationships/image" Target="media/image95.wmf"/><Relationship Id="rId158" Type="http://schemas.openxmlformats.org/officeDocument/2006/relationships/oleObject" Target="embeddings/oleObject53.bin"/><Relationship Id="rId157" Type="http://schemas.openxmlformats.org/officeDocument/2006/relationships/image" Target="media/image94.wmf"/><Relationship Id="rId156" Type="http://schemas.openxmlformats.org/officeDocument/2006/relationships/oleObject" Target="embeddings/oleObject52.bin"/><Relationship Id="rId155" Type="http://schemas.openxmlformats.org/officeDocument/2006/relationships/image" Target="media/image93.wmf"/><Relationship Id="rId154" Type="http://schemas.openxmlformats.org/officeDocument/2006/relationships/oleObject" Target="embeddings/oleObject51.bin"/><Relationship Id="rId153" Type="http://schemas.openxmlformats.org/officeDocument/2006/relationships/image" Target="media/image92.wmf"/><Relationship Id="rId152" Type="http://schemas.openxmlformats.org/officeDocument/2006/relationships/oleObject" Target="embeddings/oleObject50.bin"/><Relationship Id="rId151" Type="http://schemas.openxmlformats.org/officeDocument/2006/relationships/image" Target="media/image91.wmf"/><Relationship Id="rId150" Type="http://schemas.openxmlformats.org/officeDocument/2006/relationships/oleObject" Target="embeddings/oleObject49.bin"/><Relationship Id="rId15" Type="http://schemas.openxmlformats.org/officeDocument/2006/relationships/image" Target="media/image5.jpeg"/><Relationship Id="rId149" Type="http://schemas.openxmlformats.org/officeDocument/2006/relationships/image" Target="media/image90.wmf"/><Relationship Id="rId148" Type="http://schemas.openxmlformats.org/officeDocument/2006/relationships/oleObject" Target="embeddings/oleObject48.bin"/><Relationship Id="rId147" Type="http://schemas.openxmlformats.org/officeDocument/2006/relationships/image" Target="media/image89.wmf"/><Relationship Id="rId146" Type="http://schemas.openxmlformats.org/officeDocument/2006/relationships/oleObject" Target="embeddings/oleObject47.bin"/><Relationship Id="rId145" Type="http://schemas.openxmlformats.org/officeDocument/2006/relationships/image" Target="media/image88.wmf"/><Relationship Id="rId144" Type="http://schemas.openxmlformats.org/officeDocument/2006/relationships/oleObject" Target="embeddings/oleObject46.bin"/><Relationship Id="rId143" Type="http://schemas.openxmlformats.org/officeDocument/2006/relationships/oleObject" Target="embeddings/oleObject45.bin"/><Relationship Id="rId142" Type="http://schemas.openxmlformats.org/officeDocument/2006/relationships/image" Target="media/image87.wmf"/><Relationship Id="rId141" Type="http://schemas.openxmlformats.org/officeDocument/2006/relationships/oleObject" Target="embeddings/oleObject44.bin"/><Relationship Id="rId140" Type="http://schemas.openxmlformats.org/officeDocument/2006/relationships/image" Target="media/image86.wmf"/><Relationship Id="rId14" Type="http://schemas.openxmlformats.org/officeDocument/2006/relationships/image" Target="media/image4.jpeg"/><Relationship Id="rId139" Type="http://schemas.openxmlformats.org/officeDocument/2006/relationships/oleObject" Target="embeddings/oleObject43.bin"/><Relationship Id="rId138" Type="http://schemas.openxmlformats.org/officeDocument/2006/relationships/image" Target="media/image85.wmf"/><Relationship Id="rId137" Type="http://schemas.openxmlformats.org/officeDocument/2006/relationships/oleObject" Target="embeddings/oleObject42.bin"/><Relationship Id="rId136" Type="http://schemas.openxmlformats.org/officeDocument/2006/relationships/image" Target="media/image84.wmf"/><Relationship Id="rId135" Type="http://schemas.openxmlformats.org/officeDocument/2006/relationships/oleObject" Target="embeddings/oleObject41.bin"/><Relationship Id="rId134" Type="http://schemas.openxmlformats.org/officeDocument/2006/relationships/image" Target="media/image83.png"/><Relationship Id="rId133" Type="http://schemas.openxmlformats.org/officeDocument/2006/relationships/image" Target="media/image82.wmf"/><Relationship Id="rId132" Type="http://schemas.openxmlformats.org/officeDocument/2006/relationships/oleObject" Target="embeddings/oleObject40.bin"/><Relationship Id="rId131" Type="http://schemas.openxmlformats.org/officeDocument/2006/relationships/image" Target="media/image81.png"/><Relationship Id="rId130" Type="http://schemas.openxmlformats.org/officeDocument/2006/relationships/image" Target="media/image80.png"/><Relationship Id="rId13" Type="http://schemas.openxmlformats.org/officeDocument/2006/relationships/image" Target="media/image3.wmf"/><Relationship Id="rId129" Type="http://schemas.openxmlformats.org/officeDocument/2006/relationships/image" Target="media/image79.png"/><Relationship Id="rId128" Type="http://schemas.openxmlformats.org/officeDocument/2006/relationships/image" Target="media/image78.png"/><Relationship Id="rId127" Type="http://schemas.openxmlformats.org/officeDocument/2006/relationships/image" Target="media/image77.png"/><Relationship Id="rId126" Type="http://schemas.openxmlformats.org/officeDocument/2006/relationships/image" Target="media/image76.png"/><Relationship Id="rId125" Type="http://schemas.openxmlformats.org/officeDocument/2006/relationships/image" Target="media/image75.png"/><Relationship Id="rId124" Type="http://schemas.openxmlformats.org/officeDocument/2006/relationships/image" Target="media/image74.png"/><Relationship Id="rId123" Type="http://schemas.openxmlformats.org/officeDocument/2006/relationships/image" Target="media/image73.png"/><Relationship Id="rId122" Type="http://schemas.openxmlformats.org/officeDocument/2006/relationships/image" Target="media/image72.png"/><Relationship Id="rId121" Type="http://schemas.openxmlformats.org/officeDocument/2006/relationships/image" Target="media/image71.png"/><Relationship Id="rId120" Type="http://schemas.openxmlformats.org/officeDocument/2006/relationships/image" Target="media/image70.png"/><Relationship Id="rId12" Type="http://schemas.openxmlformats.org/officeDocument/2006/relationships/oleObject" Target="embeddings/oleObject2.bin"/><Relationship Id="rId119" Type="http://schemas.openxmlformats.org/officeDocument/2006/relationships/image" Target="media/image69.png"/><Relationship Id="rId118" Type="http://schemas.openxmlformats.org/officeDocument/2006/relationships/image" Target="media/image68.png"/><Relationship Id="rId117" Type="http://schemas.openxmlformats.org/officeDocument/2006/relationships/image" Target="media/image67.png"/><Relationship Id="rId116" Type="http://schemas.openxmlformats.org/officeDocument/2006/relationships/image" Target="media/image66.png"/><Relationship Id="rId115" Type="http://schemas.openxmlformats.org/officeDocument/2006/relationships/image" Target="media/image65.png"/><Relationship Id="rId114" Type="http://schemas.openxmlformats.org/officeDocument/2006/relationships/image" Target="media/image64.png"/><Relationship Id="rId113" Type="http://schemas.openxmlformats.org/officeDocument/2006/relationships/image" Target="media/image63.png"/><Relationship Id="rId112" Type="http://schemas.openxmlformats.org/officeDocument/2006/relationships/image" Target="media/image62.png"/><Relationship Id="rId111" Type="http://schemas.openxmlformats.org/officeDocument/2006/relationships/image" Target="media/image61.wmf"/><Relationship Id="rId110" Type="http://schemas.openxmlformats.org/officeDocument/2006/relationships/oleObject" Target="embeddings/oleObject39.bin"/><Relationship Id="rId11" Type="http://schemas.openxmlformats.org/officeDocument/2006/relationships/image" Target="media/image2.png"/><Relationship Id="rId109" Type="http://schemas.openxmlformats.org/officeDocument/2006/relationships/oleObject" Target="embeddings/oleObject38.bin"/><Relationship Id="rId108" Type="http://schemas.openxmlformats.org/officeDocument/2006/relationships/image" Target="media/image60.png"/><Relationship Id="rId107" Type="http://schemas.openxmlformats.org/officeDocument/2006/relationships/image" Target="media/image59.emf"/><Relationship Id="rId106" Type="http://schemas.openxmlformats.org/officeDocument/2006/relationships/chart" Target="charts/chart3.xml"/><Relationship Id="rId105" Type="http://schemas.openxmlformats.org/officeDocument/2006/relationships/chart" Target="charts/chart2.xml"/><Relationship Id="rId104" Type="http://schemas.openxmlformats.org/officeDocument/2006/relationships/chart" Target="charts/chart1.xml"/><Relationship Id="rId103" Type="http://schemas.openxmlformats.org/officeDocument/2006/relationships/image" Target="media/image58.png"/><Relationship Id="rId102" Type="http://schemas.openxmlformats.org/officeDocument/2006/relationships/image" Target="media/image57.png"/><Relationship Id="rId101" Type="http://schemas.openxmlformats.org/officeDocument/2006/relationships/image" Target="media/image56.png"/><Relationship Id="rId100" Type="http://schemas.openxmlformats.org/officeDocument/2006/relationships/image" Target="media/image55.png"/><Relationship Id="rId10" Type="http://schemas.openxmlformats.org/officeDocument/2006/relationships/image" Target="media/image1.emf"/><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SC-201808182020\Desktop\&#38686;&#28006;&#27668;&#35937;2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SC-201808182020\Desktop\&#38686;&#28006;&#27668;&#35937;2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SC-201808182020\Desktop\&#38686;&#28006;&#27668;&#35937;2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
          <c:y val="0.20225"/>
          <c:w val="0.84375"/>
          <c:h val="0.63975"/>
        </c:manualLayout>
      </c:layout>
      <c:lineChart>
        <c:grouping val="standard"/>
        <c:varyColors val="0"/>
        <c:ser>
          <c:idx val="0"/>
          <c:order val="0"/>
          <c:tx>
            <c:strRef>
              <c:f>[霞浦气象22.XLS]数据!$A$3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[霞浦气象22.XLS]数据!$B$2:$M$2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[霞浦气象22.XLS]数据!$B$3:$M$3</c:f>
              <c:numCache>
                <c:formatCode>0.00_ </c:formatCode>
                <c:ptCount val="12"/>
                <c:pt idx="0">
                  <c:v>10.7600002288818</c:v>
                </c:pt>
                <c:pt idx="1">
                  <c:v>10.8999996185303</c:v>
                </c:pt>
                <c:pt idx="2">
                  <c:v>13.25</c:v>
                </c:pt>
                <c:pt idx="3">
                  <c:v>17.8600006103516</c:v>
                </c:pt>
                <c:pt idx="4">
                  <c:v>20.7000007629395</c:v>
                </c:pt>
                <c:pt idx="5">
                  <c:v>24.2999992370605</c:v>
                </c:pt>
                <c:pt idx="6">
                  <c:v>27.9899997711182</c:v>
                </c:pt>
                <c:pt idx="7">
                  <c:v>28.75</c:v>
                </c:pt>
                <c:pt idx="8">
                  <c:v>26.1599998474121</c:v>
                </c:pt>
                <c:pt idx="9">
                  <c:v>22.2000007629395</c:v>
                </c:pt>
                <c:pt idx="10">
                  <c:v>17.7600002288818</c:v>
                </c:pt>
                <c:pt idx="11">
                  <c:v>13.210000038147</c:v>
                </c:pt>
              </c:numCache>
            </c:numRef>
          </c:val>
          <c:smooth val="0"/>
        </c:ser>
        <c:dLbls>
          <c:showLegendKey val="0"/>
          <c:showVal val="0"/>
          <c:showCatName val="0"/>
          <c:showSerName val="0"/>
          <c:showPercent val="0"/>
          <c:showBubbleSize val="0"/>
        </c:dLbls>
        <c:marker val="1"/>
        <c:smooth val="0"/>
        <c:axId val="412776356"/>
        <c:axId val="405019280"/>
      </c:lineChart>
      <c:catAx>
        <c:axId val="412776356"/>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05019280"/>
        <c:crosses val="autoZero"/>
        <c:auto val="1"/>
        <c:lblAlgn val="ctr"/>
        <c:lblOffset val="100"/>
        <c:noMultiLvlLbl val="0"/>
      </c:catAx>
      <c:valAx>
        <c:axId val="405019280"/>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t>温度(℃) </a:t>
                </a:r>
                <a:endParaRPr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
              <c:y val="0.411585607058126"/>
            </c:manualLayout>
          </c:layout>
          <c:overlay val="0"/>
        </c:title>
        <c:numFmt formatCode="0.00_ " sourceLinked="1"/>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12776356"/>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
          <c:y val="0.20225"/>
          <c:w val="0.83075"/>
          <c:h val="0.63975"/>
        </c:manualLayout>
      </c:layout>
      <c:lineChart>
        <c:grouping val="standard"/>
        <c:varyColors val="0"/>
        <c:ser>
          <c:idx val="0"/>
          <c:order val="0"/>
          <c:tx>
            <c:strRef>
              <c:f>[霞浦气象22.XLS]数据!$A$7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[霞浦气象22.XLS]数据!$B$6:$M$6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[霞浦气象22.XLS]数据!$B$7:$M$7</c:f>
              <c:numCache>
                <c:formatCode>0.00_ </c:formatCode>
                <c:ptCount val="12"/>
                <c:pt idx="0">
                  <c:v>2.33999991416931</c:v>
                </c:pt>
                <c:pt idx="1">
                  <c:v>2.15000009536743</c:v>
                </c:pt>
                <c:pt idx="2">
                  <c:v>2.5</c:v>
                </c:pt>
                <c:pt idx="3">
                  <c:v>2.25</c:v>
                </c:pt>
                <c:pt idx="4">
                  <c:v>2.50999999046326</c:v>
                </c:pt>
                <c:pt idx="5">
                  <c:v>2.00999999046326</c:v>
                </c:pt>
                <c:pt idx="6">
                  <c:v>2.41000008583069</c:v>
                </c:pt>
                <c:pt idx="7">
                  <c:v>3.15000009536743</c:v>
                </c:pt>
                <c:pt idx="8">
                  <c:v>3.19000005722046</c:v>
                </c:pt>
                <c:pt idx="9">
                  <c:v>2.78999996185303</c:v>
                </c:pt>
                <c:pt idx="10">
                  <c:v>2.98000001907349</c:v>
                </c:pt>
                <c:pt idx="11">
                  <c:v>2.57999992370605</c:v>
                </c:pt>
              </c:numCache>
            </c:numRef>
          </c:val>
          <c:smooth val="0"/>
        </c:ser>
        <c:dLbls>
          <c:showLegendKey val="0"/>
          <c:showVal val="0"/>
          <c:showCatName val="0"/>
          <c:showSerName val="0"/>
          <c:showPercent val="0"/>
          <c:showBubbleSize val="0"/>
        </c:dLbls>
        <c:marker val="1"/>
        <c:smooth val="0"/>
        <c:axId val="589865334"/>
        <c:axId val="398690683"/>
      </c:lineChart>
      <c:catAx>
        <c:axId val="589865334"/>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398690683"/>
        <c:crosses val="autoZero"/>
        <c:auto val="1"/>
        <c:lblAlgn val="ctr"/>
        <c:lblOffset val="100"/>
        <c:noMultiLvlLbl val="0"/>
      </c:catAx>
      <c:valAx>
        <c:axId val="398690683"/>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t>风速(m/s) </a:t>
                </a:r>
                <a:endParaRPr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
              <c:y val="0.374480107058126"/>
            </c:manualLayout>
          </c:layout>
          <c:overlay val="0"/>
        </c:title>
        <c:numFmt formatCode="0.00_ " sourceLinked="0"/>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589865334"/>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5"/>
          <c:y val="0.142"/>
          <c:w val="0.7285"/>
          <c:h val="0.71275"/>
        </c:manualLayout>
      </c:layout>
      <c:lineChart>
        <c:grouping val="standard"/>
        <c:varyColors val="0"/>
        <c:ser>
          <c:idx val="0"/>
          <c:order val="0"/>
          <c:tx>
            <c:strRef>
              <c:f>[霞浦气象22.XLS]图形!$A$167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val>
            <c:numRef>
              <c:f>[霞浦气象22.XLS]图形!$B$167:$Y$167</c:f>
              <c:numCache>
                <c:formatCode>General</c:formatCode>
                <c:ptCount val="24"/>
                <c:pt idx="0">
                  <c:v>2.19000005722046</c:v>
                </c:pt>
                <c:pt idx="1">
                  <c:v>2</c:v>
                </c:pt>
                <c:pt idx="2">
                  <c:v>2.05999994277954</c:v>
                </c:pt>
                <c:pt idx="3">
                  <c:v>2.07999992370605</c:v>
                </c:pt>
                <c:pt idx="4">
                  <c:v>2</c:v>
                </c:pt>
                <c:pt idx="5">
                  <c:v>1.80999994277954</c:v>
                </c:pt>
                <c:pt idx="6">
                  <c:v>1.79999995231628</c:v>
                </c:pt>
                <c:pt idx="7">
                  <c:v>1.60000002384186</c:v>
                </c:pt>
                <c:pt idx="8">
                  <c:v>1.75999999046326</c:v>
                </c:pt>
                <c:pt idx="9">
                  <c:v>2.39000010490417</c:v>
                </c:pt>
                <c:pt idx="10">
                  <c:v>2.94000005722046</c:v>
                </c:pt>
                <c:pt idx="11">
                  <c:v>3.44000005722046</c:v>
                </c:pt>
                <c:pt idx="12">
                  <c:v>3.80999994277954</c:v>
                </c:pt>
                <c:pt idx="13">
                  <c:v>3.85999989509582</c:v>
                </c:pt>
                <c:pt idx="14">
                  <c:v>3.69000005722046</c:v>
                </c:pt>
                <c:pt idx="15">
                  <c:v>3.27999997138977</c:v>
                </c:pt>
                <c:pt idx="16">
                  <c:v>2.98000001907349</c:v>
                </c:pt>
                <c:pt idx="17">
                  <c:v>2.48000001907349</c:v>
                </c:pt>
                <c:pt idx="18">
                  <c:v>2.11999988555908</c:v>
                </c:pt>
                <c:pt idx="19">
                  <c:v>1.94000005722046</c:v>
                </c:pt>
                <c:pt idx="20">
                  <c:v>1.87000000476837</c:v>
                </c:pt>
                <c:pt idx="21">
                  <c:v>2.02999997138977</c:v>
                </c:pt>
                <c:pt idx="22">
                  <c:v>1.95000004768372</c:v>
                </c:pt>
                <c:pt idx="23">
                  <c:v>2.16000008583069</c:v>
                </c:pt>
              </c:numCache>
            </c:numRef>
          </c:val>
          <c:smooth val="0"/>
        </c:ser>
        <c:ser>
          <c:idx val="1"/>
          <c:order val="1"/>
          <c:tx>
            <c:strRef>
              <c:f>[霞浦气象22.XLS]图形!$A$168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6350" cap="flat" cmpd="sng" algn="ctr">
                <a:solidFill>
                  <a:srgbClr val="FF00FF"/>
                </a:solidFill>
                <a:prstDash val="solid"/>
                <a:round/>
              </a:ln>
            </c:spPr>
          </c:marker>
          <c:dLbls>
            <c:delete val="1"/>
          </c:dLbls>
          <c:val>
            <c:numRef>
              <c:f>[霞浦气象22.XLS]图形!$B$168:$Y$168</c:f>
              <c:numCache>
                <c:formatCode>General</c:formatCode>
                <c:ptCount val="24"/>
                <c:pt idx="0">
                  <c:v>1.95000004768372</c:v>
                </c:pt>
                <c:pt idx="1">
                  <c:v>1.82000005245209</c:v>
                </c:pt>
                <c:pt idx="2">
                  <c:v>1.87999999523163</c:v>
                </c:pt>
                <c:pt idx="3">
                  <c:v>1.91999995708466</c:v>
                </c:pt>
                <c:pt idx="4">
                  <c:v>1.85000002384186</c:v>
                </c:pt>
                <c:pt idx="5">
                  <c:v>1.91999995708466</c:v>
                </c:pt>
                <c:pt idx="6">
                  <c:v>1.72000002861023</c:v>
                </c:pt>
                <c:pt idx="7">
                  <c:v>1.75999999046326</c:v>
                </c:pt>
                <c:pt idx="8">
                  <c:v>1.95000004768372</c:v>
                </c:pt>
                <c:pt idx="9">
                  <c:v>2.59999990463257</c:v>
                </c:pt>
                <c:pt idx="10">
                  <c:v>3.21000003814697</c:v>
                </c:pt>
                <c:pt idx="11">
                  <c:v>3.8199999332428</c:v>
                </c:pt>
                <c:pt idx="12">
                  <c:v>4.1399998664856</c:v>
                </c:pt>
                <c:pt idx="13">
                  <c:v>4.19999980926514</c:v>
                </c:pt>
                <c:pt idx="14">
                  <c:v>4.17000007629395</c:v>
                </c:pt>
                <c:pt idx="15">
                  <c:v>3.51999998092651</c:v>
                </c:pt>
                <c:pt idx="16">
                  <c:v>3.11999988555908</c:v>
                </c:pt>
                <c:pt idx="17">
                  <c:v>2.69000005722046</c:v>
                </c:pt>
                <c:pt idx="18">
                  <c:v>2.22000002861023</c:v>
                </c:pt>
                <c:pt idx="19">
                  <c:v>2.11999988555908</c:v>
                </c:pt>
                <c:pt idx="20">
                  <c:v>2.04999995231628</c:v>
                </c:pt>
                <c:pt idx="21">
                  <c:v>2.07999992370605</c:v>
                </c:pt>
                <c:pt idx="22">
                  <c:v>2.05999994277954</c:v>
                </c:pt>
                <c:pt idx="23">
                  <c:v>1.9099999666214</c:v>
                </c:pt>
              </c:numCache>
            </c:numRef>
          </c:val>
          <c:smooth val="0"/>
        </c:ser>
        <c:ser>
          <c:idx val="2"/>
          <c:order val="2"/>
          <c:tx>
            <c:strRef>
              <c:f>[霞浦气象22.XLS]图形!$A$169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6350" cap="flat" cmpd="sng" algn="ctr">
                <a:solidFill>
                  <a:srgbClr val="FFFF00"/>
                </a:solidFill>
                <a:prstDash val="solid"/>
                <a:round/>
              </a:ln>
            </c:spPr>
          </c:marker>
          <c:dLbls>
            <c:delete val="1"/>
          </c:dLbls>
          <c:val>
            <c:numRef>
              <c:f>[霞浦气象22.XLS]图形!$B$169:$Y$169</c:f>
              <c:numCache>
                <c:formatCode>General</c:formatCode>
                <c:ptCount val="24"/>
                <c:pt idx="0">
                  <c:v>2.58999991416931</c:v>
                </c:pt>
                <c:pt idx="1">
                  <c:v>2.75</c:v>
                </c:pt>
                <c:pt idx="2">
                  <c:v>2.59999990463257</c:v>
                </c:pt>
                <c:pt idx="3">
                  <c:v>2.58999991416931</c:v>
                </c:pt>
                <c:pt idx="4">
                  <c:v>2.40000009536743</c:v>
                </c:pt>
                <c:pt idx="5">
                  <c:v>2.55999994277954</c:v>
                </c:pt>
                <c:pt idx="6">
                  <c:v>2.36999988555908</c:v>
                </c:pt>
                <c:pt idx="7">
                  <c:v>2.22000002861023</c:v>
                </c:pt>
                <c:pt idx="8">
                  <c:v>2.46000003814697</c:v>
                </c:pt>
                <c:pt idx="9">
                  <c:v>3.11999988555908</c:v>
                </c:pt>
                <c:pt idx="10">
                  <c:v>3.70000004768372</c:v>
                </c:pt>
                <c:pt idx="11">
                  <c:v>4.05000019073486</c:v>
                </c:pt>
                <c:pt idx="12">
                  <c:v>4.65000009536743</c:v>
                </c:pt>
                <c:pt idx="13">
                  <c:v>4.59000015258789</c:v>
                </c:pt>
                <c:pt idx="14">
                  <c:v>4.5</c:v>
                </c:pt>
                <c:pt idx="15">
                  <c:v>3.85999989509582</c:v>
                </c:pt>
                <c:pt idx="16">
                  <c:v>3.26999998092651</c:v>
                </c:pt>
                <c:pt idx="17">
                  <c:v>2.63000011444092</c:v>
                </c:pt>
                <c:pt idx="18">
                  <c:v>2.34999990463257</c:v>
                </c:pt>
                <c:pt idx="19">
                  <c:v>2.35999989509583</c:v>
                </c:pt>
                <c:pt idx="20">
                  <c:v>2.45000004768372</c:v>
                </c:pt>
                <c:pt idx="21">
                  <c:v>2.5699999332428</c:v>
                </c:pt>
                <c:pt idx="22">
                  <c:v>2.48000001907349</c:v>
                </c:pt>
                <c:pt idx="23">
                  <c:v>2.5699999332428</c:v>
                </c:pt>
              </c:numCache>
            </c:numRef>
          </c:val>
          <c:smooth val="0"/>
        </c:ser>
        <c:ser>
          <c:idx val="3"/>
          <c:order val="3"/>
          <c:tx>
            <c:strRef>
              <c:f>[霞浦气象22.XLS]图形!$A$170</c:f>
              <c:strCache>
                <c:ptCount val="1"/>
                <c:pt idx="0">
                  <c:v>冬季                </c:v>
                </c:pt>
              </c:strCache>
            </c:strRef>
          </c:tx>
          <c:spPr>
            <a:ln w="12700" cap="rnd" cmpd="sng" algn="ctr">
              <a:solidFill>
                <a:srgbClr val="00FFFF"/>
              </a:solidFill>
              <a:prstDash val="solid"/>
              <a:round/>
            </a:ln>
          </c:spPr>
          <c:marker>
            <c:symbol val="x"/>
            <c:size val="5"/>
            <c:spPr>
              <a:noFill/>
              <a:ln w="6350" cap="flat" cmpd="sng" algn="ctr">
                <a:solidFill>
                  <a:srgbClr val="00FFFF"/>
                </a:solidFill>
                <a:prstDash val="solid"/>
                <a:round/>
              </a:ln>
            </c:spPr>
          </c:marker>
          <c:dLbls>
            <c:delete val="1"/>
          </c:dLbls>
          <c:val>
            <c:numRef>
              <c:f>[霞浦气象22.XLS]图形!$B$170:$Y$170</c:f>
              <c:numCache>
                <c:formatCode>General</c:formatCode>
                <c:ptCount val="24"/>
                <c:pt idx="0">
                  <c:v>2.17000007629395</c:v>
                </c:pt>
                <c:pt idx="1">
                  <c:v>2.11999988555908</c:v>
                </c:pt>
                <c:pt idx="2">
                  <c:v>2.17000007629395</c:v>
                </c:pt>
                <c:pt idx="3">
                  <c:v>2.09999990463257</c:v>
                </c:pt>
                <c:pt idx="4">
                  <c:v>2.11999988555908</c:v>
                </c:pt>
                <c:pt idx="5">
                  <c:v>2.10999989509583</c:v>
                </c:pt>
                <c:pt idx="6">
                  <c:v>2.1800000667572</c:v>
                </c:pt>
                <c:pt idx="7">
                  <c:v>1.98000001907349</c:v>
                </c:pt>
                <c:pt idx="8">
                  <c:v>1.89999997615814</c:v>
                </c:pt>
                <c:pt idx="9">
                  <c:v>2.09999990463257</c:v>
                </c:pt>
                <c:pt idx="10">
                  <c:v>2.41000008583069</c:v>
                </c:pt>
                <c:pt idx="11">
                  <c:v>2.98000001907349</c:v>
                </c:pt>
                <c:pt idx="12">
                  <c:v>3.0699999332428</c:v>
                </c:pt>
                <c:pt idx="13">
                  <c:v>3.40000009536743</c:v>
                </c:pt>
                <c:pt idx="14">
                  <c:v>3.21000003814697</c:v>
                </c:pt>
                <c:pt idx="15">
                  <c:v>2.82999992370605</c:v>
                </c:pt>
                <c:pt idx="16">
                  <c:v>2.57999992370605</c:v>
                </c:pt>
                <c:pt idx="17">
                  <c:v>2.24000000953674</c:v>
                </c:pt>
                <c:pt idx="18">
                  <c:v>2.0699999332428</c:v>
                </c:pt>
                <c:pt idx="19">
                  <c:v>2.1800000667572</c:v>
                </c:pt>
                <c:pt idx="20">
                  <c:v>2.09999990463257</c:v>
                </c:pt>
                <c:pt idx="21">
                  <c:v>2.13000011444092</c:v>
                </c:pt>
                <c:pt idx="22">
                  <c:v>2.36999988555908</c:v>
                </c:pt>
                <c:pt idx="23">
                  <c:v>2.23000001907349</c:v>
                </c:pt>
              </c:numCache>
            </c:numRef>
          </c:val>
          <c:smooth val="0"/>
        </c:ser>
        <c:dLbls>
          <c:showLegendKey val="0"/>
          <c:showVal val="0"/>
          <c:showCatName val="0"/>
          <c:showSerName val="0"/>
          <c:showPercent val="0"/>
          <c:showBubbleSize val="0"/>
        </c:dLbls>
        <c:marker val="1"/>
        <c:smooth val="0"/>
        <c:axId val="228179785"/>
        <c:axId val="238879157"/>
      </c:lineChart>
      <c:catAx>
        <c:axId val="228179785"/>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38879157"/>
        <c:crosses val="autoZero"/>
        <c:auto val="1"/>
        <c:lblAlgn val="ctr"/>
        <c:lblOffset val="100"/>
        <c:noMultiLvlLbl val="0"/>
      </c:catAx>
      <c:valAx>
        <c:axId val="238879157"/>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t>风速(m/s)</a:t>
                </a:r>
                <a:endParaRPr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title>
        <c:numFmt formatCode="0.00_ " sourceLinked="0"/>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28179785"/>
        <c:crosses val="autoZero"/>
        <c:crossBetween val="between"/>
      </c:valAx>
      <c:spPr>
        <a:solidFill>
          <a:srgbClr val="C0C0C0">
            <a:alpha val="100000"/>
          </a:srgbClr>
        </a:solidFill>
        <a:ln w="12700">
          <a:solidFill>
            <a:srgbClr val="808080">
              <a:alpha val="100000"/>
            </a:srgbClr>
          </a:solidFill>
          <a:prstDash val="solid"/>
        </a:ln>
      </c:spPr>
    </c:plotArea>
    <c:legend>
      <c:legendPos val="r"/>
      <c:layout>
        <c:manualLayout>
          <c:xMode val="edge"/>
          <c:yMode val="edge"/>
          <c:x val="0.85975"/>
          <c:y val="0.18475"/>
          <c:w val="0.12568306010929"/>
          <c:h val="0.505446623093682"/>
        </c:manualLayout>
      </c:layout>
      <c:overlay val="0"/>
      <c:spPr>
        <a:solidFill>
          <a:srgbClr val="FFFFFF"/>
        </a:solidFill>
        <a:ln w="3175">
          <a:solidFill>
            <a:srgbClr val="000000">
              <a:alpha val="100000"/>
            </a:srgbClr>
          </a:solidFill>
          <a:prstDash val="soli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376</Pages>
  <Words>197803</Words>
  <Characters>247895</Characters>
  <Lines>0</Lines>
  <Paragraphs>0</Paragraphs>
  <TotalTime>1</TotalTime>
  <ScaleCrop>false</ScaleCrop>
  <LinksUpToDate>false</LinksUpToDate>
  <CharactersWithSpaces>249890</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2020-07-28T05:07:00Z</dcterms:created>
  <dc:creator>背小影</dc:creator>
  <cp:lastModifiedBy>逐鹿</cp:lastModifiedBy>
  <cp:lastPrinted>2021-10-12T11:13:00Z</cp:lastPrinted>
  <dcterms:modified xsi:type="dcterms:W3CDTF">2022-01-12T01:17:59Z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C1A02EBE705D407093D6297CC41EF873</vt:lpwstr>
  </property>
</Properties>
</file>